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adjustRightInd w:val="0"/>
        <w:snapToGrid w:val="0"/>
        <w:spacing w:line="360" w:lineRule="auto"/>
        <w:ind w:firstLine="640" w:firstLineChars="200"/>
        <w:rPr>
          <w:rFonts w:eastAsia="仿宋_GB2312" w:hint="eastAsia"/>
          <w:color w:val="FF0000"/>
          <w:sz w:val="32"/>
        </w:rPr>
      </w:pPr>
    </w:p>
    <w:p>
      <w:pPr>
        <w:pStyle w:val="PlainText"/>
        <w:jc w:val="left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spacing w:line="360" w:lineRule="auto"/>
        <w:jc w:val="center"/>
        <w:rPr>
          <w:rFonts w:ascii="华文新魏" w:eastAsia="华文新魏" w:hint="eastAsia"/>
          <w:b/>
          <w:sz w:val="44"/>
          <w:szCs w:val="44"/>
        </w:rPr>
      </w:pPr>
      <w:r>
        <w:rPr>
          <w:rFonts w:ascii="华文新魏" w:eastAsia="华文新魏" w:hint="eastAsia"/>
          <w:b/>
          <w:sz w:val="44"/>
          <w:szCs w:val="44"/>
        </w:rPr>
        <w:t xml:space="preserve"> 重庆大唐国际彭水水电开发公司 </w:t>
      </w:r>
      <w:r>
        <w:rPr>
          <w:rFonts w:ascii="仿宋_GB2312" w:eastAsia="仿宋_GB2312" w:hint="eastAsia"/>
          <w:b/>
          <w:bCs/>
          <w:sz w:val="36"/>
          <w:szCs w:val="36"/>
          <w:u w:val="single"/>
        </w:rPr>
        <w:t>彭水</w:t>
      </w:r>
      <w:r>
        <w:rPr>
          <w:rFonts w:ascii="仿宋_GB2312" w:eastAsia="仿宋_GB2312" w:hint="eastAsia"/>
          <w:bCs/>
          <w:sz w:val="36"/>
          <w:szCs w:val="44"/>
          <w:u w:val="single"/>
        </w:rPr>
        <w:t xml:space="preserve"> </w:t>
      </w:r>
      <w:r>
        <w:rPr>
          <w:rFonts w:ascii="华文新魏" w:eastAsia="华文新魏" w:hint="eastAsia"/>
          <w:b/>
          <w:sz w:val="44"/>
          <w:szCs w:val="44"/>
        </w:rPr>
        <w:t>水电站</w:t>
      </w:r>
    </w:p>
    <w:p>
      <w:pPr>
        <w:pStyle w:val="PlainText"/>
        <w:spacing w:line="360" w:lineRule="auto"/>
        <w:jc w:val="center"/>
        <w:rPr>
          <w:rFonts w:ascii="仿宋_GB2312" w:eastAsia="仿宋_GB2312" w:hint="eastAsia"/>
          <w:b/>
          <w:sz w:val="36"/>
          <w:szCs w:val="36"/>
          <w:u w:val="single"/>
        </w:rPr>
      </w:pPr>
      <w:r>
        <w:rPr>
          <w:rFonts w:ascii="仿宋_GB2312" w:eastAsia="仿宋_GB2312" w:hint="eastAsia"/>
          <w:b/>
          <w:sz w:val="36"/>
          <w:szCs w:val="36"/>
          <w:u w:val="single"/>
        </w:rPr>
        <w:t xml:space="preserve"> </w:t>
      </w:r>
      <w:r>
        <w:rPr>
          <w:rFonts w:ascii="仿宋_GB2312" w:eastAsia="仿宋_GB2312" w:hint="eastAsia"/>
          <w:b/>
          <w:bCs/>
          <w:sz w:val="36"/>
          <w:szCs w:val="36"/>
          <w:u w:val="single"/>
        </w:rPr>
        <w:t>1-9号弧门汛前检修</w:t>
      </w:r>
      <w:r>
        <w:rPr>
          <w:rFonts w:ascii="华文新魏" w:eastAsia="华文新魏" w:hint="eastAsia"/>
          <w:b/>
          <w:sz w:val="44"/>
          <w:szCs w:val="44"/>
        </w:rPr>
        <w:t>工程工程</w:t>
      </w:r>
    </w:p>
    <w:p>
      <w:pPr>
        <w:pStyle w:val="PlainText"/>
        <w:jc w:val="center"/>
        <w:rPr>
          <w:rFonts w:ascii="华文新魏" w:eastAsia="华文新魏" w:hint="eastAsia"/>
          <w:b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sz w:val="44"/>
          <w:szCs w:val="44"/>
        </w:rPr>
      </w:pPr>
      <w:r>
        <w:rPr>
          <w:rFonts w:ascii="华文新魏" w:eastAsia="华文新魏" w:hint="eastAsia"/>
          <w:b/>
          <w:sz w:val="44"/>
          <w:szCs w:val="44"/>
        </w:rPr>
        <w:t>竣工报告</w:t>
      </w: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spacing w:line="360" w:lineRule="auto"/>
        <w:jc w:val="center"/>
        <w:rPr>
          <w:rFonts w:ascii="仿宋_GB2312" w:eastAsia="仿宋_GB2312" w:hint="eastAsia"/>
          <w:b/>
          <w:sz w:val="32"/>
          <w:szCs w:val="32"/>
        </w:rPr>
      </w:pPr>
      <w:r>
        <w:rPr>
          <w:rFonts w:ascii="华文新魏" w:eastAsia="华文新魏" w:hint="eastAsia"/>
          <w:b/>
          <w:sz w:val="36"/>
          <w:szCs w:val="44"/>
        </w:rPr>
        <w:t>施工单位：湖南五凌电力工程</w:t>
      </w:r>
    </w:p>
    <w:p>
      <w:pPr>
        <w:pStyle w:val="PlainText"/>
        <w:jc w:val="center"/>
        <w:rPr>
          <w:rFonts w:ascii="华文新魏" w:eastAsia="华文新魏" w:hint="eastAsia"/>
          <w:b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sz w:val="44"/>
          <w:szCs w:val="44"/>
        </w:rPr>
        <w:sectPr>
          <w:pgSz w:w="11906" w:h="16838"/>
          <w:pgMar w:top="1162" w:right="1270" w:bottom="1162" w:left="1230" w:header="851" w:footer="851" w:gutter="0"/>
          <w:cols w:space="708"/>
          <w:titlePg/>
          <w:docGrid w:type="lines" w:linePitch="312"/>
        </w:sectPr>
      </w:pPr>
      <w:r>
        <w:rPr>
          <w:rFonts w:ascii="华文新魏" w:eastAsia="华文新魏" w:hint="eastAsia"/>
          <w:b/>
          <w:sz w:val="44"/>
          <w:szCs w:val="44"/>
        </w:rPr>
        <w:t>2023年5月10日</w:t>
      </w:r>
    </w:p>
    <w:p>
      <w:pPr>
        <w:spacing w:line="360" w:lineRule="auto"/>
        <w:jc w:val="center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1-9号弧门汛前检修竣工报告</w:t>
      </w:r>
    </w:p>
    <w:p>
      <w:pPr>
        <w:pStyle w:val="PlainText"/>
        <w:spacing w:line="360" w:lineRule="auto"/>
        <w:jc w:val="center"/>
        <w:rPr>
          <w:rFonts w:hint="eastAsia"/>
          <w:b/>
          <w:color w:val="FF0000"/>
          <w:sz w:val="28"/>
          <w:szCs w:val="28"/>
        </w:rPr>
      </w:pPr>
    </w:p>
    <w:p>
      <w:pPr>
        <w:pStyle w:val="PlainText"/>
        <w:spacing w:line="360" w:lineRule="auto"/>
        <w:outlineLvl w:val="0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一、工程工程概况</w:t>
      </w:r>
    </w:p>
    <w:p>
      <w:pPr>
        <w:pStyle w:val="PlainText"/>
        <w:spacing w:line="360" w:lineRule="auto"/>
        <w:ind w:firstLine="480" w:firstLineChars="200"/>
        <w:jc w:val="left"/>
        <w:outlineLvl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做好2023年平安度汛工作，提高泄洪设备工作可靠性。对泄洪弧门、启闭机进行汛前针对性消缺检修，检查电控系统元器件参数,检查验证液压系统工作可靠性,处理相关漏油、漏水情况。乌江彭水水电站泄洪建筑物有9个表孔弧形工作门和9套液压启闭机，液压启闭机采用</w:t>
      </w: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一机一站〞传动控制方式。每套液压泵站设三台油泵-电机组，可同时工作或单独工作，互为备用。每套表孔弧形闸门液压启闭机配置一套现地电气控制单元，每套现地电气控制单元的控制对象为本孔弧形闸门液压启闭机、液压泵站系统和闸门开度及位置检测传感器。</w:t>
      </w:r>
    </w:p>
    <w:p>
      <w:pPr>
        <w:pStyle w:val="PlainText"/>
        <w:spacing w:line="360" w:lineRule="auto"/>
        <w:jc w:val="left"/>
        <w:outlineLvl w:val="0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二、工程工程施工时间</w:t>
      </w:r>
    </w:p>
    <w:p>
      <w:pPr>
        <w:pStyle w:val="PlainText"/>
        <w:spacing w:line="360" w:lineRule="auto"/>
        <w:ind w:firstLine="480" w:firstLineChars="2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 xml:space="preserve">方案: </w:t>
      </w:r>
      <w:r>
        <w:rPr>
          <w:rFonts w:hAnsi="宋体"/>
          <w:sz w:val="24"/>
          <w:szCs w:val="24"/>
        </w:rPr>
        <w:t>2023</w:t>
      </w:r>
      <w:r>
        <w:rPr>
          <w:rFonts w:hAnsi="宋体" w:hint="eastAsia"/>
          <w:sz w:val="24"/>
          <w:szCs w:val="24"/>
        </w:rPr>
        <w:t>年3月15日－</w:t>
      </w:r>
      <w:r>
        <w:rPr>
          <w:rFonts w:hAnsi="宋体"/>
          <w:sz w:val="24"/>
          <w:szCs w:val="24"/>
        </w:rPr>
        <w:t>2023</w:t>
      </w:r>
      <w:r>
        <w:rPr>
          <w:rFonts w:hAnsi="宋体" w:hint="eastAsia"/>
          <w:sz w:val="24"/>
          <w:szCs w:val="24"/>
        </w:rPr>
        <w:t>年</w:t>
      </w:r>
      <w:r>
        <w:rPr>
          <w:rFonts w:hAnsi="宋体"/>
          <w:sz w:val="24"/>
          <w:szCs w:val="24"/>
        </w:rPr>
        <w:t>4</w:t>
      </w:r>
      <w:r>
        <w:rPr>
          <w:rFonts w:hAnsi="宋体" w:hint="eastAsia"/>
          <w:sz w:val="24"/>
          <w:szCs w:val="24"/>
        </w:rPr>
        <w:t>月25日</w:t>
      </w:r>
      <w:r>
        <w:rPr>
          <w:rFonts w:hAnsi="宋体"/>
          <w:sz w:val="24"/>
          <w:szCs w:val="24"/>
        </w:rPr>
        <w:t xml:space="preserve"> </w:t>
      </w:r>
    </w:p>
    <w:p>
      <w:pPr>
        <w:pStyle w:val="PlainText"/>
        <w:spacing w:line="360" w:lineRule="auto"/>
        <w:ind w:firstLine="480" w:firstLineChars="200"/>
        <w:jc w:val="left"/>
        <w:rPr>
          <w:rFonts w:hAnsi="宋体"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实际: </w:t>
      </w:r>
      <w:r>
        <w:rPr>
          <w:rFonts w:hAnsi="宋体" w:hint="eastAsia"/>
          <w:sz w:val="24"/>
          <w:szCs w:val="24"/>
        </w:rPr>
        <w:t>2023年3月15日－2023年4月27日</w:t>
      </w:r>
    </w:p>
    <w:p>
      <w:pPr>
        <w:pStyle w:val="PlainText"/>
        <w:spacing w:line="360" w:lineRule="auto"/>
        <w:ind w:firstLine="480" w:firstLineChars="200"/>
        <w:jc w:val="left"/>
        <w:rPr>
          <w:rFonts w:hint="eastAsia"/>
          <w:b/>
          <w:bCs/>
          <w:sz w:val="28"/>
        </w:rPr>
      </w:pPr>
      <w:r>
        <w:rPr>
          <w:rFonts w:hint="eastAsia"/>
          <w:color w:val="FF0000"/>
          <w:sz w:val="24"/>
          <w:szCs w:val="24"/>
        </w:rPr>
        <w:cr/>
      </w:r>
      <w:r>
        <w:rPr>
          <w:rFonts w:hint="eastAsia"/>
          <w:b/>
          <w:bCs/>
          <w:sz w:val="28"/>
        </w:rPr>
        <w:t>三、工程工程主要内容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盘柜卫生清扫。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电机卫生清扫及绝缘检查；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电气回路检查。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元器件检查。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1-9号弧门1-3号油泵电机更换润滑油脂；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1-9号弧门启闭机设备卫生清扫；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1号弧门回油箱滤油；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1-9号弧门进油滤芯、高压滤芯、回油滤芯清洗或更换；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弧门回油箱注油；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5、6、7号弧门底坎漏水处理；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通电调试。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静水启、闭门试验。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通讯系统检查和远方联动。</w:t>
      </w:r>
    </w:p>
    <w:p>
      <w:pPr>
        <w:pStyle w:val="PlainText"/>
        <w:numPr>
          <w:ilvl w:val="0"/>
          <w:numId w:val="3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动水启闭门试验。</w:t>
      </w:r>
    </w:p>
    <w:p>
      <w:pPr>
        <w:pStyle w:val="PlainText"/>
        <w:spacing w:line="360" w:lineRule="auto"/>
        <w:jc w:val="left"/>
        <w:rPr>
          <w:rFonts w:hint="eastAsia"/>
          <w:b/>
          <w:bCs/>
          <w:sz w:val="28"/>
        </w:rPr>
        <w:sectPr>
          <w:type w:val="nextPage"/>
          <w:pgSz w:w="11906" w:h="16838"/>
          <w:pgMar w:top="1162" w:right="1270" w:bottom="1162" w:left="1230" w:header="851" w:footer="851" w:gutter="0"/>
          <w:pgNumType w:start="2"/>
          <w:cols w:space="708"/>
          <w:titlePg w:val="0"/>
          <w:docGrid w:type="lines" w:linePitch="312"/>
        </w:sectPr>
      </w:pPr>
      <w:r>
        <w:rPr>
          <w:rFonts w:hint="eastAsia"/>
          <w:b/>
          <w:sz w:val="28"/>
        </w:rPr>
        <w:t>四、</w:t>
      </w:r>
      <w:r>
        <w:rPr>
          <w:rFonts w:hint="eastAsia"/>
          <w:b/>
          <w:bCs/>
          <w:sz w:val="28"/>
        </w:rPr>
        <w:t>工程工程施工过程及方法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盘柜卫生清扫</w:t>
      </w:r>
    </w:p>
    <w:p>
      <w:pPr>
        <w:pStyle w:val="PlainText"/>
        <w:numPr>
          <w:ilvl w:val="0"/>
          <w:numId w:val="5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各表孔电气柜卫生清扫</w:t>
      </w:r>
    </w:p>
    <w:p>
      <w:pPr>
        <w:pStyle w:val="PlainText"/>
        <w:tabs>
          <w:tab w:val="left" w:pos="709"/>
        </w:tabs>
        <w:spacing w:line="360" w:lineRule="auto"/>
        <w:ind w:left="993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1－9号弧门表孔控制室内各有动力柜2屏，控制柜1屏，清扫柜内母排、空开、交流接触器、软启、电路板、端子排、继电器等部件外表卫生，清理接触器触头污物。 清理通风风扇罩内水泥等杂物。</w:t>
      </w:r>
    </w:p>
    <w:p>
      <w:pPr>
        <w:pStyle w:val="PlainText"/>
        <w:numPr>
          <w:ilvl w:val="0"/>
          <w:numId w:val="5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各表孔端子箱、阀组卫生清扫</w:t>
      </w:r>
    </w:p>
    <w:p>
      <w:pPr>
        <w:pStyle w:val="PlainText"/>
        <w:tabs>
          <w:tab w:val="left" w:pos="709"/>
        </w:tabs>
        <w:spacing w:line="360" w:lineRule="auto"/>
        <w:ind w:left="993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每表孔在油箱和阀组处分别有两个现地端子箱，清理端子箱杂物和油污。清理现地各电磁阀、组合阀体、传感器污物。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电机卫生清扫及绝缘检查</w:t>
      </w:r>
    </w:p>
    <w:p>
      <w:pPr>
        <w:pStyle w:val="PlainText"/>
        <w:numPr>
          <w:ilvl w:val="0"/>
          <w:numId w:val="6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电机卫生清扫</w:t>
      </w:r>
    </w:p>
    <w:p>
      <w:pPr>
        <w:pStyle w:val="PlainText"/>
        <w:tabs>
          <w:tab w:val="left" w:pos="709"/>
        </w:tabs>
        <w:spacing w:line="360" w:lineRule="auto"/>
        <w:ind w:left="993"/>
        <w:jc w:val="left"/>
        <w:rPr>
          <w:rFonts w:hint="eastAsia"/>
          <w:bCs/>
          <w:sz w:val="24"/>
          <w:szCs w:val="24"/>
        </w:rPr>
      </w:pPr>
      <w:r>
        <w:rPr>
          <w:rFonts w:hAnsi="宋体" w:hint="eastAsia"/>
          <w:sz w:val="24"/>
        </w:rPr>
        <w:t>清扫电机外表卫生，翻开电机风罩，清理风罩内油污。</w:t>
      </w:r>
    </w:p>
    <w:p>
      <w:pPr>
        <w:pStyle w:val="PlainText"/>
        <w:numPr>
          <w:ilvl w:val="0"/>
          <w:numId w:val="6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电机绝缘检查</w:t>
      </w:r>
    </w:p>
    <w:p>
      <w:pPr>
        <w:pStyle w:val="PlainText"/>
        <w:tabs>
          <w:tab w:val="left" w:pos="709"/>
        </w:tabs>
        <w:spacing w:line="360" w:lineRule="auto"/>
        <w:ind w:left="993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翻开电机接线盒，紧固接线端子，检查设备无异味，盘动电机轴检查轴承无异常，用500V摇表摇测电机绝缘正常。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电气回路检查</w:t>
      </w:r>
    </w:p>
    <w:p>
      <w:pPr>
        <w:pStyle w:val="PlainText"/>
        <w:numPr>
          <w:ilvl w:val="0"/>
          <w:numId w:val="7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按照图纸核对动力柜、控制柜、与各端子箱、自动化元器件接线并紧固和加以整理标准；清理自动化元件赫斯曼接头污物，紧固螺钉。</w:t>
      </w:r>
    </w:p>
    <w:p>
      <w:pPr>
        <w:pStyle w:val="PlainText"/>
        <w:numPr>
          <w:ilvl w:val="0"/>
          <w:numId w:val="7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按照图纸核对自动化元件反应信号、开度仪信号接线；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Ansi="宋体" w:hint="eastAsia"/>
          <w:b/>
          <w:sz w:val="24"/>
        </w:rPr>
      </w:pPr>
      <w:r>
        <w:rPr>
          <w:rFonts w:hAnsi="宋体" w:hint="eastAsia"/>
          <w:b/>
          <w:sz w:val="24"/>
        </w:rPr>
        <w:t>元器件检查：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端子检查紧固无松动；接插件检查无松动；继电器检查无损坏；接触器检查正常；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电磁阀通电检查正常，接点通断检查正常，外观正常；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限位接点及压力开关外观检查正常；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液位、压力开关外观检查正常，传感数据与机械压力表指示一致；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开度传感器检查正常；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按钮、切换开关检查正常；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电源开关、保险、指示灯、切换开关、按钮、压力继电器、仪表等元件检查正常，更换各柜内损坏的照明熔断器、灯泡；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电源空开标识完善；</w:t>
      </w:r>
    </w:p>
    <w:p>
      <w:pPr>
        <w:pStyle w:val="PlainText"/>
        <w:numPr>
          <w:ilvl w:val="0"/>
          <w:numId w:val="8"/>
        </w:numPr>
        <w:tabs>
          <w:tab w:val="left" w:pos="709"/>
        </w:tabs>
        <w:spacing w:line="360" w:lineRule="auto"/>
        <w:ind w:left="993" w:hanging="709"/>
        <w:jc w:val="left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液压回路检查元器件紧固，更换漏油液压元件的密封件。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Ansi="宋体" w:hint="eastAsia"/>
          <w:b/>
          <w:sz w:val="24"/>
          <w:szCs w:val="24"/>
        </w:rPr>
      </w:pPr>
      <w:r>
        <w:rPr>
          <w:rFonts w:hAnsi="宋体" w:hint="eastAsia"/>
          <w:b/>
          <w:sz w:val="24"/>
          <w:szCs w:val="24"/>
        </w:rPr>
        <w:t>1-9号弧门1-3号油泵电机更换润滑油脂；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Ansi="宋体" w:hint="eastAsia"/>
          <w:sz w:val="24"/>
          <w:szCs w:val="24"/>
        </w:rPr>
        <w:sectPr>
          <w:type w:val="nextPage"/>
          <w:pgSz w:w="11906" w:h="16838"/>
          <w:pgMar w:top="1162" w:right="1270" w:bottom="1162" w:left="1230" w:header="851" w:footer="851" w:gutter="0"/>
          <w:pgNumType w:start="3"/>
          <w:cols w:space="708"/>
          <w:titlePg w:val="0"/>
          <w:docGrid w:type="lines" w:linePitch="312"/>
        </w:sectPr>
      </w:pP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将1-3号油泵电机解体，对电机前、后端盖轴承进行检查无异常，将其润滑油脂进行更换为高速电机润滑油脂，回装油泵后进行空载试运行，电机运行正常。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Ansi="宋体" w:hint="eastAsia"/>
          <w:b/>
          <w:sz w:val="24"/>
          <w:szCs w:val="24"/>
        </w:rPr>
      </w:pPr>
      <w:r>
        <w:rPr>
          <w:rFonts w:hAnsi="宋体" w:hint="eastAsia"/>
          <w:b/>
          <w:sz w:val="24"/>
          <w:szCs w:val="24"/>
        </w:rPr>
        <w:t>1号弧门回油箱滤油；</w:t>
      </w:r>
    </w:p>
    <w:p>
      <w:pPr>
        <w:pStyle w:val="PlainText"/>
        <w:tabs>
          <w:tab w:val="left" w:pos="709"/>
        </w:tabs>
        <w:spacing w:line="360" w:lineRule="auto"/>
        <w:ind w:left="993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将临时油罐的油用框式滤油机进行循环过滤，到更换三次滤纸后无肉眼可见污染物；注入回油箱后，取油样送检化验合格。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Ansi="宋体" w:hint="eastAsia"/>
          <w:b/>
          <w:sz w:val="24"/>
          <w:szCs w:val="24"/>
        </w:rPr>
        <w:t>1-9号弧门进油滤芯、高压滤芯、回油滤芯清洗或更换；</w:t>
      </w:r>
    </w:p>
    <w:p>
      <w:pPr>
        <w:pStyle w:val="PlainText"/>
        <w:tabs>
          <w:tab w:val="left" w:pos="709"/>
        </w:tabs>
        <w:spacing w:line="360" w:lineRule="auto"/>
        <w:ind w:left="993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每孔弧门液压系统共有进油滤芯3个，高压滤芯1个，回油滤芯1个，回油滤芯堵塞信号动作于报警，进油和高压滤芯堵塞信号动作于停机。拆卸各滤芯，检查滤芯铜网堵塞情况，1号-4号弧门进油滤芯、高压滤芯用汽油清洗干净，5-8号弧门进油滤芯、高压滤芯进行了更换，1号-9号弧门的回油滤芯用汽油清洗干净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弧门回油箱注油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color w:val="FF0000"/>
          <w:sz w:val="24"/>
          <w:szCs w:val="24"/>
        </w:rPr>
      </w:pPr>
      <w:r>
        <w:rPr>
          <w:rFonts w:hint="eastAsia"/>
          <w:bCs/>
          <w:sz w:val="24"/>
          <w:szCs w:val="24"/>
        </w:rPr>
        <w:t>将已经滤油至合格的透平油注入弧门回油箱，1号弧门回油箱油位为</w:t>
      </w:r>
      <w:r>
        <w:rPr>
          <w:rFonts w:hint="eastAsia"/>
          <w:bCs/>
          <w:color w:val="FF0000"/>
          <w:sz w:val="24"/>
          <w:szCs w:val="24"/>
        </w:rPr>
        <w:t>860mm、</w:t>
      </w:r>
      <w:r>
        <w:rPr>
          <w:rFonts w:hint="eastAsia"/>
          <w:bCs/>
          <w:sz w:val="24"/>
          <w:szCs w:val="24"/>
        </w:rPr>
        <w:t>2号弧门回油箱油位为</w:t>
      </w:r>
      <w:r>
        <w:rPr>
          <w:rFonts w:hint="eastAsia"/>
          <w:bCs/>
          <w:color w:val="FF0000"/>
          <w:sz w:val="24"/>
          <w:szCs w:val="24"/>
        </w:rPr>
        <w:t>855mm、</w:t>
      </w:r>
      <w:r>
        <w:rPr>
          <w:rFonts w:hint="eastAsia"/>
          <w:bCs/>
          <w:sz w:val="24"/>
          <w:szCs w:val="24"/>
        </w:rPr>
        <w:t>3号弧门回油箱油位为</w:t>
      </w:r>
      <w:r>
        <w:rPr>
          <w:rFonts w:hint="eastAsia"/>
          <w:bCs/>
          <w:color w:val="FF0000"/>
          <w:sz w:val="24"/>
          <w:szCs w:val="24"/>
        </w:rPr>
        <w:t>815mm、</w:t>
      </w:r>
      <w:r>
        <w:rPr>
          <w:rFonts w:hint="eastAsia"/>
          <w:bCs/>
          <w:sz w:val="24"/>
          <w:szCs w:val="24"/>
        </w:rPr>
        <w:t>4号弧门回油箱油位为</w:t>
      </w:r>
      <w:r>
        <w:rPr>
          <w:rFonts w:hint="eastAsia"/>
          <w:bCs/>
          <w:color w:val="FF0000"/>
          <w:sz w:val="24"/>
          <w:szCs w:val="24"/>
        </w:rPr>
        <w:t>810mm、</w:t>
      </w:r>
      <w:r>
        <w:rPr>
          <w:rFonts w:hint="eastAsia"/>
          <w:bCs/>
          <w:sz w:val="24"/>
          <w:szCs w:val="24"/>
        </w:rPr>
        <w:t>5号弧门回油箱油位为</w:t>
      </w:r>
      <w:r>
        <w:rPr>
          <w:rFonts w:hint="eastAsia"/>
          <w:bCs/>
          <w:color w:val="FF0000"/>
          <w:sz w:val="24"/>
          <w:szCs w:val="24"/>
        </w:rPr>
        <w:t>810mm、</w:t>
      </w:r>
      <w:r>
        <w:rPr>
          <w:rFonts w:hint="eastAsia"/>
          <w:bCs/>
          <w:sz w:val="24"/>
          <w:szCs w:val="24"/>
        </w:rPr>
        <w:t>6号弧门回油箱油位为</w:t>
      </w:r>
      <w:r>
        <w:rPr>
          <w:rFonts w:hint="eastAsia"/>
          <w:bCs/>
          <w:color w:val="FF0000"/>
          <w:sz w:val="24"/>
          <w:szCs w:val="24"/>
        </w:rPr>
        <w:t>877mm、</w:t>
      </w:r>
      <w:r>
        <w:rPr>
          <w:rFonts w:hint="eastAsia"/>
          <w:bCs/>
          <w:sz w:val="24"/>
          <w:szCs w:val="24"/>
        </w:rPr>
        <w:t>7号弧门回油箱油位为</w:t>
      </w:r>
      <w:r>
        <w:rPr>
          <w:rFonts w:hint="eastAsia"/>
          <w:bCs/>
          <w:color w:val="FF0000"/>
          <w:sz w:val="24"/>
          <w:szCs w:val="24"/>
        </w:rPr>
        <w:t>830mm、</w:t>
      </w:r>
      <w:r>
        <w:rPr>
          <w:rFonts w:hint="eastAsia"/>
          <w:bCs/>
          <w:sz w:val="24"/>
          <w:szCs w:val="24"/>
        </w:rPr>
        <w:t>8号弧门回油箱油位为</w:t>
      </w:r>
      <w:r>
        <w:rPr>
          <w:rFonts w:hint="eastAsia"/>
          <w:bCs/>
          <w:color w:val="FF0000"/>
          <w:sz w:val="24"/>
          <w:szCs w:val="24"/>
        </w:rPr>
        <w:t>835mm、</w:t>
      </w:r>
      <w:r>
        <w:rPr>
          <w:rFonts w:hint="eastAsia"/>
          <w:bCs/>
          <w:sz w:val="24"/>
          <w:szCs w:val="24"/>
        </w:rPr>
        <w:t>9号弧门回油箱油位为</w:t>
      </w:r>
      <w:r>
        <w:rPr>
          <w:rFonts w:hint="eastAsia"/>
          <w:bCs/>
          <w:color w:val="FF0000"/>
          <w:sz w:val="24"/>
          <w:szCs w:val="24"/>
        </w:rPr>
        <w:t>870mm。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Ansi="宋体" w:hint="eastAsia"/>
          <w:b/>
          <w:sz w:val="24"/>
          <w:szCs w:val="24"/>
        </w:rPr>
      </w:pPr>
      <w:r>
        <w:rPr>
          <w:rFonts w:hAnsi="宋体" w:hint="eastAsia"/>
          <w:b/>
          <w:sz w:val="24"/>
          <w:szCs w:val="24"/>
        </w:rPr>
        <w:t>弧门底坎漏水处理</w:t>
      </w:r>
    </w:p>
    <w:p>
      <w:pPr>
        <w:pStyle w:val="PlainText"/>
        <w:numPr>
          <w:ilvl w:val="0"/>
          <w:numId w:val="9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检查弧门底坎、侧坎漏水情况，落下检修门后，将弧门开启到700mm开度，在泵站阀组出口处关断油缸上下压腔截止阀。检查底坎止水橡胶情况。5、6、7号弧门底坎存在漏水，检查为侧坎底部处止水橡胶钢压板不够，测量尺寸重新制作一块</w:t>
      </w:r>
      <w:r>
        <w:rPr>
          <w:rFonts w:hint="eastAsia"/>
          <w:bCs/>
          <w:sz w:val="24"/>
          <w:szCs w:val="24"/>
        </w:rPr>
        <w:t>δ</w:t>
      </w:r>
      <w:r>
        <w:rPr>
          <w:rFonts w:hint="eastAsia"/>
          <w:bCs/>
          <w:sz w:val="24"/>
          <w:szCs w:val="24"/>
        </w:rPr>
        <w:t>10mm的钢板抵压止水橡胶，并在压接缝隙处增压橡胶皮。</w:t>
      </w:r>
    </w:p>
    <w:p>
      <w:pPr>
        <w:pStyle w:val="PlainText"/>
        <w:numPr>
          <w:ilvl w:val="0"/>
          <w:numId w:val="9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止水处理效果检查：弧门全关到位后，使用门机提升上节检修门约100mm开度，充水后检查止水处理效果，底坎漏水经处理后取得良好效果。</w:t>
      </w:r>
    </w:p>
    <w:p>
      <w:pPr>
        <w:pStyle w:val="PlainText"/>
        <w:numPr>
          <w:ilvl w:val="0"/>
          <w:numId w:val="9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对1号、2号、3号、4号、8号、9号弧门底坎进行观察没有漏水情况。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各屏柜通电调试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检查各屏柜动力电源、交流电源正常，直流电源模块输出电压正常；交流电源切换正常；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各电机手动启动、自动启开工作正常；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LCD显示器与PLC通讯正常、LCD操作正常；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检查LCD显示器画面正常；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检查各自动化元器件工作正常；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本地模拟及弧门集控信号正常；</w:t>
      </w:r>
    </w:p>
    <w:p>
      <w:pPr>
        <w:pStyle w:val="PlainText"/>
        <w:numPr>
          <w:ilvl w:val="0"/>
          <w:numId w:val="10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  <w:sectPr>
          <w:type w:val="nextPage"/>
          <w:pgSz w:w="11906" w:h="16838"/>
          <w:pgMar w:top="1162" w:right="1270" w:bottom="1162" w:left="1230" w:header="851" w:footer="851" w:gutter="0"/>
          <w:pgNumType w:start="4"/>
          <w:cols w:space="708"/>
          <w:titlePg w:val="0"/>
          <w:docGrid w:type="lines" w:linePitch="312"/>
        </w:sectPr>
      </w:pPr>
      <w:r>
        <w:rPr>
          <w:rFonts w:hint="eastAsia"/>
          <w:bCs/>
          <w:sz w:val="24"/>
          <w:szCs w:val="24"/>
        </w:rPr>
        <w:t>8号弧门控制柜上电时PLC</w:t>
      </w:r>
      <w:r>
        <w:rPr>
          <w:rFonts w:hint="eastAsia"/>
          <w:bCs/>
          <w:sz w:val="24"/>
          <w:szCs w:val="24"/>
        </w:rPr>
        <w:t xml:space="preserve"> 输出模块〔TSX</w:t>
      </w:r>
      <w:r>
        <w:rPr>
          <w:rFonts w:hint="eastAsia"/>
          <w:bCs/>
          <w:sz w:val="24"/>
          <w:szCs w:val="24"/>
        </w:rPr>
        <w:t xml:space="preserve"> DSY</w:t>
      </w:r>
    </w:p>
    <w:p>
      <w:pPr>
        <w:pStyle w:val="PlainText"/>
        <w:numPr>
          <w:ilvl w:val="0"/>
          <w:numId w:val="0"/>
        </w:numPr>
        <w:tabs>
          <w:tab w:val="left" w:pos="709"/>
        </w:tabs>
        <w:spacing w:line="360" w:lineRule="auto"/>
        <w:ind w:left="1380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32T2K-A〕1号输出点指示灯常亮，检查该点并未开出，判断此模块损坏并将其更换，系统正常。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静水启闭试验</w:t>
      </w:r>
    </w:p>
    <w:p>
      <w:pPr>
        <w:pStyle w:val="PlainText"/>
        <w:numPr>
          <w:ilvl w:val="0"/>
          <w:numId w:val="11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空载试验：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检查电机手动、PLC程控状态启动、停机回路正常，测量电气参数无异常，软启及旁路系统、压力卸荷阀工作正常，传感器模拟量显示正常。在系统注油后初次启动时，液压泵振动较大，回路充油后消除，判定为空吸导致。</w:t>
      </w:r>
    </w:p>
    <w:p>
      <w:pPr>
        <w:pStyle w:val="PlainText"/>
        <w:numPr>
          <w:ilvl w:val="0"/>
          <w:numId w:val="11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静水启门试验：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color w:val="FF0000"/>
          <w:sz w:val="24"/>
          <w:szCs w:val="24"/>
        </w:rPr>
      </w:pPr>
      <w:r>
        <w:rPr>
          <w:rFonts w:hint="eastAsia"/>
          <w:bCs/>
          <w:sz w:val="24"/>
          <w:szCs w:val="24"/>
        </w:rPr>
        <w:t>各表孔启门50mm开度，其中5、6、7号表孔做PLC程控全开试验。检查系统电磁阀、液压阀工作情况正常，以及管路充压后未见泄漏，压力、温度、液位传感器传感数据正常，开度仪动作灵敏，比例阀工作正常，自动纠偏工作正常。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启门压力、启门速度符合系统设计要求，各反应、指示信号正常。系统工作压力18－21Mpa，油缸处压力表指示启门压力17.5-18Mpa。电机、泵头温升正常，液压系统无异音。全开弧门过程30分钟，速度0.5-0.8m之间，全开行程结束，油温上升6</w:t>
      </w:r>
      <w:r>
        <w:rPr>
          <w:rFonts w:hint="eastAsia"/>
          <w:bCs/>
          <w:sz w:val="24"/>
          <w:szCs w:val="24"/>
        </w:rPr>
        <w:t>℃</w:t>
      </w:r>
      <w:r>
        <w:rPr>
          <w:rFonts w:hint="eastAsia"/>
          <w:bCs/>
          <w:sz w:val="24"/>
          <w:szCs w:val="24"/>
        </w:rPr>
        <w:t>即趋于稳定。</w:t>
      </w:r>
    </w:p>
    <w:p>
      <w:pPr>
        <w:pStyle w:val="PlainText"/>
        <w:numPr>
          <w:ilvl w:val="0"/>
          <w:numId w:val="11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静水闭门试验：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静水状态启动系统闭门到全关状态，系统压力正常，油缸上腔压力0.5Mpa，系统压力1.5Mpa。系统无异音，无泄漏，自动纠偏正常，200mm开度自重闭门动作正常；闭门到位加压闭门动作正常，系统憋压小于到22Mpa，系统压力溢流阀动作良好。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通讯系统检查和远方联动</w:t>
      </w:r>
    </w:p>
    <w:p>
      <w:pPr>
        <w:pStyle w:val="PlainText"/>
        <w:numPr>
          <w:ilvl w:val="0"/>
          <w:numId w:val="12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弧门集控两台主机主从切换、单机运行正常，控制权切换正常；</w:t>
      </w:r>
    </w:p>
    <w:p>
      <w:pPr>
        <w:pStyle w:val="PlainText"/>
        <w:numPr>
          <w:ilvl w:val="0"/>
          <w:numId w:val="12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中控室远方操作发令启各个弧门到指定开度、全关令，系统动作正常； </w:t>
      </w:r>
    </w:p>
    <w:p>
      <w:pPr>
        <w:pStyle w:val="PlainText"/>
        <w:numPr>
          <w:ilvl w:val="0"/>
          <w:numId w:val="12"/>
        </w:numPr>
        <w:tabs>
          <w:tab w:val="left" w:pos="709"/>
        </w:tabs>
        <w:spacing w:line="360" w:lineRule="auto"/>
        <w:ind w:left="993" w:hanging="709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二类报警信号远方复归正常</w:t>
      </w:r>
    </w:p>
    <w:p>
      <w:pPr>
        <w:pStyle w:val="PlainText"/>
        <w:numPr>
          <w:ilvl w:val="0"/>
          <w:numId w:val="4"/>
        </w:numPr>
        <w:tabs>
          <w:tab w:val="left" w:pos="567"/>
          <w:tab w:val="left" w:pos="709"/>
          <w:tab w:val="clear" w:pos="960"/>
        </w:tabs>
        <w:spacing w:line="360" w:lineRule="auto"/>
        <w:ind w:hanging="534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动水启闭门试验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根据动水启闭试验方案对1-9孔弧门进行了动水试验，试验数据如下表：</w:t>
      </w: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bCs/>
          <w:color w:val="FF0000"/>
          <w:sz w:val="24"/>
          <w:szCs w:val="24"/>
        </w:rPr>
        <w:sectPr>
          <w:type w:val="nextPage"/>
          <w:pgSz w:w="11906" w:h="16838"/>
          <w:pgMar w:top="1162" w:right="1270" w:bottom="1162" w:left="1230" w:header="851" w:footer="851" w:gutter="0"/>
          <w:pgNumType w:start="5"/>
          <w:cols w:space="708"/>
          <w:titlePg w:val="0"/>
          <w:docGrid w:type="lines" w:linePitch="312"/>
        </w:sectPr>
      </w:pPr>
    </w:p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彭水水电站大坝表孔弧门汛前动水启闭试验记录</w:t>
      </w:r>
    </w:p>
    <w:p>
      <w:pPr>
        <w:rPr>
          <w:color w:val="FF0000"/>
        </w:rPr>
      </w:pPr>
      <w:r>
        <w:rPr>
          <w:rFonts w:hint="eastAsia"/>
        </w:rPr>
        <w:t xml:space="preserve">试验水位：289 m                   记录人： 李衬、肖力    </w:t>
      </w:r>
      <w:r>
        <w:rPr>
          <w:rFonts w:hint="eastAsia"/>
          <w:color w:val="FF0000"/>
        </w:rPr>
        <w:t xml:space="preserve">                                                  </w:t>
      </w:r>
      <w:r>
        <w:rPr>
          <w:rFonts w:hint="eastAsia"/>
        </w:rPr>
        <w:t>日期：2023年04月27日</w:t>
      </w:r>
      <w:r>
        <w:rPr>
          <w:rFonts w:hint="eastAsia"/>
          <w:b/>
          <w:bCs/>
        </w:rPr>
        <w:t xml:space="preserve">  </w:t>
      </w:r>
      <w:r>
        <w:rPr>
          <w:rFonts w:hint="eastAsia"/>
          <w:b/>
          <w:bCs/>
          <w:color w:val="FF0000"/>
        </w:rPr>
        <w:t xml:space="preserve">                                                                                                  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11"/>
        <w:gridCol w:w="590"/>
        <w:gridCol w:w="590"/>
        <w:gridCol w:w="608"/>
        <w:gridCol w:w="636"/>
        <w:gridCol w:w="636"/>
        <w:gridCol w:w="636"/>
        <w:gridCol w:w="732"/>
        <w:gridCol w:w="773"/>
        <w:gridCol w:w="905"/>
        <w:gridCol w:w="876"/>
        <w:gridCol w:w="876"/>
        <w:gridCol w:w="973"/>
        <w:gridCol w:w="973"/>
        <w:gridCol w:w="711"/>
        <w:gridCol w:w="715"/>
        <w:gridCol w:w="712"/>
        <w:gridCol w:w="674"/>
        <w:gridCol w:w="712"/>
        <w:gridCol w:w="691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0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参数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88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电压〔V〕</w:t>
            </w:r>
          </w:p>
        </w:tc>
        <w:tc>
          <w:tcPr>
            <w:tcW w:w="1908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启门电流〔A〕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残压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压力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启门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压力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启门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速度</w:t>
            </w:r>
          </w:p>
        </w:tc>
        <w:tc>
          <w:tcPr>
            <w:tcW w:w="1752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启门开度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〔mm〕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闭门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压力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闭门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速度</w:t>
            </w:r>
          </w:p>
        </w:tc>
        <w:tc>
          <w:tcPr>
            <w:tcW w:w="1426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闭门开度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〔mm〕</w:t>
            </w:r>
          </w:p>
        </w:tc>
        <w:tc>
          <w:tcPr>
            <w:tcW w:w="2789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控制方式选择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5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弧门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AB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BC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AC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1#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2#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3#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MPa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MPa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m/min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左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右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MPa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m/min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左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右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手动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PLC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集控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中控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407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407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407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74.1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74.8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73.2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-1.40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19.04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0.580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202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203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0.87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0.785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409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409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409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71.5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71.0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72.3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-0.09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18.73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0.512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502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0.97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0.701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406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406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405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75.2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75.1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74.8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-0.13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18.64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0.565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496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1.15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0.755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2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408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407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407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69.5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70.2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70.7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7.30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26.35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0.479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492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8.5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0.721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-4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-2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409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409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409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71.1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70.2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70.5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0.28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19.15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0.440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497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1.33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0.748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8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410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410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410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69.6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68.5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67.5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0.31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18.98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0.380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496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1.53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0.734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3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405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405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405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70.0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70.0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69.0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1.16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19.73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0.572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494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2.45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0.727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-1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-3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403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403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403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71.9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73.9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73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0.44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19.6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0.758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502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501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1.54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0.775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3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3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</w:trPr>
        <w:tc>
          <w:tcPr>
            <w:tcW w:w="7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9号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412</w:t>
            </w:r>
          </w:p>
        </w:tc>
        <w:tc>
          <w:tcPr>
            <w:tcW w:w="59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410</w:t>
            </w:r>
          </w:p>
        </w:tc>
        <w:tc>
          <w:tcPr>
            <w:tcW w:w="60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411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74.0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75.9</w:t>
            </w:r>
          </w:p>
        </w:tc>
        <w:tc>
          <w:tcPr>
            <w:tcW w:w="63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74.6</w:t>
            </w:r>
          </w:p>
        </w:tc>
        <w:tc>
          <w:tcPr>
            <w:tcW w:w="732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0.16</w:t>
            </w:r>
          </w:p>
        </w:tc>
        <w:tc>
          <w:tcPr>
            <w:tcW w:w="7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19.35</w:t>
            </w:r>
          </w:p>
        </w:tc>
        <w:tc>
          <w:tcPr>
            <w:tcW w:w="90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0.598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500</w:t>
            </w:r>
          </w:p>
        </w:tc>
        <w:tc>
          <w:tcPr>
            <w:tcW w:w="876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490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1.21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0.802</w:t>
            </w:r>
          </w:p>
        </w:tc>
        <w:tc>
          <w:tcPr>
            <w:tcW w:w="711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6</w:t>
            </w:r>
          </w:p>
        </w:tc>
        <w:tc>
          <w:tcPr>
            <w:tcW w:w="715" w:type="dxa"/>
            <w:vAlign w:val="center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5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674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4"/>
              </w:rPr>
              <w:t>／</w:t>
            </w: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  <w:tc>
          <w:tcPr>
            <w:tcW w:w="691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√</w:t>
            </w:r>
          </w:p>
        </w:tc>
      </w:tr>
    </w:tbl>
    <w:p>
      <w:pPr>
        <w:rPr>
          <w:rFonts w:hint="eastAsia"/>
          <w:color w:val="FF0000"/>
        </w:rPr>
      </w:pPr>
    </w:p>
    <w:p>
      <w:pPr>
        <w:pStyle w:val="PlainText"/>
        <w:tabs>
          <w:tab w:val="left" w:pos="709"/>
        </w:tabs>
        <w:spacing w:line="360" w:lineRule="auto"/>
        <w:ind w:left="960"/>
        <w:jc w:val="left"/>
        <w:rPr>
          <w:rFonts w:hint="eastAsia"/>
          <w:bCs/>
          <w:color w:val="FF0000"/>
          <w:sz w:val="24"/>
          <w:szCs w:val="24"/>
        </w:rPr>
      </w:pPr>
    </w:p>
    <w:p>
      <w:pPr>
        <w:pStyle w:val="PlainText"/>
        <w:spacing w:line="360" w:lineRule="auto"/>
        <w:jc w:val="left"/>
        <w:rPr>
          <w:b/>
          <w:color w:val="FF0000"/>
          <w:sz w:val="28"/>
        </w:rPr>
        <w:sectPr>
          <w:pgSz w:w="16838" w:h="11906" w:orient="landscape"/>
          <w:pgMar w:top="1418" w:right="1247" w:bottom="1247" w:left="1077" w:header="851" w:footer="851" w:gutter="0"/>
          <w:pgNumType w:start="6"/>
          <w:cols w:space="708"/>
          <w:titlePg/>
          <w:docGrid w:type="linesAndChars" w:linePitch="312"/>
        </w:sectPr>
      </w:pPr>
    </w:p>
    <w:p>
      <w:pPr>
        <w:pStyle w:val="PlainText"/>
        <w:spacing w:line="360" w:lineRule="auto"/>
        <w:jc w:val="left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五、工程工程施工质量与遗留问题</w:t>
      </w:r>
    </w:p>
    <w:p>
      <w:pPr>
        <w:pStyle w:val="PlainText"/>
        <w:spacing w:line="360" w:lineRule="auto"/>
        <w:ind w:firstLine="470" w:firstLineChars="196"/>
        <w:jc w:val="lef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本工程施工质量优良，设备试运行良好，无遗留问题。</w:t>
      </w:r>
    </w:p>
    <w:p>
      <w:pPr>
        <w:pStyle w:val="PlainText"/>
        <w:spacing w:line="360" w:lineRule="auto"/>
        <w:jc w:val="left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六、竣工资料清单〔设计图纸、试验报告、设备说明书等〕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8"/>
        <w:gridCol w:w="6480"/>
        <w:gridCol w:w="900"/>
        <w:gridCol w:w="1249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6480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900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1249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调试记录</w:t>
            </w:r>
          </w:p>
        </w:tc>
        <w:tc>
          <w:tcPr>
            <w:tcW w:w="900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1份 </w:t>
            </w:r>
          </w:p>
        </w:tc>
        <w:tc>
          <w:tcPr>
            <w:tcW w:w="1249" w:type="dxa"/>
          </w:tcPr>
          <w:p>
            <w:pPr>
              <w:pStyle w:val="PlainText"/>
              <w:spacing w:line="360" w:lineRule="auto"/>
              <w:outlineLvl w:val="0"/>
              <w:rPr>
                <w:rFonts w:hint="eastAsia"/>
                <w:sz w:val="24"/>
                <w:szCs w:val="24"/>
              </w:rPr>
            </w:pPr>
          </w:p>
        </w:tc>
      </w:tr>
    </w:tbl>
    <w:p>
      <w:pPr>
        <w:pStyle w:val="PlainText"/>
        <w:spacing w:line="360" w:lineRule="auto"/>
        <w:outlineLvl w:val="0"/>
        <w:rPr>
          <w:rFonts w:hint="eastAsia"/>
          <w:b/>
          <w:sz w:val="28"/>
        </w:rPr>
      </w:pPr>
    </w:p>
    <w:p>
      <w:pPr>
        <w:pStyle w:val="PlainText"/>
        <w:spacing w:line="360" w:lineRule="auto"/>
        <w:outlineLvl w:val="0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七、施工单位盖章：</w:t>
      </w:r>
    </w:p>
    <w:p>
      <w:pPr>
        <w:pStyle w:val="PlainText"/>
        <w:spacing w:line="360" w:lineRule="auto"/>
        <w:rPr>
          <w:rFonts w:hint="eastAsia"/>
          <w:color w:val="FF0000"/>
          <w:sz w:val="28"/>
        </w:rPr>
      </w:pPr>
    </w:p>
    <w:p>
      <w:pPr>
        <w:pStyle w:val="PlainText"/>
        <w:spacing w:line="360" w:lineRule="auto"/>
        <w:ind w:firstLine="6020" w:firstLineChars="2150"/>
        <w:rPr>
          <w:rFonts w:hint="eastAsia"/>
          <w:sz w:val="28"/>
        </w:rPr>
      </w:pPr>
      <w:r>
        <w:rPr>
          <w:rFonts w:hint="eastAsia"/>
          <w:sz w:val="28"/>
        </w:rPr>
        <w:t>2023年05月20日</w:t>
      </w:r>
    </w:p>
    <w:p>
      <w:pPr>
        <w:pStyle w:val="PlainText"/>
        <w:spacing w:line="300" w:lineRule="auto"/>
        <w:ind w:firstLine="6160" w:firstLineChars="2200"/>
        <w:rPr>
          <w:rFonts w:hint="eastAsia"/>
          <w:color w:val="FF0000"/>
          <w:sz w:val="28"/>
        </w:rPr>
      </w:pPr>
    </w:p>
    <w:p>
      <w:pPr>
        <w:pStyle w:val="PlainText"/>
        <w:jc w:val="center"/>
        <w:rPr>
          <w:rFonts w:hint="eastAsia"/>
          <w:color w:val="FF0000"/>
          <w:sz w:val="28"/>
        </w:rPr>
      </w:pPr>
      <w:r>
        <w:rPr>
          <w:color w:val="FF0000"/>
          <w:sz w:val="20"/>
        </w:rPr>
        <w:pict>
          <v:line id="_x0000_s1025" style="mso-wrap-style:square;position:absolute;z-index:251658240" from="-9.4pt,2.75pt" to="437.1pt,2.75pt">
            <v:stroke linestyle="single"/>
            <o:lock v:ext="edit" aspectratio="f"/>
          </v:line>
        </w:pict>
      </w:r>
    </w:p>
    <w:p>
      <w:pPr>
        <w:pStyle w:val="PlainText"/>
        <w:rPr>
          <w:rFonts w:hint="eastAsia"/>
          <w:sz w:val="28"/>
        </w:rPr>
        <w:sectPr>
          <w:pgSz w:w="11906" w:h="16838"/>
          <w:pgMar w:top="1247" w:right="1247" w:bottom="1077" w:left="1418" w:header="851" w:footer="851" w:gutter="0"/>
          <w:pgNumType w:start="7"/>
          <w:cols w:space="708"/>
          <w:titlePg/>
          <w:docGrid w:type="lines" w:linePitch="312"/>
        </w:sectPr>
      </w:pPr>
      <w:r>
        <w:rPr>
          <w:rFonts w:hint="eastAsia"/>
          <w:sz w:val="24"/>
        </w:rPr>
        <w:t>附加说明：本报告由</w:t>
      </w:r>
      <w:r>
        <w:rPr>
          <w:rFonts w:ascii="华文行楷" w:eastAsia="华文行楷" w:hint="eastAsia"/>
          <w:sz w:val="24"/>
          <w:u w:val="single"/>
        </w:rPr>
        <w:t xml:space="preserve">湖南五凌电力工程   肖力、麦先春 </w:t>
      </w:r>
      <w:r>
        <w:rPr>
          <w:rFonts w:hint="eastAsia"/>
          <w:sz w:val="24"/>
        </w:rPr>
        <w:t>编制，</w:t>
      </w:r>
      <w:r>
        <w:rPr>
          <w:rFonts w:ascii="华文行楷" w:eastAsia="华文行楷" w:hint="eastAsia"/>
          <w:sz w:val="24"/>
          <w:u w:val="single"/>
        </w:rPr>
        <w:t xml:space="preserve"> 王仁权</w:t>
      </w:r>
      <w:r>
        <w:rPr>
          <w:rFonts w:ascii="华文行楷" w:eastAsia="华文行楷" w:hint="eastAsia"/>
          <w:sz w:val="24"/>
        </w:rPr>
        <w:t>审定</w:t>
      </w:r>
      <w:r>
        <w:rPr>
          <w:rFonts w:hint="eastAsia"/>
          <w:sz w:val="28"/>
        </w:rPr>
        <w:t>。</w:t>
      </w:r>
    </w:p>
    <w:p>
      <w:pPr>
        <w:pStyle w:val="PlainText"/>
        <w:spacing w:line="300" w:lineRule="auto"/>
        <w:rPr>
          <w:rFonts w:hint="eastAsia"/>
          <w:color w:val="FF0000"/>
          <w:sz w:val="28"/>
        </w:rPr>
      </w:pPr>
    </w:p>
    <w:p>
      <w:pPr>
        <w:pStyle w:val="PlainText"/>
        <w:spacing w:line="300" w:lineRule="auto"/>
        <w:rPr>
          <w:rFonts w:hint="eastAsia"/>
          <w:color w:val="FF0000"/>
          <w:sz w:val="28"/>
        </w:rPr>
      </w:pPr>
    </w:p>
    <w:p>
      <w:pPr>
        <w:pStyle w:val="PlainText"/>
        <w:spacing w:line="300" w:lineRule="auto"/>
        <w:rPr>
          <w:rFonts w:hint="eastAsia"/>
          <w:color w:val="FF0000"/>
          <w:sz w:val="28"/>
        </w:rPr>
      </w:pPr>
    </w:p>
    <w:p>
      <w:pPr>
        <w:pStyle w:val="PlainText"/>
        <w:rPr>
          <w:rFonts w:hint="eastAsia"/>
          <w:color w:val="FF0000"/>
          <w:sz w:val="28"/>
        </w:rPr>
      </w:pPr>
    </w:p>
    <w:p>
      <w:pPr>
        <w:pStyle w:val="PlainText"/>
        <w:spacing w:line="360" w:lineRule="auto"/>
        <w:jc w:val="center"/>
        <w:rPr>
          <w:rFonts w:ascii="华文新魏" w:eastAsia="华文新魏" w:hint="eastAsia"/>
          <w:b/>
          <w:sz w:val="44"/>
          <w:szCs w:val="44"/>
        </w:rPr>
      </w:pPr>
      <w:r>
        <w:rPr>
          <w:rFonts w:ascii="华文新魏" w:eastAsia="华文新魏" w:hint="eastAsia"/>
          <w:b/>
          <w:sz w:val="44"/>
          <w:szCs w:val="44"/>
        </w:rPr>
        <w:t>大唐国际彭水水电开发</w:t>
      </w:r>
      <w:r>
        <w:rPr>
          <w:rFonts w:ascii="仿宋_GB2312" w:eastAsia="仿宋_GB2312" w:hint="eastAsia"/>
          <w:b/>
          <w:bCs/>
          <w:sz w:val="36"/>
          <w:szCs w:val="36"/>
          <w:u w:val="single"/>
        </w:rPr>
        <w:t xml:space="preserve">彭水 </w:t>
      </w:r>
      <w:r>
        <w:rPr>
          <w:rFonts w:ascii="华文新魏" w:eastAsia="华文新魏" w:hint="eastAsia"/>
          <w:b/>
          <w:sz w:val="44"/>
          <w:szCs w:val="44"/>
        </w:rPr>
        <w:t>水电站</w:t>
      </w:r>
    </w:p>
    <w:p>
      <w:pPr>
        <w:pStyle w:val="PlainText"/>
        <w:spacing w:line="360" w:lineRule="auto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  <w:r>
        <w:rPr>
          <w:rFonts w:ascii="华文新魏" w:eastAsia="华文新魏" w:hint="eastAsia"/>
          <w:b/>
          <w:sz w:val="44"/>
          <w:szCs w:val="44"/>
        </w:rPr>
        <w:t>工程工程验收签证书</w:t>
        <w:cr/>
      </w: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PlainText"/>
        <w:jc w:val="center"/>
        <w:rPr>
          <w:rFonts w:ascii="华文新魏" w:eastAsia="华文新魏" w:hint="eastAsia"/>
          <w:b/>
          <w:color w:val="FF0000"/>
          <w:sz w:val="44"/>
          <w:szCs w:val="44"/>
        </w:rPr>
      </w:pPr>
    </w:p>
    <w:p>
      <w:pPr>
        <w:pStyle w:val="a"/>
        <w:spacing w:line="360" w:lineRule="auto"/>
        <w:ind w:firstLine="720" w:firstLineChars="200"/>
        <w:rPr>
          <w:rFonts w:hint="eastAsia"/>
          <w:sz w:val="36"/>
          <w:szCs w:val="44"/>
          <w:u w:val="single"/>
        </w:rPr>
      </w:pPr>
      <w:r>
        <w:rPr>
          <w:rFonts w:hint="eastAsia"/>
          <w:sz w:val="36"/>
          <w:szCs w:val="44"/>
        </w:rPr>
        <w:t>验收阶段：</w:t>
      </w:r>
      <w:r>
        <w:rPr>
          <w:rFonts w:ascii="仿宋_GB2312" w:eastAsia="仿宋_GB2312" w:hint="eastAsia"/>
          <w:sz w:val="32"/>
          <w:szCs w:val="32"/>
        </w:rPr>
        <w:t>竣工</w:t>
      </w:r>
    </w:p>
    <w:p>
      <w:pPr>
        <w:pStyle w:val="a"/>
        <w:spacing w:line="360" w:lineRule="auto"/>
        <w:ind w:left="2518" w:hanging="1796" w:leftChars="344" w:hangingChars="499"/>
        <w:rPr>
          <w:rFonts w:ascii="仿宋_GB2312" w:eastAsia="仿宋_GB2312" w:hint="eastAsia"/>
          <w:sz w:val="32"/>
          <w:szCs w:val="32"/>
        </w:rPr>
      </w:pPr>
      <w:r>
        <w:rPr>
          <w:rFonts w:hint="eastAsia"/>
          <w:sz w:val="36"/>
          <w:szCs w:val="44"/>
        </w:rPr>
        <w:t>工程名称：</w:t>
      </w:r>
      <w:r>
        <w:rPr>
          <w:rFonts w:ascii="仿宋_GB2312" w:eastAsia="仿宋_GB2312" w:hint="eastAsia"/>
          <w:sz w:val="32"/>
          <w:szCs w:val="32"/>
        </w:rPr>
        <w:t>1-9弧门汛前检修</w:t>
      </w:r>
    </w:p>
    <w:p>
      <w:pPr>
        <w:pStyle w:val="a"/>
        <w:spacing w:line="360" w:lineRule="auto"/>
        <w:ind w:firstLine="720" w:firstLineChars="20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施工单位：</w:t>
      </w:r>
      <w:r>
        <w:rPr>
          <w:rFonts w:ascii="仿宋_GB2312" w:eastAsia="仿宋_GB2312" w:hint="eastAsia"/>
          <w:sz w:val="32"/>
          <w:szCs w:val="32"/>
        </w:rPr>
        <w:t>湖南五凌电力工程</w:t>
      </w:r>
    </w:p>
    <w:p>
      <w:pPr>
        <w:pStyle w:val="a"/>
        <w:spacing w:line="360" w:lineRule="auto"/>
        <w:ind w:firstLine="720" w:firstLineChars="20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施工时间：2023年3月15日－2023年4月27日</w:t>
      </w:r>
    </w:p>
    <w:p>
      <w:pPr>
        <w:pStyle w:val="a"/>
        <w:jc w:val="center"/>
        <w:rPr>
          <w:rFonts w:hint="eastAsia"/>
          <w:sz w:val="36"/>
          <w:szCs w:val="44"/>
        </w:rPr>
        <w:sectPr>
          <w:type w:val="nextPage"/>
          <w:pgSz w:w="11906" w:h="16838"/>
          <w:pgMar w:top="1247" w:right="1247" w:bottom="1077" w:left="1418" w:header="851" w:footer="851" w:gutter="0"/>
          <w:pgNumType w:start="8"/>
          <w:cols w:space="708"/>
          <w:titlePg w:val="0"/>
          <w:docGrid w:type="lines" w:linePitch="312"/>
        </w:sectPr>
      </w:pPr>
      <w:r>
        <w:rPr>
          <w:rFonts w:hint="eastAsia"/>
          <w:sz w:val="36"/>
          <w:szCs w:val="44"/>
        </w:rPr>
        <w:t>2023年05月10日</w:t>
      </w:r>
    </w:p>
    <w:p>
      <w:pPr>
        <w:pStyle w:val="PlainText"/>
        <w:spacing w:line="360" w:lineRule="auto"/>
        <w:jc w:val="left"/>
        <w:rPr>
          <w:rFonts w:hint="eastAsia"/>
          <w:b/>
          <w:bCs/>
          <w:sz w:val="28"/>
        </w:rPr>
      </w:pPr>
      <w:r>
        <w:rPr>
          <w:rFonts w:hint="eastAsia"/>
          <w:b/>
          <w:bCs/>
          <w:color w:val="FF0000"/>
          <w:sz w:val="28"/>
        </w:rPr>
        <w:t>一、</w:t>
      </w:r>
      <w:r>
        <w:rPr>
          <w:rFonts w:hint="eastAsia"/>
          <w:b/>
          <w:bCs/>
          <w:sz w:val="28"/>
        </w:rPr>
        <w:t>工程工程签证范围：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盘柜卫生清扫。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电机卫生清扫及绝缘检查；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电气回路检查。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元器件检查。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1-9号弧门启闭机房设备卫生清扫；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1号弧门回油箱滤油；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1-9号弧门进油滤芯、高压滤芯、回油滤芯清洗或更换；</w:t>
      </w:r>
    </w:p>
    <w:p>
      <w:pPr>
        <w:pStyle w:val="PlainText"/>
        <w:numPr>
          <w:ilvl w:val="0"/>
          <w:numId w:val="14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 xml:space="preserve">  弧门回油箱注油；</w:t>
      </w:r>
    </w:p>
    <w:p>
      <w:pPr>
        <w:pStyle w:val="PlainText"/>
        <w:numPr>
          <w:ilvl w:val="0"/>
          <w:numId w:val="14"/>
        </w:numPr>
        <w:tabs>
          <w:tab w:val="left" w:pos="720"/>
          <w:tab w:val="clear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 xml:space="preserve">  弧门底坎漏水处理；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通电调试。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静水启、闭门试验。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通讯系统检查和远方联动。</w:t>
      </w:r>
    </w:p>
    <w:p>
      <w:pPr>
        <w:pStyle w:val="PlainText"/>
        <w:numPr>
          <w:ilvl w:val="0"/>
          <w:numId w:val="14"/>
        </w:numPr>
        <w:tabs>
          <w:tab w:val="left" w:pos="960"/>
          <w:tab w:val="left" w:pos="1080"/>
        </w:tabs>
        <w:spacing w:line="360" w:lineRule="auto"/>
        <w:ind w:hanging="600"/>
        <w:jc w:val="left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动水启闭门试验。</w:t>
      </w:r>
    </w:p>
    <w:p>
      <w:pPr>
        <w:pStyle w:val="PlainText"/>
        <w:spacing w:line="360" w:lineRule="auto"/>
        <w:ind w:left="360"/>
        <w:jc w:val="left"/>
        <w:rPr>
          <w:rFonts w:hint="eastAsia"/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ab/>
      </w:r>
    </w:p>
    <w:p>
      <w:pPr>
        <w:pStyle w:val="PlainText"/>
        <w:spacing w:line="360" w:lineRule="auto"/>
        <w:jc w:val="left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二、工程工程实施过程及单项签证〔附页〕</w:t>
      </w:r>
    </w:p>
    <w:p>
      <w:pPr>
        <w:pStyle w:val="PlainText"/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本工程于2023年03月15日开工，按照合同要求完成了1-9号弧门汛前检修所有工程任务，经通电调试，系统运行正常。于2023年04月27日工程全面竣工，并经各级验收合格。</w:t>
      </w:r>
    </w:p>
    <w:p>
      <w:pPr>
        <w:pStyle w:val="PlainText"/>
        <w:spacing w:line="360" w:lineRule="auto"/>
        <w:ind w:firstLine="480" w:firstLineChars="200"/>
        <w:jc w:val="left"/>
        <w:rPr>
          <w:rFonts w:hint="eastAsia"/>
          <w:color w:val="FF0000"/>
          <w:sz w:val="28"/>
        </w:rPr>
      </w:pPr>
      <w:r>
        <w:rPr>
          <w:rFonts w:hint="eastAsia"/>
          <w:sz w:val="24"/>
          <w:szCs w:val="24"/>
        </w:rPr>
        <w:t>本工程施工主要负责人为：李衬、麦先春</w:t>
      </w:r>
    </w:p>
    <w:p>
      <w:pPr>
        <w:pStyle w:val="PlainText"/>
        <w:spacing w:line="360" w:lineRule="auto"/>
        <w:jc w:val="left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三、工程工程质量情况及主要问题处理结果</w:t>
      </w:r>
    </w:p>
    <w:p>
      <w:pPr>
        <w:pStyle w:val="PlainText"/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本工程施工质量优良，设备试运行良好，无遗留问题。</w:t>
      </w:r>
    </w:p>
    <w:p>
      <w:pPr>
        <w:pStyle w:val="PlainText"/>
        <w:spacing w:line="360" w:lineRule="auto"/>
        <w:jc w:val="left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四、验收小组结论〔工程验收签证表附后〕</w:t>
      </w:r>
    </w:p>
    <w:p>
      <w:pPr>
        <w:pStyle w:val="PlainText"/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经彭水水电站验收合格。</w:t>
      </w:r>
    </w:p>
    <w:p>
      <w:pPr>
        <w:pStyle w:val="PlainText"/>
        <w:ind w:firstLine="570"/>
        <w:jc w:val="right"/>
        <w:rPr>
          <w:rFonts w:hint="eastAsia"/>
          <w:b/>
          <w:color w:val="FF0000"/>
          <w:sz w:val="28"/>
        </w:rPr>
      </w:pPr>
    </w:p>
    <w:p>
      <w:pPr>
        <w:pStyle w:val="PlainText"/>
        <w:ind w:firstLine="570"/>
        <w:jc w:val="center"/>
        <w:rPr>
          <w:rFonts w:hint="eastAsia"/>
          <w:sz w:val="28"/>
        </w:rPr>
        <w:sectPr>
          <w:type w:val="nextPage"/>
          <w:pgSz w:w="11906" w:h="16838"/>
          <w:pgMar w:top="1247" w:right="1247" w:bottom="1077" w:left="1418" w:header="851" w:footer="851" w:gutter="0"/>
          <w:pgNumType w:start="9"/>
          <w:cols w:space="708"/>
          <w:titlePg w:val="0"/>
          <w:docGrid w:type="lines" w:linePitch="312"/>
        </w:sectPr>
      </w:pPr>
      <w:r>
        <w:rPr>
          <w:rFonts w:hint="eastAsia"/>
          <w:color w:val="FF0000"/>
          <w:sz w:val="28"/>
        </w:rPr>
        <w:t xml:space="preserve">            </w:t>
      </w:r>
      <w:r>
        <w:rPr>
          <w:rFonts w:hint="eastAsia"/>
          <w:sz w:val="28"/>
        </w:rPr>
        <w:t xml:space="preserve">             2023年05月10日</w:t>
      </w:r>
    </w:p>
    <w:p>
      <w:pPr>
        <w:pStyle w:val="PlainText"/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工程验收签证表</w:t>
      </w:r>
    </w:p>
    <w:p>
      <w:pPr>
        <w:pStyle w:val="PlainText"/>
        <w:jc w:val="center"/>
        <w:rPr>
          <w:rFonts w:hint="eastAsia"/>
          <w:sz w:val="24"/>
        </w:rPr>
      </w:pPr>
      <w:r>
        <w:rPr>
          <w:rFonts w:hint="eastAsia"/>
          <w:sz w:val="24"/>
        </w:rPr>
        <w:t>〔工程验收凭证〕</w:t>
      </w:r>
    </w:p>
    <w:p>
      <w:pPr>
        <w:pStyle w:val="PlainText"/>
        <w:ind w:firstLine="570"/>
        <w:rPr>
          <w:rFonts w:hint="eastAsia"/>
          <w:sz w:val="24"/>
        </w:rPr>
      </w:pPr>
    </w:p>
    <w:tbl>
      <w:tblPr>
        <w:tblStyle w:val="TableNormal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024"/>
      </w:tblGrid>
      <w:tr>
        <w:tblPrEx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9024" w:type="dxa"/>
          </w:tcPr>
          <w:p>
            <w:pPr>
              <w:pStyle w:val="PlainTex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承包单位意见：</w:t>
            </w: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代表：                  盖章             年    月    日</w:t>
            </w:r>
          </w:p>
        </w:tc>
      </w:tr>
      <w:tr>
        <w:tblPrEx>
          <w:tblInd w:w="28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9024" w:type="dxa"/>
          </w:tcPr>
          <w:p>
            <w:pPr>
              <w:pStyle w:val="PlainTex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设备部意见：</w:t>
            </w: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代表：                  盖章             年    月    日</w:t>
            </w:r>
          </w:p>
        </w:tc>
      </w:tr>
      <w:tr>
        <w:tblPrEx>
          <w:tblInd w:w="28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626"/>
        </w:trPr>
        <w:tc>
          <w:tcPr>
            <w:tcW w:w="9024" w:type="dxa"/>
          </w:tcPr>
          <w:p>
            <w:pPr>
              <w:pStyle w:val="PlainTex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电厂意见：</w:t>
            </w: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</w:p>
          <w:p>
            <w:pPr>
              <w:pStyle w:val="PlainTex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代表：                  盖章             年    月    日</w:t>
            </w:r>
          </w:p>
        </w:tc>
      </w:tr>
    </w:tbl>
    <w:p>
      <w:pPr>
        <w:adjustRightInd w:val="0"/>
        <w:snapToGrid w:val="0"/>
        <w:spacing w:line="360" w:lineRule="auto"/>
        <w:rPr>
          <w:rFonts w:hint="eastAsia"/>
          <w:color w:val="FF0000"/>
        </w:rPr>
      </w:pPr>
      <w:r>
        <w:rPr>
          <w:rFonts w:hint="eastAsia"/>
          <w:color w:val="FF0000"/>
        </w:rPr>
        <w:t xml:space="preserve"> </w:t>
      </w:r>
    </w:p>
    <w:p>
      <w:pPr>
        <w:adjustRightInd w:val="0"/>
        <w:snapToGrid w:val="0"/>
        <w:spacing w:line="360" w:lineRule="auto"/>
        <w:rPr>
          <w:color w:val="FF0000"/>
        </w:rPr>
      </w:pPr>
      <w:r>
        <w:rPr>
          <w:color w:val="FF0000"/>
        </w:rPr>
        <w:br/>
      </w:r>
      <w:r>
        <w:rPr>
          <w:color w:val="FF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https://d.book118.com/707163122000006036</w:t>
        </w:r>
      </w:hyperlink>
    </w:p>
    <w:p>
      <w:pPr>
        <w:adjustRightInd w:val="0"/>
        <w:snapToGrid w:val="0"/>
        <w:spacing w:line="360" w:lineRule="auto"/>
        <w:rPr>
          <w:color w:val="FF0000"/>
        </w:rPr>
      </w:pPr>
    </w:p>
    <w:sectPr>
      <w:type w:val="nextPage"/>
      <w:pgSz w:w="11906" w:h="16838"/>
      <w:pgMar w:top="1247" w:right="1247" w:bottom="1077" w:left="1418" w:header="851" w:footer="851" w:gutter="0"/>
      <w:pgNumType w:start="10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行楷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RomanS"/>
    <w:panose1 w:val="02040503050406030204"/>
    <w:charset w:val="00"/>
    <w:family w:val="roman"/>
    <w:pitch w:val="default"/>
    <w:sig w:usb0="A00002EF" w:usb1="4000004B" w:usb2="00000000" w:usb3="00000000" w:csb0="0000009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hint="eastAsia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4">
    <w:nsid w:val="00000007"/>
    <w:multiLevelType w:val="multilevel"/>
    <w:tmpl w:val="00000007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4.%1"/>
      <w:lvlJc w:val="left"/>
      <w:pPr>
        <w:tabs>
          <w:tab w:val="num" w:pos="1410"/>
        </w:tabs>
        <w:ind w:left="141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000000C"/>
    <w:multiLevelType w:val="multilevel"/>
    <w:tmpl w:val="000000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00000013"/>
    <w:multiLevelType w:val="multilevel"/>
    <w:tmpl w:val="00000013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9">
    <w:nsid w:val="00000014"/>
    <w:multiLevelType w:val="multilevel"/>
    <w:tmpl w:val="00000014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10">
    <w:nsid w:val="00000015"/>
    <w:multiLevelType w:val="multilevel"/>
    <w:tmpl w:val="00000015"/>
    <w:lvl w:ilvl="0">
      <w:start w:val="1"/>
      <w:numFmt w:val="decimal"/>
      <w:lvlText w:val="（%1）"/>
      <w:lvlJc w:val="left"/>
      <w:pPr>
        <w:ind w:left="138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1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0000017"/>
    <w:multiLevelType w:val="multilevel"/>
    <w:tmpl w:val="00000017"/>
    <w:lvl w:ilvl="0">
      <w:start w:val="1"/>
      <w:numFmt w:val="decimal"/>
      <w:lvlText w:val="（%1）"/>
      <w:lvlJc w:val="left"/>
      <w:pPr>
        <w:ind w:left="231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13">
    <w:nsid w:val="6234CC99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4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semiHidden="0" w:uiPriority="39" w:unhideWhenUsed="0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5"/>
    <w:uiPriority w:val="9"/>
    <w:qFormat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2Char"/>
    <w:uiPriority w:val="9"/>
    <w:qFormat/>
    <w:pPr>
      <w:keepNext/>
      <w:keepLines/>
      <w:shd w:val="pct25" w:color="auto" w:fill="auto"/>
      <w:adjustRightInd w:val="0"/>
      <w:snapToGrid w:val="0"/>
      <w:spacing w:before="240" w:beforeLines="0" w:after="120" w:afterLines="0" w:line="288" w:lineRule="auto"/>
      <w:outlineLvl w:val="1"/>
    </w:pPr>
    <w:rPr>
      <w:rFonts w:eastAsia="楷体_GB2312"/>
      <w:b/>
      <w:bCs/>
      <w:kern w:val="2"/>
      <w:sz w:val="28"/>
      <w:szCs w:val="32"/>
      <w:shd w:val="pct25" w:color="auto" w:fill="auto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paragraph" w:styleId="Heading6">
    <w:name w:val="heading 6"/>
    <w:basedOn w:val="Normal"/>
    <w:uiPriority w:val="9"/>
    <w:qFormat/>
    <w:pPr>
      <w:spacing w:line="400" w:lineRule="exact"/>
      <w:outlineLvl w:val="5"/>
    </w:pPr>
    <w:rPr>
      <w:rFonts w:ascii="宋体" w:hAnsi="宋体"/>
      <w:bCs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">
    <w:name w:val=" Char Char"/>
    <w:basedOn w:val="DefaultParagraphFont"/>
    <w:link w:val="Title"/>
    <w:rPr>
      <w:rFonts w:ascii="Cambria" w:hAnsi="Cambria"/>
      <w:b/>
      <w:bCs/>
      <w:kern w:val="2"/>
      <w:sz w:val="32"/>
      <w:szCs w:val="32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CharChar2">
    <w:name w:val=" Char Char2"/>
    <w:basedOn w:val="DefaultParagraphFont"/>
    <w:link w:val="Footer"/>
    <w:rPr>
      <w:kern w:val="2"/>
      <w:sz w:val="18"/>
      <w:szCs w:val="18"/>
    </w:rPr>
  </w:style>
  <w:style w:type="character" w:customStyle="1" w:styleId="CharChar4">
    <w:name w:val=" Char Char4"/>
    <w:basedOn w:val="DefaultParagraphFont"/>
    <w:link w:val="PlainText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Char5">
    <w:name w:val=" Char Char5"/>
    <w:basedOn w:val="DefaultParagraphFont"/>
    <w:link w:val="Heading1"/>
    <w:rPr>
      <w:b/>
      <w:bCs/>
      <w:kern w:val="44"/>
      <w:sz w:val="44"/>
      <w:szCs w:val="44"/>
    </w:rPr>
  </w:style>
  <w:style w:type="character" w:customStyle="1" w:styleId="H2Char">
    <w:name w:val="H2 Char"/>
    <w:aliases w:val="H21 Char,H210 Char,H211 Char,H212 Char,H22 Char,H221 Char,H23 Char,H231 Char,H24 Char,H25 Char,H26 Char,H27 Char,H28 Char,H29 Char,HD2 Char,Heading 2 CCBS Char,Heading 2 Hidden Char,ISO1 Char,Titre3 Char,h2 Char,heading 2 Char,第一章 标题 2 Char"/>
    <w:basedOn w:val="DefaultParagraphFont"/>
    <w:link w:val="Heading2"/>
    <w:rPr>
      <w:rFonts w:eastAsia="楷体_GB2312"/>
      <w:b/>
      <w:bCs/>
      <w:kern w:val="2"/>
      <w:sz w:val="28"/>
      <w:szCs w:val="32"/>
      <w:shd w:val="pct25" w:color="auto" w:fill="auto"/>
    </w:rPr>
  </w:style>
  <w:style w:type="character" w:customStyle="1" w:styleId="CharChar3">
    <w:name w:val=" Char Char3"/>
    <w:basedOn w:val="DefaultParagraphFont"/>
    <w:link w:val="DocumentMap"/>
    <w:rPr>
      <w:kern w:val="2"/>
      <w:sz w:val="21"/>
      <w:szCs w:val="24"/>
      <w:shd w:val="clear" w:color="auto" w:fill="000080"/>
    </w:rPr>
  </w:style>
  <w:style w:type="character" w:customStyle="1" w:styleId="CharChar1">
    <w:name w:val=" Char Char1"/>
    <w:basedOn w:val="DefaultParagraphFont"/>
    <w:link w:val="Subtitle"/>
    <w:rPr>
      <w:rFonts w:ascii="Cambria" w:hAnsi="Cambria"/>
      <w:b/>
      <w:bCs/>
      <w:kern w:val="28"/>
      <w:sz w:val="32"/>
      <w:szCs w:val="32"/>
    </w:rPr>
  </w:style>
  <w:style w:type="paragraph" w:styleId="BlockText">
    <w:name w:val="Block Text"/>
    <w:basedOn w:val="Normal"/>
    <w:pPr>
      <w:adjustRightInd w:val="0"/>
      <w:ind w:left="231" w:right="321" w:firstLine="480" w:leftChars="110" w:rightChars="153" w:firstLineChars="200"/>
    </w:pPr>
    <w:rPr>
      <w:rFonts w:ascii="宋体" w:hAnsi="宋体"/>
      <w:sz w:val="24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  <w:textAlignment w:val="center"/>
    </w:pPr>
    <w:rPr>
      <w:color w:val="FF0000"/>
      <w:kern w:val="0"/>
      <w:sz w:val="20"/>
      <w:szCs w:val="20"/>
    </w:rPr>
  </w:style>
  <w:style w:type="paragraph" w:styleId="BodyTextIndent">
    <w:name w:val="Body Text Indent"/>
    <w:basedOn w:val="Normal"/>
    <w:pPr>
      <w:adjustRightInd w:val="0"/>
      <w:snapToGrid w:val="0"/>
      <w:spacing w:line="360" w:lineRule="auto"/>
      <w:ind w:firstLine="640" w:firstLineChars="200"/>
    </w:pPr>
    <w:rPr>
      <w:rFonts w:eastAsia="仿宋_GB2312"/>
      <w:sz w:val="32"/>
    </w:rPr>
  </w:style>
  <w:style w:type="paragraph" w:styleId="BodyTextIndent3">
    <w:name w:val="Body Text Indent 3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itle">
    <w:name w:val="Title"/>
    <w:basedOn w:val="Normal"/>
    <w:next w:val="Normal"/>
    <w:link w:val="CharChar"/>
    <w:uiPriority w:val="10"/>
    <w:qFormat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Subtitle">
    <w:name w:val="Subtitle"/>
    <w:basedOn w:val="Normal"/>
    <w:next w:val="Normal"/>
    <w:link w:val="CharChar1"/>
    <w:uiPriority w:val="11"/>
    <w:qFormat/>
    <w:pPr>
      <w:spacing w:before="240" w:beforeLines="0" w:after="60" w:afterLines="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Footer">
    <w:name w:val="footer"/>
    <w:basedOn w:val="Normal"/>
    <w:link w:val="CharChar2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customStyle="1" w:styleId="xl37">
    <w:name w:val="xl3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29">
    <w:name w:val="xl2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color w:val="000000"/>
      <w:kern w:val="0"/>
      <w:sz w:val="20"/>
      <w:szCs w:val="20"/>
    </w:rPr>
  </w:style>
  <w:style w:type="paragraph" w:styleId="DocumentMap">
    <w:name w:val="Document Map"/>
    <w:basedOn w:val="Normal"/>
    <w:link w:val="CharChar3"/>
    <w:pPr>
      <w:shd w:val="clear" w:color="auto" w:fill="000080"/>
    </w:pPr>
    <w:rPr>
      <w:kern w:val="2"/>
      <w:sz w:val="21"/>
      <w:szCs w:val="24"/>
      <w:shd w:val="clear" w:color="auto" w:fill="000080"/>
    </w:rPr>
  </w:style>
  <w:style w:type="paragraph" w:customStyle="1" w:styleId="font9">
    <w:name w:val="font9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hint="eastAsia"/>
      <w:color w:val="FF0000"/>
      <w:kern w:val="0"/>
      <w:sz w:val="20"/>
      <w:szCs w:val="20"/>
    </w:rPr>
  </w:style>
  <w:style w:type="paragraph" w:styleId="Date">
    <w:name w:val="Date"/>
    <w:basedOn w:val="Normal"/>
    <w:next w:val="Normal"/>
    <w:pPr>
      <w:ind w:left="100" w:leftChars="2500"/>
    </w:pPr>
    <w:rPr>
      <w:rFonts w:ascii="宋体" w:hAnsi="宋体"/>
      <w:sz w:val="30"/>
    </w:rPr>
  </w:style>
  <w:style w:type="paragraph" w:customStyle="1" w:styleId="a">
    <w:name w:val="样式 纯文本 + 华文新魏 二号 加粗 左"/>
    <w:basedOn w:val="PlainText"/>
    <w:pPr>
      <w:jc w:val="left"/>
    </w:pPr>
    <w:rPr>
      <w:rFonts w:ascii="华文新魏" w:eastAsia="华文新魏"/>
      <w:b/>
      <w:bCs/>
      <w:sz w:val="44"/>
    </w:rPr>
  </w:style>
  <w:style w:type="paragraph" w:styleId="Index1">
    <w:name w:val="index 1"/>
    <w:basedOn w:val="Normal"/>
    <w:next w:val="Normal"/>
    <w:pPr>
      <w:jc w:val="center"/>
    </w:pPr>
    <w:rPr>
      <w:rFonts w:ascii="仿宋_GB2312" w:eastAsia="仿宋_GB2312"/>
      <w:kern w:val="30"/>
      <w:sz w:val="30"/>
    </w:rPr>
  </w:style>
  <w:style w:type="paragraph" w:customStyle="1" w:styleId="font7">
    <w:name w:val="font7"/>
    <w:basedOn w:val="Normal"/>
    <w:pPr>
      <w:widowControl/>
      <w:spacing w:before="100" w:beforeLines="0" w:beforeAutospacing="1" w:after="100" w:afterLines="0" w:afterAutospacing="1"/>
      <w:jc w:val="left"/>
    </w:pPr>
    <w:rPr>
      <w:color w:val="000000"/>
      <w:kern w:val="0"/>
      <w:sz w:val="20"/>
      <w:szCs w:val="20"/>
    </w:rPr>
  </w:style>
  <w:style w:type="paragraph" w:customStyle="1" w:styleId="font8">
    <w:name w:val="font8"/>
    <w:basedOn w:val="Normal"/>
    <w:pPr>
      <w:widowControl/>
      <w:spacing w:before="100" w:beforeLines="0" w:beforeAutospacing="1" w:after="100" w:afterLines="0" w:afterAutospacing="1"/>
      <w:jc w:val="left"/>
    </w:pPr>
    <w:rPr>
      <w:color w:val="FF0000"/>
      <w:kern w:val="0"/>
      <w:sz w:val="20"/>
      <w:szCs w:val="20"/>
    </w:rPr>
  </w:style>
  <w:style w:type="paragraph" w:customStyle="1" w:styleId="xl44">
    <w:name w:val="xl4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b/>
      <w:bCs/>
      <w:color w:val="FF0000"/>
      <w:kern w:val="0"/>
      <w:sz w:val="20"/>
      <w:szCs w:val="20"/>
    </w:rPr>
  </w:style>
  <w:style w:type="paragraph" w:styleId="BodyTextIndent2">
    <w:name w:val="Body Text Indent 2"/>
    <w:basedOn w:val="Normal"/>
    <w:pPr>
      <w:spacing w:line="480" w:lineRule="auto"/>
      <w:ind w:firstLine="560" w:firstLineChars="200"/>
    </w:pPr>
    <w:rPr>
      <w:rFonts w:ascii="仿宋_GB2312" w:eastAsia="仿宋_GB2312" w:hAnsi="宋体"/>
      <w:sz w:val="28"/>
    </w:rPr>
  </w:style>
  <w:style w:type="paragraph" w:styleId="TOC5">
    <w:name w:val="toc 5"/>
    <w:basedOn w:val="Normal"/>
    <w:next w:val="Normal"/>
    <w:uiPriority w:val="39"/>
    <w:pPr>
      <w:numPr>
        <w:ilvl w:val="0"/>
        <w:numId w:val="1"/>
      </w:numPr>
      <w:tabs>
        <w:tab w:val="clear" w:pos="1410"/>
      </w:tabs>
      <w:ind w:left="840" w:firstLine="0"/>
      <w:jc w:val="left"/>
    </w:pPr>
    <w:rPr>
      <w:sz w:val="18"/>
      <w:szCs w:val="18"/>
    </w:rPr>
  </w:style>
  <w:style w:type="paragraph" w:customStyle="1" w:styleId="xl51">
    <w:name w:val="xl5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styleId="BalloonText">
    <w:name w:val="Balloon Text"/>
    <w:basedOn w:val="Normal"/>
    <w:rPr>
      <w:sz w:val="18"/>
      <w:szCs w:val="18"/>
    </w:rPr>
  </w:style>
  <w:style w:type="paragraph" w:styleId="BodyText">
    <w:name w:val="Body Text"/>
    <w:basedOn w:val="Normal"/>
    <w:pPr>
      <w:spacing w:line="480" w:lineRule="auto"/>
    </w:pPr>
    <w:rPr>
      <w:sz w:val="18"/>
    </w:rPr>
  </w:style>
  <w:style w:type="paragraph" w:styleId="PlainText">
    <w:name w:val="Plain Text"/>
    <w:basedOn w:val="Normal"/>
    <w:link w:val="CharChar4"/>
    <w:pPr>
      <w:snapToGrid w:val="0"/>
    </w:pPr>
    <w:rPr>
      <w:rFonts w:ascii="宋体" w:eastAsia="宋体" w:hAnsi="Courier New"/>
      <w:kern w:val="2"/>
      <w:sz w:val="21"/>
      <w:lang w:val="en-US" w:eastAsia="zh-CN" w:bidi="ar-SA"/>
    </w:rPr>
  </w:style>
  <w:style w:type="paragraph" w:customStyle="1" w:styleId="xl45">
    <w:name w:val="xl4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left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font5">
    <w:name w:val="font5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hint="eastAsia"/>
      <w:kern w:val="0"/>
      <w:sz w:val="18"/>
      <w:szCs w:val="18"/>
    </w:rPr>
  </w:style>
  <w:style w:type="paragraph" w:customStyle="1" w:styleId="xl25">
    <w:name w:val="xl2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font6">
    <w:name w:val="font6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hint="eastAsia"/>
      <w:color w:val="000000"/>
      <w:kern w:val="0"/>
      <w:sz w:val="20"/>
      <w:szCs w:val="20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55">
    <w:name w:val="xl5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b/>
      <w:bCs/>
      <w:color w:val="FF0000"/>
      <w:kern w:val="0"/>
      <w:sz w:val="20"/>
      <w:szCs w:val="20"/>
    </w:rPr>
  </w:style>
  <w:style w:type="paragraph" w:customStyle="1" w:styleId="xl56">
    <w:name w:val="xl5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b/>
      <w:bCs/>
      <w:color w:val="FF0000"/>
      <w:kern w:val="0"/>
      <w:sz w:val="20"/>
      <w:szCs w:val="20"/>
    </w:rPr>
  </w:style>
  <w:style w:type="paragraph" w:customStyle="1" w:styleId="xl26">
    <w:name w:val="xl2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27">
    <w:name w:val="xl2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000000"/>
      <w:kern w:val="0"/>
      <w:sz w:val="20"/>
      <w:szCs w:val="20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30">
    <w:name w:val="xl3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4"/>
    </w:rPr>
  </w:style>
  <w:style w:type="paragraph" w:customStyle="1" w:styleId="xl31">
    <w:name w:val="xl3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b/>
      <w:bCs/>
      <w:color w:val="FF0000"/>
      <w:kern w:val="0"/>
      <w:sz w:val="20"/>
      <w:szCs w:val="20"/>
    </w:rPr>
  </w:style>
  <w:style w:type="paragraph" w:customStyle="1" w:styleId="xl35">
    <w:name w:val="xl35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b/>
      <w:bCs/>
      <w:color w:val="FF0000"/>
      <w:kern w:val="0"/>
      <w:sz w:val="24"/>
    </w:rPr>
  </w:style>
  <w:style w:type="paragraph" w:customStyle="1" w:styleId="xl32">
    <w:name w:val="xl3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left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36">
    <w:name w:val="xl3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34">
    <w:name w:val="xl34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color w:val="FF0000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000000"/>
      <w:kern w:val="0"/>
      <w:sz w:val="20"/>
      <w:szCs w:val="20"/>
    </w:rPr>
  </w:style>
  <w:style w:type="paragraph" w:customStyle="1" w:styleId="xl40">
    <w:name w:val="xl4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43">
    <w:name w:val="xl4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b/>
      <w:bCs/>
      <w:color w:val="000000"/>
      <w:kern w:val="0"/>
      <w:sz w:val="24"/>
    </w:rPr>
  </w:style>
  <w:style w:type="paragraph" w:customStyle="1" w:styleId="xl41">
    <w:name w:val="xl41"/>
    <w:basedOn w:val="Normal"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宋体" w:hAnsi="宋体"/>
      <w:color w:val="000000"/>
      <w:kern w:val="0"/>
      <w:sz w:val="24"/>
    </w:rPr>
  </w:style>
  <w:style w:type="paragraph" w:customStyle="1" w:styleId="xl42">
    <w:name w:val="xl42"/>
    <w:basedOn w:val="Normal"/>
    <w:pPr>
      <w:widowControl/>
      <w:spacing w:before="100" w:beforeLines="0" w:beforeAutospacing="1" w:after="100" w:afterLines="0" w:afterAutospacing="1"/>
      <w:jc w:val="left"/>
      <w:textAlignment w:val="center"/>
    </w:pPr>
    <w:rPr>
      <w:rFonts w:ascii="宋体" w:hAnsi="宋体"/>
      <w:b/>
      <w:bCs/>
      <w:color w:val="000000"/>
      <w:kern w:val="0"/>
      <w:sz w:val="24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000000"/>
      <w:kern w:val="0"/>
      <w:sz w:val="20"/>
      <w:szCs w:val="20"/>
    </w:rPr>
  </w:style>
  <w:style w:type="paragraph" w:customStyle="1" w:styleId="a0">
    <w:name w:val="表格文字"/>
    <w:basedOn w:val="Normal"/>
    <w:pPr>
      <w:spacing w:line="400" w:lineRule="exact"/>
    </w:pPr>
    <w:rPr>
      <w:rFonts w:ascii="宋体" w:hAnsi="宋体" w:cs="Courier New"/>
      <w:sz w:val="24"/>
      <w:szCs w:val="21"/>
    </w:rPr>
  </w:style>
  <w:style w:type="paragraph" w:customStyle="1" w:styleId="xl47">
    <w:name w:val="xl4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b/>
      <w:bCs/>
      <w:color w:val="000000"/>
      <w:kern w:val="0"/>
      <w:sz w:val="20"/>
      <w:szCs w:val="20"/>
    </w:rPr>
  </w:style>
  <w:style w:type="paragraph" w:customStyle="1" w:styleId="11">
    <w:name w:val="1.1"/>
    <w:basedOn w:val="Normal"/>
    <w:pPr>
      <w:spacing w:line="320" w:lineRule="atLeast"/>
    </w:pPr>
    <w:rPr>
      <w:rFonts w:eastAsia="黑体"/>
      <w:sz w:val="28"/>
      <w:szCs w:val="20"/>
    </w:rPr>
  </w:style>
  <w:style w:type="paragraph" w:customStyle="1" w:styleId="xl48">
    <w:name w:val="xl4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49">
    <w:name w:val="xl4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50">
    <w:name w:val="xl5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52">
    <w:name w:val="xl5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textAlignment w:val="center"/>
    </w:pPr>
    <w:rPr>
      <w:rFonts w:ascii="宋体" w:hAnsi="宋体"/>
      <w:color w:val="FF0000"/>
      <w:kern w:val="0"/>
      <w:sz w:val="20"/>
      <w:szCs w:val="20"/>
    </w:rPr>
  </w:style>
  <w:style w:type="paragraph" w:customStyle="1" w:styleId="xl53">
    <w:name w:val="xl5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Lines="0" w:beforeAutospacing="1" w:after="100" w:afterLines="0" w:afterAutospacing="1"/>
      <w:jc w:val="left"/>
      <w:textAlignment w:val="center"/>
    </w:pPr>
    <w:rPr>
      <w:color w:val="FF0000"/>
      <w:kern w:val="0"/>
      <w:sz w:val="20"/>
      <w:szCs w:val="20"/>
    </w:rPr>
  </w:style>
  <w:style w:type="paragraph" w:customStyle="1" w:styleId="a1">
    <w:name w:val="列出段落"/>
    <w:basedOn w:val="Normal"/>
    <w:pPr>
      <w:ind w:firstLine="420" w:firstLineChars="200"/>
    </w:pPr>
  </w:style>
  <w:style w:type="paragraph" w:customStyle="1" w:styleId="a2">
    <w:name w:val="表格"/>
    <w:basedOn w:val="Normal"/>
    <w:pPr>
      <w:spacing w:before="40" w:beforeLines="0" w:after="40" w:afterLines="0"/>
      <w:jc w:val="center"/>
    </w:pPr>
    <w:rPr>
      <w:sz w:val="24"/>
    </w:rPr>
  </w:style>
  <w:style w:type="paragraph" w:customStyle="1" w:styleId="a3">
    <w:name w:val="隐标格式"/>
    <w:basedOn w:val="PlainText"/>
    <w:pPr>
      <w:adjustRightInd w:val="0"/>
      <w:spacing w:line="300" w:lineRule="auto"/>
      <w:ind w:firstLine="240" w:firstLineChars="100"/>
    </w:pPr>
    <w:rPr>
      <w:rFonts w:hAnsi="宋体"/>
      <w:sz w:val="24"/>
      <w:szCs w:val="24"/>
    </w:rPr>
  </w:style>
  <w:style w:type="paragraph" w:customStyle="1" w:styleId="a4">
    <w:name w:val="正文样式"/>
    <w:basedOn w:val="Normal"/>
    <w:pPr>
      <w:numPr>
        <w:ilvl w:val="0"/>
        <w:numId w:val="2"/>
      </w:numPr>
      <w:tabs>
        <w:tab w:val="left" w:pos="360"/>
      </w:tabs>
      <w:adjustRightInd w:val="0"/>
      <w:snapToGrid w:val="0"/>
      <w:spacing w:before="156" w:beforeLines="50" w:after="156" w:afterLines="50" w:line="360" w:lineRule="auto"/>
    </w:pPr>
    <w:rPr>
      <w:sz w:val="24"/>
      <w:szCs w:val="32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customStyle="1" w:styleId="ParaCharCharCharChar">
    <w:name w:val="默认段落字体 Para Char Char Char Char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7163122000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2469</Words>
  <Characters>14074</Characters>
  <Application>Microsoft Office Word</Application>
  <DocSecurity>0</DocSecurity>
  <Lines>117</Lines>
  <Paragraphs>33</Paragraphs>
  <ScaleCrop>false</ScaleCrop>
  <Company/>
  <LinksUpToDate>false</LinksUpToDate>
  <CharactersWithSpaces>16510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微软用户</cp:lastModifiedBy>
  <cp:revision>276</cp:revision>
  <cp:lastPrinted>2009-02-13T07:01:00Z</cp:lastPrinted>
  <dcterms:created xsi:type="dcterms:W3CDTF">2009-02-08T03:09:00Z</dcterms:created>
  <dcterms:modified xsi:type="dcterms:W3CDTF">2011-06-01T07:46:00Z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2052-8.1.0.3089</vt:lpwstr>
  </property>
</Properties>
</file>