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bidi w:val="0"/>
        <w:spacing w:line="360" w:lineRule="auto"/>
        <w:jc w:val="center"/>
        <w:rPr>
          <w:rFonts w:hint="eastAsia"/>
          <w:sz w:val="32"/>
        </w:rPr>
      </w:pPr>
      <w:r>
        <w:rPr>
          <w:rFonts w:hint="eastAsia"/>
          <w:sz w:val="32"/>
        </w:rPr>
        <w:t>目     录</w:t>
      </w:r>
    </w:p>
    <w:p>
      <w:pPr>
        <w:numPr>
          <w:ilvl w:val="0"/>
          <w:numId w:val="1"/>
        </w:num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总则</w:t>
      </w:r>
    </w:p>
    <w:p>
      <w:pPr>
        <w:numPr>
          <w:ilvl w:val="0"/>
          <w:numId w:val="1"/>
        </w:num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术语与其定义</w:t>
      </w:r>
    </w:p>
    <w:p>
      <w:pPr>
        <w:numPr>
          <w:ilvl w:val="0"/>
          <w:numId w:val="1"/>
        </w:num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材料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3.1材料的一般规定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3.2材料的质量要求与检验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3.3材料的包装、运输、储存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4、土方工程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4.1沟槽开挖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4.2会填土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5、管道安装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5.1一般规定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5.2管道的配管与工具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5.3管道的连接形式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5.4管道的螺纹连接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5.5管道的法兰连接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5.6管道的热风焊连接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5.7管道的热熔对接连接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5.8补偿装置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5.9地面塑料管道的敷设与安装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5.10井巷塑料管道的敷设与安装</w:t>
      </w:r>
    </w:p>
    <w:p>
      <w:pPr>
        <w:bidi w:val="0"/>
        <w:spacing w:line="360" w:lineRule="auto"/>
        <w:rPr>
          <w:rFonts w:hint="eastAsia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6"/>
        </w:rPr>
        <w:t>6、塑料管道工程的试验与验收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6.1塑料管道工程的试验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6.2塑料管道的冲洗与消毒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6.3塑料管道工程的验收交接</w:t>
      </w:r>
    </w:p>
    <w:p>
      <w:pPr>
        <w:bidi w:val="0"/>
        <w:spacing w:line="360" w:lineRule="auto"/>
        <w:rPr>
          <w:rFonts w:hint="eastAsia"/>
          <w:sz w:val="24"/>
        </w:rPr>
      </w:pPr>
    </w:p>
    <w:p>
      <w:pPr>
        <w:bidi w:val="0"/>
        <w:spacing w:line="360" w:lineRule="auto"/>
        <w:rPr>
          <w:rFonts w:hint="eastAsia"/>
          <w:sz w:val="24"/>
        </w:rPr>
      </w:pPr>
    </w:p>
    <w:p>
      <w:pPr>
        <w:bidi w:val="0"/>
        <w:spacing w:line="360" w:lineRule="auto"/>
        <w:rPr>
          <w:rFonts w:hint="eastAsia"/>
          <w:sz w:val="24"/>
        </w:rPr>
      </w:pPr>
    </w:p>
    <w:p>
      <w:pPr>
        <w:bidi w:val="0"/>
        <w:spacing w:line="360" w:lineRule="auto"/>
        <w:rPr>
          <w:rFonts w:hint="eastAsia"/>
          <w:sz w:val="24"/>
        </w:rPr>
      </w:pPr>
    </w:p>
    <w:p>
      <w:pPr>
        <w:numPr>
          <w:ilvl w:val="0"/>
          <w:numId w:val="2"/>
        </w:numPr>
        <w:bidi w:val="0"/>
        <w:spacing w:line="360" w:lineRule="auto"/>
        <w:jc w:val="center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总则（略）</w:t>
      </w:r>
    </w:p>
    <w:p>
      <w:pPr>
        <w:numPr>
          <w:ilvl w:val="0"/>
          <w:numId w:val="2"/>
        </w:numPr>
        <w:bidi w:val="0"/>
        <w:spacing w:line="360" w:lineRule="auto"/>
        <w:jc w:val="center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术语与定义（略）</w:t>
      </w:r>
    </w:p>
    <w:p>
      <w:pPr>
        <w:numPr>
          <w:ilvl w:val="0"/>
          <w:numId w:val="2"/>
        </w:numPr>
        <w:bidi w:val="0"/>
        <w:spacing w:line="360" w:lineRule="auto"/>
        <w:jc w:val="center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材    料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3.1材料的一般规定</w:t>
      </w:r>
    </w:p>
    <w:p>
      <w:pPr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3.1.1塑料管道工程接受的塑料管材和管件应分别符合下列标准：</w:t>
      </w:r>
    </w:p>
    <w:p>
      <w:pPr>
        <w:bidi w:val="0"/>
        <w:spacing w:line="360" w:lineRule="auto"/>
        <w:ind w:firstLine="600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《给水用高密度聚乙烯管材》（GB/T13663-92）</w:t>
      </w:r>
    </w:p>
    <w:p>
      <w:pPr>
        <w:bidi w:val="0"/>
        <w:spacing w:line="360" w:lineRule="auto"/>
        <w:ind w:firstLine="600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《增加聚丙烯管材和管件》 （HG20539-92）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3.1.2生活饮用水塑料管材和管件还必需符合GB/9644-88的标准，并具有卫生检验部门的报告和认证文件。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3.1.3管材和管件应有永久标记，表明产品的名称、规格、商标、产品的标准代号和生产日期、并有质量检验部门的产品合格证，标明生产厂名称、检验代号和批号。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3.1.4塑料焊条必需标明焊条名称、规格、材质和生产日期，并应有质量检验合格证，必需注明生产厂名称、储存期和运用说明。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6"/>
        </w:rPr>
        <w:t>3.1.5施工前应按设计图纸校核管材和管件的规格、型号和材质，与设计不符的，为经设计和建设单位的同意，均不得运用。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3.1.6超过储存期时，塑料管材和管件有可能变质，性能下降，因此必需经物理、机械性能的检验，合格后方可运用。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3.2材料的质量要求与检验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3.2.1管材和管件的颜色应一样，无色泽部俊与分解变色线。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3.2.2管材和管件的内外璧应光滑、平整、无气泡、裂纹、脱皮和其他缺陷。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3.2.3管端切割应平整，并与管材轴线垂直。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3.2.4管材同一截面的厚度偏差不得超过14%，且必需为正偏差。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2130"/>
        <w:gridCol w:w="2130"/>
        <w:gridCol w:w="2131"/>
        <w:gridCol w:w="213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公称外径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≤</w:t>
            </w:r>
            <w:r>
              <w:rPr>
                <w:rFonts w:ascii="宋体" w:eastAsia="宋体" w:hAnsi="宋体" w:cs="宋体" w:hint="eastAsia"/>
                <w:color w:val="000000"/>
                <w:sz w:val="26"/>
              </w:rPr>
              <w:t>32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40~200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≥</w:t>
            </w:r>
            <w:r>
              <w:rPr>
                <w:rFonts w:ascii="宋体" w:eastAsia="宋体" w:hAnsi="宋体" w:cs="宋体" w:hint="eastAsia"/>
                <w:color w:val="000000"/>
                <w:sz w:val="26"/>
              </w:rPr>
              <w:t>225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弯曲度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不规定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≤</w:t>
            </w:r>
            <w:r>
              <w:rPr>
                <w:rFonts w:ascii="宋体" w:eastAsia="宋体" w:hAnsi="宋体" w:cs="宋体" w:hint="eastAsia"/>
                <w:color w:val="000000"/>
                <w:sz w:val="26"/>
              </w:rPr>
              <w:t>1.0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≤</w:t>
            </w:r>
            <w:r>
              <w:rPr>
                <w:rFonts w:ascii="宋体" w:eastAsia="宋体" w:hAnsi="宋体" w:cs="宋体" w:hint="eastAsia"/>
                <w:color w:val="000000"/>
                <w:sz w:val="26"/>
              </w:rPr>
              <w:t>0.5</w:t>
            </w:r>
          </w:p>
        </w:tc>
      </w:tr>
    </w:tbl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注：</w:t>
      </w:r>
      <w:r>
        <w:rPr>
          <w:rFonts w:ascii="宋体" w:eastAsia="宋体" w:hAnsi="宋体" w:cs="宋体" w:hint="eastAsia"/>
          <w:color w:val="000000"/>
          <w:sz w:val="26"/>
        </w:rPr>
        <w:t>①</w:t>
      </w:r>
      <w:r>
        <w:rPr>
          <w:rFonts w:ascii="宋体" w:eastAsia="宋体" w:hAnsi="宋体" w:cs="宋体" w:hint="eastAsia"/>
          <w:color w:val="000000"/>
          <w:sz w:val="26"/>
        </w:rPr>
        <w:t>弯曲度指同向的弯曲，不允许成S形的弯曲。</w:t>
      </w:r>
    </w:p>
    <w:p>
      <w:pPr>
        <w:tabs>
          <w:tab w:val="left" w:pos="4980"/>
        </w:tabs>
        <w:bidi w:val="0"/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②</w:t>
      </w:r>
      <w:r>
        <w:rPr>
          <w:rFonts w:ascii="宋体" w:eastAsia="宋体" w:hAnsi="宋体" w:cs="宋体" w:hint="eastAsia"/>
          <w:color w:val="000000"/>
          <w:sz w:val="26"/>
        </w:rPr>
        <w:t>盘卷馆由供需双方确定，盘卷的最小值经应为18倍的直径。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3.2.6注射成型的管件，比后应匀整，其璧厚的偏差不得为负。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3.2.7热弯成型的管件，其管材外径宜小于315mm，热弯后的管件璧厚不应小于管子设计厚度。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3.2.8焊接管件应实行增加措施，并应进行液压试验，合格后方可运用。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3.3材料的包装、运输、贮存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3.3.1管材出厂时应按不同的规格分别进行捆扎，每捆的长度应一样，重量不宜超过100㎏。外径大于200㎜，可单根捆扎。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3.3.2管件应按不同品种、规格分别装箱，且不得散装。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3.3.3焊条应按不同直径，不同颜色分别以每3㎏~4㎏作一束，装在纸筒、木箱或用黑色塑料袋包装。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3.3.4管材和管件搬运时应当心轻放，严禁猛烈撞击、抛摔和拖滚，不得与尖锐的物体相碰触。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3.3.5管材和管件在运输中部的暴晒、玷污、重压和损伤。允许不同外径的管材套装，吊装时钢丝绳不得与管材干脆接触，应接受软带或尼龙绳作吊具。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3.3.6管材和管件营存放在库房或简易棚内，远离热源，不得长时间的露天存放。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3.3.7管材应水平堆放在平整垫实的场地上或平整的支垫物上，有支垫时，支垫物的宽度不应小于75㎜，间距不应大于一米，管子外悬端不应超过0.5米，对方的高度不宜超过1.5米，管件应逐层码放，对方不宜过高。</w:t>
      </w:r>
    </w:p>
    <w:p>
      <w:pPr>
        <w:tabs>
          <w:tab w:val="left" w:pos="4980"/>
        </w:tabs>
        <w:bidi w:val="0"/>
        <w:spacing w:line="360" w:lineRule="auto"/>
        <w:jc w:val="center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4、土方工程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4.1沟槽开挖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4.1.1施工中应严格区分岩、土性质的类型，并按岩、土性质确定沟槽是否设边坡或支撑，以与沟槽的边坡度和支撑形式。施工时可接受局部沟槽掏洞的形式，由于考虑到沟槽未开挖部分的支撑作用，可适当减小沟边坡度，但留意不要把接口放在洞内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4.1.2在无地下水的自然湿度的土中开挖沟槽时，如沟深不超过下列规定时，沟壁可不设边坡。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   填实的砂土和砾石土          1.0m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   亚砂土和亚粘土              1.25m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6"/>
        </w:rPr>
        <w:t xml:space="preserve">   粘土                        1.50m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   特别密实的土              2.0m</w:t>
      </w:r>
    </w:p>
    <w:p>
      <w:pPr>
        <w:tabs>
          <w:tab w:val="left" w:pos="4980"/>
        </w:tabs>
        <w:bidi w:val="0"/>
        <w:spacing w:line="360" w:lineRule="auto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4.1.3在无地下水和土壤具有自然湿度、构造匀整的条件下开挖沟槽时，如沟深超过4.1.2条规定，但在5m以内，其沟壁的最大允许坡度应符合表4.1.3的规定。</w:t>
      </w:r>
    </w:p>
    <w:p>
      <w:pPr>
        <w:tabs>
          <w:tab w:val="left" w:pos="4980"/>
        </w:tabs>
        <w:bidi w:val="0"/>
        <w:spacing w:line="360" w:lineRule="auto"/>
        <w:jc w:val="center"/>
        <w:rPr>
          <w:rFonts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深度在5m以内沟壁的最大允许坡度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2130"/>
        <w:gridCol w:w="2130"/>
        <w:gridCol w:w="2131"/>
        <w:gridCol w:w="213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2130" w:type="dxa"/>
            <w:vMerge w:val="restart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土类名称</w:t>
            </w:r>
          </w:p>
        </w:tc>
        <w:tc>
          <w:tcPr>
            <w:tcW w:w="6392" w:type="dxa"/>
            <w:gridSpan w:val="3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沟槽边坡度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2130" w:type="dxa"/>
            <w:vMerge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人工挖土并将土抛于沟边上</w:t>
            </w:r>
          </w:p>
        </w:tc>
        <w:tc>
          <w:tcPr>
            <w:tcW w:w="4262" w:type="dxa"/>
            <w:gridSpan w:val="2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机械挖土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2130" w:type="dxa"/>
            <w:vMerge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0" w:type="dxa"/>
            <w:vMerge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在沟底挖土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在沟上边挖土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砂土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1:1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1:0.75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1:1.0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亚砂土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1:0.67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1:0.50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1:0.75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亚粘土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1:0.50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1:0.33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1:0.75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粘土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1:0.33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1:0.25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1:0.67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含砾石、卵石土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1:0.07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1:0.50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1:0.75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泥炭岩、白垩土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1:0.33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1:0.25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1:0.67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干黄土</w:t>
            </w:r>
          </w:p>
        </w:tc>
        <w:tc>
          <w:tcPr>
            <w:tcW w:w="2130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1:0.25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1:0.10</w:t>
            </w:r>
          </w:p>
        </w:tc>
        <w:tc>
          <w:tcPr>
            <w:tcW w:w="2131" w:type="dxa"/>
            <w:vAlign w:val="center"/>
          </w:tcPr>
          <w:p>
            <w:pPr>
              <w:tabs>
                <w:tab w:val="left" w:pos="4980"/>
              </w:tabs>
              <w:bidi w:val="0"/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6"/>
              </w:rPr>
              <w:t>1:0.33</w:t>
            </w:r>
          </w:p>
        </w:tc>
      </w:tr>
    </w:tbl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注：</w:t>
      </w:r>
      <w:r>
        <w:rPr>
          <w:rFonts w:ascii="宋体" w:eastAsia="宋体" w:hAnsi="宋体" w:cs="宋体" w:hint="eastAsia"/>
          <w:color w:val="000000"/>
          <w:sz w:val="26"/>
        </w:rPr>
        <w:t>①</w:t>
      </w:r>
      <w:r>
        <w:rPr>
          <w:rFonts w:ascii="宋体" w:eastAsia="宋体" w:hAnsi="宋体" w:cs="宋体" w:hint="eastAsia"/>
          <w:color w:val="000000"/>
          <w:sz w:val="26"/>
        </w:rPr>
        <w:t>如人工挖土把土随时运走时，则可接受机械在沟底挖土的坡度。</w:t>
      </w:r>
    </w:p>
    <w:p>
      <w:pPr>
        <w:tabs>
          <w:tab w:val="left" w:pos="4980"/>
        </w:tabs>
        <w:bidi w:val="0"/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②</w:t>
      </w:r>
      <w:r>
        <w:rPr>
          <w:rFonts w:ascii="宋体" w:eastAsia="宋体" w:hAnsi="宋体" w:cs="宋体" w:hint="eastAsia"/>
          <w:color w:val="000000"/>
          <w:sz w:val="26"/>
        </w:rPr>
        <w:t>表中砂土不包括细沙和粉沙。</w:t>
      </w:r>
    </w:p>
    <w:p>
      <w:pPr>
        <w:tabs>
          <w:tab w:val="left" w:pos="4980"/>
        </w:tabs>
        <w:bidi w:val="0"/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③</w:t>
      </w:r>
      <w:r>
        <w:rPr>
          <w:rFonts w:ascii="宋体" w:eastAsia="宋体" w:hAnsi="宋体" w:cs="宋体" w:hint="eastAsia"/>
          <w:color w:val="000000"/>
          <w:sz w:val="26"/>
        </w:rPr>
        <w:t>干黄土不包括类慌。</w:t>
      </w:r>
    </w:p>
    <w:p>
      <w:pPr>
        <w:tabs>
          <w:tab w:val="left" w:pos="4980"/>
        </w:tabs>
        <w:bidi w:val="0"/>
        <w:spacing w:line="360" w:lineRule="auto"/>
        <w:ind w:firstLine="480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color w:val="000000"/>
          <w:sz w:val="26"/>
        </w:rPr>
        <w:t>④</w:t>
      </w:r>
      <w:r>
        <w:rPr>
          <w:rFonts w:ascii="宋体" w:eastAsia="宋体" w:hAnsi="宋体" w:cs="宋体" w:hint="eastAsia"/>
          <w:color w:val="000000"/>
          <w:sz w:val="26"/>
        </w:rPr>
        <w:t>距离沟边0.5m内，不应堆置弃土和材料。</w:t>
      </w:r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br/>
      </w:r>
      <w:r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https://d.book118.com/708030112123006026</w:t>
        </w:r>
      </w:hyperlink>
    </w:p>
    <w:p>
      <w:pPr>
        <w:tabs>
          <w:tab w:val="left" w:pos="4980"/>
        </w:tabs>
        <w:bidi w:val="0"/>
        <w:spacing w:line="360" w:lineRule="auto"/>
        <w:rPr>
          <w:rFonts w:ascii="宋体" w:hAnsi="宋体" w:hint="eastAsia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B7362"/>
    <w:multiLevelType w:val="hybridMultilevel"/>
    <w:tmpl w:val="D4C6445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D565743"/>
    <w:multiLevelType w:val="hybridMultilevel"/>
    <w:tmpl w:val="FC8E757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803011212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1457</Words>
  <Characters>8310</Characters>
  <Application>Microsoft Office Word</Application>
  <DocSecurity>0</DocSecurity>
  <Lines>69</Lines>
  <Paragraphs>16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42</cp:revision>
  <dcterms:created xsi:type="dcterms:W3CDTF">2003-04-21T15:11:00Z</dcterms:created>
  <dcterms:modified xsi:type="dcterms:W3CDTF">2003-04-28T14:35:00Z</dcterms:modified>
</cp:coreProperties>
</file>