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2018-2023年山西财贸职业技术学院高职单招（数学／语文／英语）历年常考试题库含答案解析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下列句子中，使用了反诘修辞格的是（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A.叹年来踪迹，何事苦淹留？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B.不知天上宫阙，今夕是何年？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C.满地黄花堆积，憔悴损，如今有谁堪摘？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D.明明如月，何时可掇？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生活在南北宋交替之际的诗人是（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A.柳宗元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马伶在《鸣风记》扮演的是（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A.严嵩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B.杨继盛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C.夏言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D.顾秉谦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下列画横线的句子翻译正确的是（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A.孟尝君不说，曰：“诺，先生休矣！”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B.今将军尚不得夜行，何乃故也。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C.虏多且近，即有急，奈何。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D.愿陛下矜愍愚诚，听臣微志。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《冯谖客孟尝君》采用了欲扬先抑的表现手法，下列不属于贬抑手法的一项是（）。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A.孟尝君曰：“客何好”曰：“客无好也。”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B.左右皆恶之，以为贪而不知足。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C.孟尝君不悦，曰：“诺，先生休矣!”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D.孟尝君为相数十年，无纤介之祸者，冯谖之计也。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闻一多最具有代表性的诗集是（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A.《真我集》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B.《红烛》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在《答司马谏议书》一文中，司马光强加给王安石变法的罪名是（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A.在位久，未能助上大有为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B.不恤国事，同俗自媚于众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C.侵官、生事、征利、拒谏、以致天下怨谤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D.一切不事事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在《爱尔克的灯光》中，“爱尔克的灯光”的象征意义是（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A.封建家庭和礼教的没落与崩溃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B.对新生活的信念和对理想的追求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C.对旧家庭的憎恶和对财富的鄙弃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D.美好希望的破灭和生活的悲剧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下列诗句中，表现了由“己之思彼”转写“彼之思己”的是（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A.问君能有几多愁，恰似一江春水向东流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B.雁过也，正伤心，却是旧时相识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C.想佳人、妆楼颙望，误几回、天际识归舟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D.起舞弄清影，何似在人间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下列关于欧阳修的表述，错误的一项是（）。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A.新乐府运动的倡导者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B.唐宋八大家之一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C.号醉翁，晚年自称六一居士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D.著有《新五代史》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朱自清早期参加的文学社团是（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A.“新月社”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B.“文学研究会”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C.“创造社”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D.“左翼作家联盟”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诗作被后人称为“诗史”的诗人是（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A.屈原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B.陶渊明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D.陆游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下列成语出于《庄子·秋水》的是（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A.望洋兴叹、贻笑大方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B.望洋兴叹、祸起萧墙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C.贻笑大方，分崩离析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D.祸起萧墙、分崩离析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小说《风波》的中心情节线索是（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A.九斤老太的五十大寿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B.七斤的飞黄腾达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C.皇帝坐了龙庭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https://d.book118.com/708035110132006040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708035110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