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信息家电产品项目策划方案报告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_Toc19234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eastAsia="zh-CN"/>
          </w:rPr>
          <w:t>一、信息家电产品项目概论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eastAsia="zh-CN"/>
          </w:rPr>
          <w:t>(一)、信息家电产品项目名称及投资人</w:t>
        </w:r>
        <w:r>
          <w:tab/>
        </w:r>
        <w:r>
          <w:fldChar w:fldCharType="begin"/>
        </w:r>
        <w:r>
          <w:instrText xml:space="preserve"> PAGEREF _Toc27959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_Toc30926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_Toc14408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" w:history="1">
        <w:r>
          <w:rPr>
            <w:rFonts w:ascii="仿宋" w:eastAsia="仿宋" w:hAnsi="仿宋" w:cs="仿宋" w:hint="eastAsia"/>
            <w:lang w:eastAsia="zh-CN"/>
          </w:rPr>
          <w:t>(五)、信息家电产品项目建设背景</w:t>
        </w:r>
        <w:r>
          <w:tab/>
        </w:r>
        <w:r>
          <w:fldChar w:fldCharType="begin"/>
        </w:r>
        <w:r>
          <w:instrText xml:space="preserve"> PAGEREF _Toc1381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6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_Toc27496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二、信息家电产品行业前景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8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_Toc7728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三、信息家电产品项目概论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(一)、信息家电产品项目申报单位概况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8" w:history="1">
        <w:r>
          <w:rPr>
            <w:rFonts w:ascii="仿宋" w:eastAsia="仿宋" w:hAnsi="仿宋" w:cs="仿宋" w:hint="eastAsia"/>
            <w:lang w:eastAsia="zh-CN"/>
          </w:rPr>
          <w:t>(二)、信息家电产品项目概况</w:t>
        </w:r>
        <w:r>
          <w:tab/>
        </w:r>
        <w:r>
          <w:fldChar w:fldCharType="begin"/>
        </w:r>
        <w:r>
          <w:instrText xml:space="preserve"> PAGEREF _Toc23888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四、风险应对评估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_Toc23379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eastAsia="zh-CN"/>
          </w:rPr>
          <w:t>五、信息家电产品行业发展分析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eastAsia="zh-CN"/>
          </w:rPr>
          <w:t>(一)、信息家电产品行业发展总体概况</w:t>
        </w:r>
        <w:r>
          <w:tab/>
        </w:r>
        <w:r>
          <w:fldChar w:fldCharType="begin"/>
        </w:r>
        <w:r>
          <w:instrText xml:space="preserve"> PAGEREF _Toc9333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(二)、信息家电产品行业发展背景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0" w:history="1">
        <w:r>
          <w:rPr>
            <w:rFonts w:ascii="仿宋" w:eastAsia="仿宋" w:hAnsi="仿宋" w:cs="仿宋" w:hint="eastAsia"/>
            <w:lang w:eastAsia="zh-CN"/>
          </w:rPr>
          <w:t>(三)、信息家电产品行业发展前景</w:t>
        </w:r>
        <w:r>
          <w:tab/>
        </w:r>
        <w:r>
          <w:fldChar w:fldCharType="begin"/>
        </w:r>
        <w:r>
          <w:instrText xml:space="preserve"> PAGEREF _Toc6180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eastAsia="zh-CN"/>
          </w:rPr>
          <w:t>六、信息家电产品项目概论</w:t>
        </w:r>
        <w:r>
          <w:tab/>
        </w:r>
        <w:r>
          <w:fldChar w:fldCharType="begin"/>
        </w:r>
        <w:r>
          <w:instrText xml:space="preserve"> PAGEREF _Toc19189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2" w:history="1">
        <w:r>
          <w:rPr>
            <w:rFonts w:ascii="仿宋" w:eastAsia="仿宋" w:hAnsi="仿宋" w:cs="仿宋" w:hint="eastAsia"/>
            <w:lang w:eastAsia="zh-CN"/>
          </w:rPr>
          <w:t>(一)、信息家电产品项目基本信息</w:t>
        </w:r>
        <w:r>
          <w:tab/>
        </w:r>
        <w:r>
          <w:fldChar w:fldCharType="begin"/>
        </w:r>
        <w:r>
          <w:instrText xml:space="preserve"> PAGEREF _Toc3622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6" w:history="1">
        <w:r>
          <w:rPr>
            <w:rFonts w:ascii="仿宋" w:eastAsia="仿宋" w:hAnsi="仿宋" w:cs="仿宋" w:hint="eastAsia"/>
            <w:lang w:eastAsia="zh-CN"/>
          </w:rPr>
          <w:t>(二)、信息家电产品项目提出的理由</w:t>
        </w:r>
        <w:r>
          <w:tab/>
        </w:r>
        <w:r>
          <w:fldChar w:fldCharType="begin"/>
        </w:r>
        <w:r>
          <w:instrText xml:space="preserve"> PAGEREF _Toc29526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0" w:history="1">
        <w:r>
          <w:rPr>
            <w:rFonts w:ascii="仿宋" w:eastAsia="仿宋" w:hAnsi="仿宋" w:cs="仿宋" w:hint="eastAsia"/>
            <w:lang w:eastAsia="zh-CN"/>
          </w:rPr>
          <w:t>(三)、信息家电产品项目建设目标和任务</w:t>
        </w:r>
        <w:r>
          <w:tab/>
        </w:r>
        <w:r>
          <w:fldChar w:fldCharType="begin"/>
        </w:r>
        <w:r>
          <w:instrText xml:space="preserve"> PAGEREF _Toc12910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8" w:history="1">
        <w:r>
          <w:rPr>
            <w:rFonts w:ascii="仿宋" w:eastAsia="仿宋" w:hAnsi="仿宋" w:cs="仿宋" w:hint="eastAsia"/>
            <w:lang w:eastAsia="zh-CN"/>
          </w:rPr>
          <w:t>(四)、信息家电产品项目建设规模</w:t>
        </w:r>
        <w:r>
          <w:tab/>
        </w:r>
        <w:r>
          <w:fldChar w:fldCharType="begin"/>
        </w:r>
        <w:r>
          <w:instrText xml:space="preserve"> PAGEREF _Toc30808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(五)、信息家电产品项目建设工期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2" w:history="1">
        <w:r>
          <w:rPr>
            <w:rFonts w:ascii="仿宋" w:eastAsia="仿宋" w:hAnsi="仿宋" w:cs="仿宋" w:hint="eastAsia"/>
            <w:lang w:eastAsia="zh-CN"/>
          </w:rPr>
          <w:t>七、信息家电产品项目绪论</w:t>
        </w:r>
        <w:r>
          <w:tab/>
        </w:r>
        <w:r>
          <w:fldChar w:fldCharType="begin"/>
        </w:r>
        <w:r>
          <w:instrText xml:space="preserve"> PAGEREF _Toc30782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eastAsia="zh-CN"/>
          </w:rPr>
          <w:t>(一)、信息家电产品项目名称及建设性质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(二)、信息家电产品项目承办单位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eastAsia="zh-CN"/>
          </w:rPr>
          <w:t>(三)、信息家电产品项目定位及建设理由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0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_Toc4700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(五)、信息家电产品项目建设选址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90" w:history="1">
        <w:r>
          <w:rPr>
            <w:rFonts w:ascii="仿宋" w:eastAsia="仿宋" w:hAnsi="仿宋" w:cs="仿宋" w:hint="eastAsia"/>
            <w:lang w:eastAsia="zh-CN"/>
          </w:rPr>
          <w:t>(六)、信息家电产品项目生产规模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1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_Toc27651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4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_Toc11634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eastAsia="zh-CN"/>
          </w:rPr>
          <w:t>(九)、信息家电产品项目总投资及资金构成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(十一)、信息家电产品项目预期经济效益规划目标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(十二)、信息家电产品项目建设进度规划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(十三)、信息家电产品项目综合评价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" w:history="1">
        <w:r>
          <w:rPr>
            <w:rFonts w:ascii="仿宋" w:eastAsia="仿宋" w:hAnsi="仿宋" w:cs="仿宋" w:hint="eastAsia"/>
            <w:lang w:eastAsia="zh-CN"/>
          </w:rPr>
          <w:t>八、战略实施的基本原则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9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_Toc4219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" w:history="1">
        <w:r>
          <w:rPr>
            <w:rFonts w:ascii="仿宋" w:eastAsia="仿宋" w:hAnsi="仿宋" w:cs="仿宋" w:hint="eastAsia"/>
            <w:lang w:eastAsia="zh-CN"/>
          </w:rPr>
          <w:t>九、产业环境分析</w:t>
        </w:r>
        <w:r>
          <w:tab/>
        </w:r>
        <w:r>
          <w:fldChar w:fldCharType="begin"/>
        </w:r>
        <w:r>
          <w:instrText xml:space="preserve"> PAGEREF _Toc317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十、组织机构及人力资源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十一、信息家电产品项目管理与实施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7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_Toc4847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十二、技术创新的过程与模式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4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6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_Toc32726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十三、投资方案计划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(一)、信息家电产品项目估算说明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0" w:history="1">
        <w:r>
          <w:rPr>
            <w:rFonts w:ascii="仿宋" w:eastAsia="仿宋" w:hAnsi="仿宋" w:cs="仿宋" w:hint="eastAsia"/>
            <w:lang w:eastAsia="zh-CN"/>
          </w:rPr>
          <w:t>(二)、信息家电产品项目总投资估算</w:t>
        </w:r>
        <w:r>
          <w:tab/>
        </w:r>
        <w:r>
          <w:fldChar w:fldCharType="begin"/>
        </w:r>
        <w:r>
          <w:instrText xml:space="preserve"> PAGEREF _Toc7740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十四、投资背景及必要性分析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eastAsia="zh-CN"/>
          </w:rPr>
          <w:t>(一)、信息家电产品项目承办单位背景分析</w:t>
        </w:r>
        <w:r>
          <w:tab/>
        </w:r>
        <w:r>
          <w:fldChar w:fldCharType="begin"/>
        </w:r>
        <w:r>
          <w:instrText xml:space="preserve"> PAGEREF _Toc346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_Toc23158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1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_Toc13951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7" w:history="1">
        <w:r>
          <w:rPr>
            <w:rFonts w:ascii="仿宋" w:eastAsia="仿宋" w:hAnsi="仿宋" w:cs="仿宋" w:hint="eastAsia"/>
            <w:lang w:eastAsia="zh-CN"/>
          </w:rPr>
          <w:t>(六)、信息家电产品项目必要性分析</w:t>
        </w:r>
        <w:r>
          <w:tab/>
        </w:r>
        <w:r>
          <w:fldChar w:fldCharType="begin"/>
        </w:r>
        <w:r>
          <w:instrText xml:space="preserve"> PAGEREF _Toc32187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" w:history="1">
        <w:r>
          <w:rPr>
            <w:rFonts w:ascii="仿宋" w:eastAsia="仿宋" w:hAnsi="仿宋" w:cs="仿宋" w:hint="eastAsia"/>
            <w:lang w:eastAsia="zh-CN"/>
          </w:rPr>
          <w:t>十五、风险与危机管理</w:t>
        </w:r>
        <w:r>
          <w:tab/>
        </w:r>
        <w:r>
          <w:fldChar w:fldCharType="begin"/>
        </w:r>
        <w:r>
          <w:instrText xml:space="preserve"> PAGEREF _Toc1966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4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_Toc31914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3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_Toc28233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_Toc22810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5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_Toc31945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十七、技术创新战略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_Toc17530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十八、应急管理与安全防护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3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_Toc11623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1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_Toc15651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_Toc9671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_Toc24558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" w:history="1">
        <w:r>
          <w:rPr>
            <w:rFonts w:ascii="仿宋" w:eastAsia="仿宋" w:hAnsi="仿宋" w:cs="仿宋" w:hint="eastAsia"/>
            <w:lang w:eastAsia="zh-CN"/>
          </w:rPr>
          <w:t>二十、生产控制的基本程序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7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1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_Toc15071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_Toc25391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二十一、战略和未来发展计划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6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_Toc31126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9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0" w:history="1">
        <w:r>
          <w:rPr>
            <w:rFonts w:ascii="仿宋" w:eastAsia="仿宋" w:hAnsi="仿宋" w:cs="仿宋" w:hint="eastAsia"/>
            <w:lang w:eastAsia="zh-CN"/>
          </w:rPr>
          <w:t>二十二建设规模</w:t>
        </w:r>
        <w:r>
          <w:tab/>
        </w:r>
        <w:r>
          <w:fldChar w:fldCharType="begin"/>
        </w:r>
        <w:r>
          <w:instrText xml:space="preserve"> PAGEREF _Toc14020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_Toc15659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_Toc24243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二十三、第四十三章员工参与决策与公司治理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1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_Toc12391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_Toc274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6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_Toc9196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5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_Toc11075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25"/>
      <w:r>
        <w:rPr>
          <w:rFonts w:ascii="仿宋" w:eastAsia="仿宋" w:hAnsi="仿宋" w:cs="仿宋" w:hint="eastAsia"/>
          <w:sz w:val="28"/>
          <w:lang w:eastAsia="zh-CN"/>
        </w:rPr>
        <w:t>一、信息家电产品项目概论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59"/>
      <w:r>
        <w:rPr>
          <w:rFonts w:ascii="仿宋" w:eastAsia="仿宋" w:hAnsi="仿宋" w:cs="仿宋" w:hint="eastAsia"/>
          <w:lang w:eastAsia="zh-CN"/>
        </w:rPr>
        <w:t>(一)、信息家电产品项目名称及投资人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项目名为信息家电产品计划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信息家电产品计划名称：XX信息家电产品实施方案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投资者是信息家电产品方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信息家电产品方：XXX (集团)有限公司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所选建设地点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本期信息家电产品计划选址位于XX（待定）。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926"/>
      <w:r>
        <w:rPr>
          <w:rFonts w:ascii="仿宋" w:eastAsia="仿宋" w:hAnsi="仿宋" w:cs="仿宋" w:hint="eastAsia"/>
          <w:sz w:val="28"/>
          <w:lang w:eastAsia="zh-CN"/>
        </w:rPr>
        <w:t>(二)、编制原则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秉持与地区工业条件相适应的理念，我们持续不断地实施高效、工业化和科技化手段，以在经济和社会层面提升企业的绩效，努力实现长期发展的关键目标。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https://d.book118.com/708063107071006043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信息家电产品项目策划方案报告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信息家电产品项目策划方案报告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信息家电产品项目策划方案报告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信息家电产品项目策划方案报告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信息家电产品项目策划方案报告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F87806"/>
    <w:rsid w:val="4593521B"/>
    <w:rsid w:val="63F8780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8063107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2024-02-28T19:28:00Z</dcterms:created>
  <dcterms:modified xsi:type="dcterms:W3CDTF">2024-02-28T19:28:43Z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545B4C0A805A4C919D17CB0A0E02D774_11</vt:lpwstr>
  </property>
  <property fmtid="{D5CDD505-2E9C-101B-9397-08002B2CF9AE}" pid="3" name="KSOProductBuildVer">
    <vt:lpwstr>2052-12.1.0.16250</vt:lpwstr>
  </property>
</Properties>
</file>