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w w:val="95"/>
        </w:rPr>
        <w:t>地下水池施工方案</w:t>
      </w:r>
    </w:p>
    <w:p>
      <w:pPr>
        <w:pStyle w:val="BodyText"/>
        <w:ind w:left="0"/>
        <w:rPr>
          <w:b/>
          <w:sz w:val="42"/>
        </w:rPr>
      </w:pPr>
    </w:p>
    <w:p>
      <w:pPr>
        <w:pStyle w:val="BodyText"/>
        <w:spacing w:before="350"/>
      </w:pPr>
      <w:r>
        <w:rPr>
          <w:color w:val="FF0000"/>
        </w:rPr>
        <w:t>基坑土方机械开挖</w:t>
      </w:r>
    </w:p>
    <w:p>
      <w:pPr>
        <w:pStyle w:val="BodyText"/>
        <w:spacing w:before="198" w:line="345" w:lineRule="auto"/>
        <w:ind w:right="379" w:firstLine="720"/>
      </w:pPr>
      <w:r>
        <w:rPr>
          <w:spacing w:val="-3"/>
        </w:rPr>
        <w:t>以承受机械挖土为主,在接过基底标高时，工程桩四周，围护体及支撑桩四周应由人</w:t>
      </w:r>
      <w:r>
        <w:t>工协作，土方随时装车外运。</w:t>
      </w:r>
    </w:p>
    <w:p>
      <w:pPr>
        <w:pStyle w:val="ListParagraph"/>
        <w:numPr>
          <w:ilvl w:val="0"/>
          <w:numId w:val="13"/>
        </w:numPr>
        <w:tabs>
          <w:tab w:val="left" w:pos="1911"/>
        </w:tabs>
        <w:spacing w:before="0" w:after="0" w:line="454" w:lineRule="exact"/>
        <w:ind w:left="1910" w:right="0" w:hanging="1081"/>
        <w:jc w:val="left"/>
        <w:rPr>
          <w:sz w:val="36"/>
        </w:rPr>
      </w:pPr>
      <w:r>
        <w:rPr>
          <w:spacing w:val="6"/>
          <w:w w:val="95"/>
          <w:sz w:val="36"/>
        </w:rPr>
        <w:t xml:space="preserve">挖掘机械的选择承受 </w:t>
      </w:r>
      <w:r>
        <w:rPr>
          <w:w w:val="95"/>
          <w:sz w:val="36"/>
        </w:rPr>
        <w:t>60—7</w:t>
      </w:r>
      <w:r>
        <w:rPr>
          <w:spacing w:val="10"/>
          <w:w w:val="95"/>
          <w:sz w:val="36"/>
        </w:rPr>
        <w:t xml:space="preserve"> 反铲挖土机</w:t>
      </w:r>
    </w:p>
    <w:p>
      <w:pPr>
        <w:pStyle w:val="ListParagraph"/>
        <w:numPr>
          <w:ilvl w:val="0"/>
          <w:numId w:val="13"/>
        </w:numPr>
        <w:tabs>
          <w:tab w:val="left" w:pos="1911"/>
        </w:tabs>
        <w:spacing w:before="198" w:after="0" w:line="240" w:lineRule="auto"/>
        <w:ind w:left="1910" w:right="0" w:hanging="1081"/>
        <w:jc w:val="left"/>
        <w:rPr>
          <w:sz w:val="36"/>
        </w:rPr>
      </w:pPr>
      <w:r>
        <w:rPr>
          <w:sz w:val="36"/>
        </w:rPr>
        <w:t>土方开挖的条件</w:t>
      </w:r>
    </w:p>
    <w:p>
      <w:pPr>
        <w:pStyle w:val="BodyText"/>
        <w:spacing w:before="201" w:line="343" w:lineRule="auto"/>
        <w:ind w:right="367" w:firstLine="720"/>
      </w:pPr>
      <w:r>
        <w:t>① 基坑支护构造经业主方、总承包方、设计方共同验收，确认已到达设计要求,砼强度到达设计等级要求，有关技术资料齐全。</w:t>
      </w:r>
    </w:p>
    <w:p>
      <w:pPr>
        <w:pStyle w:val="BodyText"/>
        <w:spacing w:line="460" w:lineRule="exact"/>
        <w:ind w:left="830"/>
      </w:pPr>
      <w:r>
        <w:rPr>
          <w:spacing w:val="-3"/>
          <w:w w:val="95"/>
        </w:rPr>
        <w:t xml:space="preserve">② 降水已达 </w:t>
      </w:r>
      <w:r>
        <w:rPr>
          <w:w w:val="95"/>
        </w:rPr>
        <w:t>3</w:t>
      </w:r>
      <w:r>
        <w:rPr>
          <w:spacing w:val="-12"/>
          <w:w w:val="95"/>
        </w:rPr>
        <w:t xml:space="preserve"> 天以上。</w:t>
      </w:r>
    </w:p>
    <w:p>
      <w:pPr>
        <w:pStyle w:val="BodyText"/>
        <w:spacing w:before="201" w:line="343" w:lineRule="auto"/>
        <w:ind w:right="367" w:firstLine="720"/>
      </w:pPr>
      <w:r>
        <w:t>③ 土方分包单位建立起完整的组织指挥体系，人员安排，机械配备、保养就序,卸土地点落实。</w:t>
      </w:r>
    </w:p>
    <w:p>
      <w:pPr>
        <w:pStyle w:val="BodyText"/>
        <w:spacing w:line="460" w:lineRule="exact"/>
        <w:ind w:left="830"/>
      </w:pPr>
      <w:r>
        <w:rPr>
          <w:spacing w:val="-1"/>
        </w:rPr>
        <w:t>④ 现场运输道路预备完成，经检查能满足重型车辆行驶要求。</w:t>
      </w:r>
    </w:p>
    <w:p>
      <w:pPr>
        <w:pStyle w:val="BodyText"/>
        <w:spacing w:before="201"/>
        <w:ind w:left="830"/>
      </w:pPr>
      <w:r>
        <w:rPr>
          <w:spacing w:val="-1"/>
        </w:rPr>
        <w:t>⑤ 管线及支护构造监测已落实,并已进展初始观测.</w:t>
      </w:r>
    </w:p>
    <w:p>
      <w:pPr>
        <w:pStyle w:val="BodyText"/>
        <w:spacing w:before="198"/>
        <w:ind w:left="830"/>
      </w:pPr>
      <w:r>
        <w:rPr>
          <w:spacing w:val="-1"/>
        </w:rPr>
        <w:t>⑥ 照明、草袋、清扫等工作已安排就序.</w:t>
      </w:r>
    </w:p>
    <w:p>
      <w:pPr>
        <w:pStyle w:val="BodyText"/>
        <w:spacing w:before="197"/>
        <w:ind w:left="830"/>
      </w:pPr>
      <w:r>
        <w:t>(3)</w:t>
      </w:r>
      <w:r>
        <w:rPr>
          <w:spacing w:val="-1"/>
        </w:rPr>
        <w:t xml:space="preserve"> 质量保证措施</w:t>
      </w:r>
    </w:p>
    <w:p>
      <w:pPr>
        <w:pStyle w:val="BodyText"/>
        <w:spacing w:before="201"/>
        <w:ind w:left="830"/>
      </w:pPr>
      <w:r>
        <w:rPr>
          <w:spacing w:val="-1"/>
        </w:rPr>
        <w:t>① 标高的掌握:在周边盖梁上及支撑桩上测设标高掌握线,以便随挖随测。</w:t>
      </w:r>
    </w:p>
    <w:p>
      <w:pPr>
        <w:pStyle w:val="BodyText"/>
        <w:spacing w:before="198" w:line="343" w:lineRule="auto"/>
        <w:ind w:right="372" w:firstLine="720"/>
      </w:pPr>
      <w:r>
        <w:rPr>
          <w:spacing w:val="-7"/>
        </w:rPr>
        <w:t xml:space="preserve">② 在设计基坑底标高以上 </w:t>
      </w:r>
      <w:r>
        <w:t>20cm</w:t>
      </w:r>
      <w:r>
        <w:rPr>
          <w:spacing w:val="-7"/>
        </w:rPr>
        <w:t xml:space="preserve"> 厚土体，以及工程桩四周土体，均由人工挖除，应</w:t>
      </w:r>
      <w:r>
        <w:t>避开挖斗强力撞击工程桩，尤其是因故抓拉工程桩.</w:t>
      </w:r>
    </w:p>
    <w:p>
      <w:pPr>
        <w:pStyle w:val="BodyText"/>
        <w:spacing w:before="2"/>
        <w:ind w:left="830"/>
      </w:pPr>
      <w:r>
        <w:rPr>
          <w:spacing w:val="-1"/>
        </w:rPr>
        <w:t>③ 开工前要做好各级技术预备和技术交底工作.</w:t>
      </w:r>
    </w:p>
    <w:p>
      <w:pPr>
        <w:pStyle w:val="BodyText"/>
        <w:spacing w:before="198" w:line="343" w:lineRule="auto"/>
        <w:ind w:right="400" w:firstLine="720"/>
      </w:pPr>
      <w:r>
        <w:t>④ 认真执行技术质量治理制度，准时积存技术资料,土方工程竣工后应由三方共同验收评定质量等级.</w:t>
      </w:r>
    </w:p>
    <w:p>
      <w:pPr>
        <w:pStyle w:val="BodyText"/>
        <w:spacing w:before="2"/>
        <w:ind w:left="830"/>
      </w:pPr>
      <w:r>
        <w:t>〔4)</w:t>
      </w:r>
      <w:r>
        <w:rPr>
          <w:spacing w:val="-1"/>
        </w:rPr>
        <w:t xml:space="preserve"> 安全保证措施</w:t>
      </w:r>
    </w:p>
    <w:p>
      <w:pPr>
        <w:pStyle w:val="BodyText"/>
        <w:spacing w:before="198"/>
        <w:ind w:left="830"/>
      </w:pPr>
      <w:r>
        <w:rPr>
          <w:spacing w:val="-13"/>
        </w:rPr>
        <w:t xml:space="preserve">① 确保支护构造安全的关健，挖掘过程中,抓斗距围护体至少 </w:t>
      </w:r>
      <w:r>
        <w:t>30cm</w:t>
      </w:r>
      <w:r>
        <w:rPr>
          <w:spacing w:val="-27"/>
        </w:rPr>
        <w:t xml:space="preserve"> 以上，避开撞击.</w:t>
      </w:r>
    </w:p>
    <w:p>
      <w:pPr>
        <w:pStyle w:val="BodyText"/>
        <w:spacing w:before="197" w:line="345" w:lineRule="auto"/>
        <w:ind w:right="288" w:firstLine="720"/>
      </w:pPr>
      <w:r>
        <w:rPr>
          <w:spacing w:val="-4"/>
        </w:rPr>
        <w:t>② 挖掘机、运输车只能停在路基箱上，不宜直接停在水平支撑上。场内运输道路应</w:t>
      </w:r>
      <w:r>
        <w:t>按设计要求制作。</w:t>
      </w:r>
    </w:p>
    <w:p>
      <w:pPr>
        <w:pStyle w:val="BodyText"/>
        <w:spacing w:line="455" w:lineRule="exact"/>
        <w:ind w:left="830"/>
      </w:pPr>
      <w:r>
        <w:rPr>
          <w:spacing w:val="-1"/>
        </w:rPr>
        <w:t>③ 对围护体和管线进展监测，觉察问题准时实行措施.</w:t>
      </w:r>
    </w:p>
    <w:p>
      <w:pPr>
        <w:pStyle w:val="BodyText"/>
        <w:spacing w:before="198" w:line="345" w:lineRule="auto"/>
        <w:ind w:right="378" w:firstLine="720"/>
      </w:pPr>
      <w:r>
        <w:t>④ 夜间施工要有足够的照度，进出口处专人指挥，避开发生交通事故， 挖机回转范围内不得站人,尤其是土方施工协作人员.</w:t>
      </w:r>
    </w:p>
    <w:p>
      <w:pPr>
        <w:pStyle w:val="BodyText"/>
        <w:spacing w:line="454" w:lineRule="exact"/>
        <w:ind w:left="830"/>
      </w:pPr>
      <w:r>
        <w:rPr>
          <w:w w:val="95"/>
        </w:rPr>
        <w:t>⑤ 基坑周边用钢管扣件成高度 900mm</w:t>
      </w:r>
      <w:r>
        <w:rPr>
          <w:spacing w:val="-8"/>
          <w:w w:val="95"/>
        </w:rPr>
        <w:t xml:space="preserve"> 的拦杆.</w:t>
      </w:r>
    </w:p>
    <w:p>
      <w:pPr>
        <w:pStyle w:val="BodyText"/>
        <w:spacing w:before="197"/>
        <w:ind w:left="830"/>
      </w:pPr>
      <w:r>
        <w:rPr>
          <w:spacing w:val="-1"/>
        </w:rPr>
        <w:t>⑥ 做好各级安全交底工作.</w:t>
      </w:r>
    </w:p>
    <w:p>
      <w:pPr>
        <w:spacing w:after="0"/>
        <w:sectPr>
          <w:footerReference w:type="default" r:id="rId4"/>
          <w:type w:val="continuous"/>
          <w:pgSz w:w="17860" w:h="25260"/>
          <w:pgMar w:top="1960" w:right="1820" w:bottom="2000" w:left="1780" w:header="708" w:footer="1816"/>
          <w:pgNumType w:start="1"/>
          <w:cols w:space="708"/>
        </w:sectPr>
      </w:pPr>
    </w:p>
    <w:p>
      <w:pPr>
        <w:pStyle w:val="BodyText"/>
        <w:spacing w:before="23"/>
        <w:ind w:left="830"/>
      </w:pPr>
      <w:r>
        <w:t>〔5)</w:t>
      </w:r>
      <w:r>
        <w:rPr>
          <w:spacing w:val="-1"/>
        </w:rPr>
        <w:t xml:space="preserve"> 交通、环卫协调与文明施工</w:t>
      </w:r>
    </w:p>
    <w:p>
      <w:pPr>
        <w:pStyle w:val="BodyText"/>
        <w:spacing w:before="197"/>
        <w:ind w:left="830"/>
      </w:pPr>
      <w:r>
        <w:rPr>
          <w:spacing w:val="-1"/>
        </w:rPr>
        <w:t>① 与交通、环卫、渣土办理好土方准运手续。</w:t>
      </w:r>
    </w:p>
    <w:p>
      <w:pPr>
        <w:pStyle w:val="BodyText"/>
        <w:spacing w:before="201" w:line="343" w:lineRule="auto"/>
        <w:ind w:right="393" w:firstLine="720"/>
      </w:pPr>
      <w:r>
        <w:rPr>
          <w:spacing w:val="-1"/>
        </w:rPr>
        <w:t>② 在进出口处铺设草袋，车辆开出时在大门由二人特地去泥,冲洗车胎，每天早晨</w:t>
      </w:r>
      <w:r>
        <w:t>清扫,冲洗路面,阴雨天尤其要留意。</w:t>
      </w:r>
    </w:p>
    <w:p>
      <w:pPr>
        <w:pStyle w:val="Heading1"/>
        <w:spacing w:line="460" w:lineRule="exact"/>
      </w:pPr>
      <w:r>
        <w:rPr>
          <w:color w:val="FF0000"/>
          <w:w w:val="95"/>
        </w:rPr>
        <w:t>本工程承受盲沟集水井排水方法.</w:t>
      </w:r>
    </w:p>
    <w:p>
      <w:pPr>
        <w:pStyle w:val="ListParagraph"/>
        <w:numPr>
          <w:ilvl w:val="0"/>
          <w:numId w:val="14"/>
        </w:numPr>
        <w:tabs>
          <w:tab w:val="left" w:pos="1551"/>
        </w:tabs>
        <w:spacing w:before="202" w:after="0" w:line="343" w:lineRule="auto"/>
        <w:ind w:left="110" w:right="339" w:firstLine="720"/>
        <w:jc w:val="left"/>
        <w:rPr>
          <w:sz w:val="36"/>
        </w:rPr>
      </w:pPr>
      <w:r>
        <w:rPr>
          <w:sz w:val="36"/>
        </w:rPr>
        <w:t>当土方开挖至设计基底标高时，开挖宽0。4m，</w:t>
      </w:r>
      <w:r>
        <w:rPr>
          <w:spacing w:val="11"/>
          <w:sz w:val="36"/>
        </w:rPr>
        <w:t>深</w:t>
      </w:r>
      <w:r>
        <w:rPr>
          <w:sz w:val="36"/>
        </w:rPr>
        <w:t>0。3m</w:t>
      </w:r>
      <w:r>
        <w:rPr>
          <w:spacing w:val="-10"/>
          <w:sz w:val="36"/>
        </w:rPr>
        <w:t xml:space="preserve"> 的排水沟，沿基坑周边</w:t>
      </w:r>
      <w:r>
        <w:rPr>
          <w:spacing w:val="-19"/>
          <w:sz w:val="36"/>
        </w:rPr>
        <w:t xml:space="preserve">和纵横各 </w:t>
      </w:r>
      <w:r>
        <w:rPr>
          <w:sz w:val="36"/>
        </w:rPr>
        <w:t>15m</w:t>
      </w:r>
      <w:r>
        <w:rPr>
          <w:spacing w:val="-10"/>
          <w:sz w:val="36"/>
        </w:rPr>
        <w:t xml:space="preserve"> 设一道，而后填满碎石，形成排水盲沟系统。</w:t>
      </w:r>
    </w:p>
    <w:p>
      <w:pPr>
        <w:pStyle w:val="ListParagraph"/>
        <w:numPr>
          <w:ilvl w:val="0"/>
          <w:numId w:val="14"/>
        </w:numPr>
        <w:tabs>
          <w:tab w:val="left" w:pos="1551"/>
        </w:tabs>
        <w:spacing w:before="0" w:after="0" w:line="345" w:lineRule="auto"/>
        <w:ind w:left="110" w:right="374" w:firstLine="720"/>
        <w:jc w:val="left"/>
        <w:rPr>
          <w:sz w:val="36"/>
        </w:rPr>
      </w:pPr>
      <w:r>
        <w:rPr>
          <w:spacing w:val="-15"/>
          <w:sz w:val="36"/>
        </w:rPr>
        <w:t xml:space="preserve">集水井每 </w:t>
      </w:r>
      <w:r>
        <w:rPr>
          <w:spacing w:val="-1"/>
          <w:sz w:val="36"/>
        </w:rPr>
        <w:t>30m</w:t>
      </w:r>
      <w:r>
        <w:rPr>
          <w:spacing w:val="-12"/>
          <w:sz w:val="36"/>
        </w:rPr>
        <w:t xml:space="preserve"> 设一只,至少设四只，每角一只，集水井直径 </w:t>
      </w:r>
      <w:r>
        <w:rPr>
          <w:sz w:val="36"/>
        </w:rPr>
        <w:t>1m,</w:t>
      </w:r>
      <w:r>
        <w:rPr>
          <w:spacing w:val="-23"/>
          <w:sz w:val="36"/>
        </w:rPr>
        <w:t xml:space="preserve">深度 </w:t>
      </w:r>
      <w:r>
        <w:rPr>
          <w:sz w:val="36"/>
        </w:rPr>
        <w:t>1.0m,井壁</w:t>
      </w:r>
      <w:r>
        <w:rPr>
          <w:spacing w:val="-8"/>
          <w:sz w:val="36"/>
        </w:rPr>
        <w:t xml:space="preserve">承受标砖预制, 井底铺 </w:t>
      </w:r>
      <w:r>
        <w:rPr>
          <w:sz w:val="36"/>
        </w:rPr>
        <w:t>0。3m</w:t>
      </w:r>
      <w:r>
        <w:rPr>
          <w:spacing w:val="-10"/>
          <w:sz w:val="36"/>
        </w:rPr>
        <w:t xml:space="preserve"> 厚的碎石，以免泥砂堵塞水泵。</w:t>
      </w:r>
    </w:p>
    <w:p>
      <w:pPr>
        <w:pStyle w:val="BodyText"/>
        <w:spacing w:line="455" w:lineRule="exact"/>
        <w:ind w:left="830"/>
      </w:pPr>
      <w:r>
        <w:t>〔3)</w:t>
      </w:r>
      <w:r>
        <w:rPr>
          <w:spacing w:val="-1"/>
        </w:rPr>
        <w:t xml:space="preserve"> 排水沟和集水井应保持肯定高差。</w:t>
      </w:r>
    </w:p>
    <w:p>
      <w:pPr>
        <w:spacing w:before="196" w:line="345" w:lineRule="auto"/>
        <w:ind w:left="474" w:right="2987" w:hanging="364"/>
        <w:jc w:val="left"/>
        <w:rPr>
          <w:b/>
          <w:sz w:val="36"/>
        </w:rPr>
      </w:pPr>
      <w:r>
        <w:rPr>
          <w:sz w:val="36"/>
        </w:rPr>
        <w:t>(4〕</w:t>
      </w:r>
      <w:r>
        <w:rPr>
          <w:spacing w:val="-4"/>
          <w:sz w:val="36"/>
        </w:rPr>
        <w:t xml:space="preserve"> 施工现场要有完善的排水堵水系统， 防止地外表水流入基坑内。</w:t>
      </w:r>
      <w:r>
        <w:rPr>
          <w:b/>
          <w:color w:val="FF0000"/>
          <w:sz w:val="36"/>
        </w:rPr>
        <w:t>根底施工完成后准时回填。</w:t>
      </w:r>
    </w:p>
    <w:p>
      <w:pPr>
        <w:pStyle w:val="BodyText"/>
        <w:spacing w:line="343" w:lineRule="auto"/>
        <w:ind w:right="377" w:firstLine="720"/>
      </w:pPr>
      <w:r>
        <w:rPr>
          <w:spacing w:val="-3"/>
        </w:rPr>
        <w:t>回填土承受土质良好、无有机杂质的粘土.蛙式打夯机分层夯实，分层厚度掌握不超</w:t>
      </w:r>
      <w:r>
        <w:rPr>
          <w:spacing w:val="-46"/>
        </w:rPr>
        <w:t xml:space="preserve">过 </w:t>
      </w:r>
      <w:r>
        <w:t>250mm，掌握好回填土的含水率，以免产生“橡皮土”现象。</w:t>
      </w:r>
    </w:p>
    <w:p>
      <w:pPr>
        <w:spacing w:before="0" w:line="343" w:lineRule="auto"/>
        <w:ind w:left="110" w:right="5145" w:firstLine="0"/>
        <w:jc w:val="left"/>
        <w:rPr>
          <w:b/>
          <w:sz w:val="36"/>
        </w:rPr>
      </w:pPr>
      <w:r>
        <w:rPr>
          <w:spacing w:val="-1"/>
          <w:sz w:val="36"/>
        </w:rPr>
        <w:t>按标准要求现场取样进展土的干容重测试,以确保其密实.</w:t>
      </w:r>
      <w:r>
        <w:rPr>
          <w:spacing w:val="-177"/>
          <w:sz w:val="36"/>
        </w:rPr>
        <w:t xml:space="preserve"> </w:t>
      </w:r>
      <w:r>
        <w:rPr>
          <w:b/>
          <w:color w:val="FF0000"/>
          <w:sz w:val="36"/>
        </w:rPr>
        <w:t>根底模板制作安装</w:t>
      </w:r>
    </w:p>
    <w:p>
      <w:pPr>
        <w:pStyle w:val="BodyText"/>
        <w:spacing w:line="460" w:lineRule="exact"/>
        <w:ind w:left="830"/>
      </w:pPr>
      <w:r>
        <w:t>⑴安装挨次</w:t>
      </w:r>
    </w:p>
    <w:p>
      <w:pPr>
        <w:pStyle w:val="BodyText"/>
        <w:spacing w:before="196" w:line="343" w:lineRule="auto"/>
        <w:ind w:right="459" w:firstLine="727"/>
      </w:pPr>
      <w:r>
        <w:rPr>
          <w:spacing w:val="-1"/>
        </w:rPr>
        <w:t>放线→安底阶模→安底阶支撑→安上阶模→安上阶围箍和支撑→搭设模板吊架→检</w:t>
      </w:r>
      <w:r>
        <w:t>查、校正→验收</w:t>
      </w:r>
    </w:p>
    <w:p>
      <w:pPr>
        <w:pStyle w:val="BodyText"/>
        <w:spacing w:line="343" w:lineRule="auto"/>
        <w:ind w:right="367" w:firstLine="1080"/>
        <w:jc w:val="both"/>
      </w:pPr>
      <w:r>
        <w:rPr>
          <w:spacing w:val="-4"/>
        </w:rPr>
        <w:t>⑵阶梯形独立根底：依据图纸尺寸制作每一阶级模板， 支模挨次由下至上逐层向</w:t>
      </w:r>
      <w:r>
        <w:t>上安装,先安装底层阶梯模板，用斜撑和水平撑钉稳撑牢;核对模板墨线及标高，协作绑扎钢筋及砼〔或砂浆〕</w:t>
      </w:r>
      <w:r>
        <w:rPr>
          <w:spacing w:val="1"/>
        </w:rPr>
        <w:t>垫块,再进展上一阶模板安装，重核对墨线各部位尺寸和标高,</w:t>
      </w:r>
      <w:r>
        <w:rPr>
          <w:spacing w:val="-178"/>
        </w:rPr>
        <w:t xml:space="preserve"> </w:t>
      </w:r>
      <w:r>
        <w:t>并把斜撑、水平支撑以及拉杆加以钉紧、撑牢，最终检查斜撑及拉杆是否稳固，校核根底模板几何尺寸、标高及轴线位置。</w:t>
      </w:r>
    </w:p>
    <w:p>
      <w:pPr>
        <w:pStyle w:val="BodyText"/>
        <w:spacing w:before="2"/>
      </w:pPr>
      <w:r>
        <w:rPr>
          <w:color w:val="FF0000"/>
        </w:rPr>
        <w:t>池顶盖板模板安装</w:t>
      </w:r>
    </w:p>
    <w:p>
      <w:pPr>
        <w:pStyle w:val="BodyText"/>
        <w:spacing w:before="198"/>
        <w:ind w:left="830"/>
      </w:pPr>
      <w:r>
        <w:t>⑴安装程序</w:t>
      </w:r>
    </w:p>
    <w:p>
      <w:pPr>
        <w:pStyle w:val="BodyText"/>
        <w:spacing w:before="201" w:line="343" w:lineRule="auto"/>
        <w:ind w:right="195" w:firstLine="720"/>
      </w:pPr>
      <w:r>
        <w:rPr>
          <w:spacing w:val="-4"/>
        </w:rPr>
        <w:t>复核板底标高→搭设支模架→安放龙骨→安装模板( 铺放密肋楼板模板</w:t>
      </w:r>
      <w:r>
        <w:rPr>
          <w:spacing w:val="-1"/>
        </w:rPr>
        <w:t>〕→安装柱、</w:t>
      </w:r>
      <w:r>
        <w:t>梁、 板节点模板→安放预埋件及预留孔模板等→检查校正→交付验收</w:t>
      </w:r>
    </w:p>
    <w:p>
      <w:pPr>
        <w:pStyle w:val="BodyText"/>
        <w:spacing w:line="343" w:lineRule="auto"/>
        <w:ind w:right="192" w:firstLine="727"/>
      </w:pPr>
      <w:r>
        <w:t>⑵依据模板的排列图架设支柱和龙骨。支柱与龙骨的间距，应依据模板的砼重量与</w:t>
      </w:r>
      <w:r>
        <w:rPr>
          <w:spacing w:val="-7"/>
        </w:rPr>
        <w:t xml:space="preserve">施工荷截的大小，在模板设计中确定.一般支柱为 </w:t>
      </w:r>
      <w:r>
        <w:rPr>
          <w:spacing w:val="-2"/>
        </w:rPr>
        <w:t>80～120cm</w:t>
      </w:r>
      <w:r>
        <w:rPr>
          <w:spacing w:val="-13"/>
        </w:rPr>
        <w:t xml:space="preserve">，大龙骨间距为 </w:t>
      </w:r>
      <w:r>
        <w:rPr>
          <w:spacing w:val="-2"/>
        </w:rPr>
        <w:t>60～120cm，</w:t>
      </w:r>
      <w:r>
        <w:rPr>
          <w:spacing w:val="-177"/>
        </w:rPr>
        <w:t xml:space="preserve"> </w:t>
      </w:r>
      <w:r>
        <w:rPr>
          <w:spacing w:val="-13"/>
        </w:rPr>
        <w:t xml:space="preserve">小龙骨间距为 </w:t>
      </w:r>
      <w:r>
        <w:t>40～60cm。支柱排列要考虑设置施工通道.</w:t>
      </w:r>
    </w:p>
    <w:p>
      <w:pPr>
        <w:spacing w:after="0" w:line="343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https://d.book118.com/708122141011006023</w:t>
        </w:r>
      </w:hyperlink>
    </w:p>
    <w:p>
      <w:pPr>
        <w:spacing w:after="0" w:line="343" w:lineRule="auto"/>
      </w:pPr>
    </w:p>
    <w:sectPr>
      <w:footerReference w:type="default" r:id="rId6"/>
      <w:pgSz w:w="17860" w:h="25260"/>
      <w:pgMar w:top="1980" w:right="1820" w:bottom="2040" w:left="1780" w:header="0" w:footer="1816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5pt;height:17.9pt;margin-top:1159.53pt;margin-left:382.0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57" w:line="300" w:lineRule="exact"/>
                  <w:ind w:left="60" w:right="0" w:firstLine="0"/>
                  <w:jc w:val="left"/>
                  <w:rPr>
                    <w:rFonts w:ascii="Garamond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Garamond"/>
                    <w:w w:val="105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5pt;height:17.9pt;margin-top:1159.53pt;margin-left:382.0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57" w:line="300" w:lineRule="exact"/>
                  <w:ind w:left="60" w:right="0" w:firstLine="0"/>
                  <w:jc w:val="left"/>
                  <w:rPr>
                    <w:rFonts w:ascii="Garamond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Garamond"/>
                    <w:w w:val="105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4A28"/>
    <w:multiLevelType w:val="hybridMultilevel"/>
    <w:tmpl w:val="00000000"/>
    <w:lvl w:ilvl="0">
      <w:start w:val="1"/>
      <w:numFmt w:val="decimal"/>
      <w:lvlText w:val="%1"/>
      <w:lvlJc w:val="left"/>
      <w:pPr>
        <w:ind w:left="1190" w:hanging="36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20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51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5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04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7" w:hanging="360"/>
      </w:pPr>
      <w:rPr>
        <w:rFonts w:hint="default"/>
      </w:rPr>
    </w:lvl>
  </w:abstractNum>
  <w:abstractNum w:abstractNumId="1">
    <w:nsid w:val="0CF04B83"/>
    <w:multiLevelType w:val="hybridMultilevel"/>
    <w:tmpl w:val="00000000"/>
    <w:lvl w:ilvl="0">
      <w:start w:val="3"/>
      <w:numFmt w:val="decimal"/>
      <w:lvlText w:val="%1）"/>
      <w:lvlJc w:val="left"/>
      <w:pPr>
        <w:ind w:left="110" w:hanging="545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3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545"/>
      </w:pPr>
      <w:rPr>
        <w:rFonts w:hint="default"/>
      </w:rPr>
    </w:lvl>
  </w:abstractNum>
  <w:abstractNum w:abstractNumId="2">
    <w:nsid w:val="0F39D761"/>
    <w:multiLevelType w:val="hybridMultilevel"/>
    <w:tmpl w:val="00000000"/>
    <w:lvl w:ilvl="0">
      <w:start w:val="1"/>
      <w:numFmt w:val="decimal"/>
      <w:lvlText w:val="%1）"/>
      <w:lvlJc w:val="left"/>
      <w:pPr>
        <w:ind w:left="137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6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4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9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3" w:hanging="541"/>
      </w:pPr>
      <w:rPr>
        <w:rFonts w:hint="default"/>
      </w:rPr>
    </w:lvl>
  </w:abstractNum>
  <w:abstractNum w:abstractNumId="3">
    <w:nsid w:val="1214BAD1"/>
    <w:multiLevelType w:val="hybridMultilevel"/>
    <w:tmpl w:val="00000000"/>
    <w:lvl w:ilvl="0">
      <w:start w:val="1"/>
      <w:numFmt w:val="decimal"/>
      <w:lvlText w:val="%1)"/>
      <w:lvlJc w:val="left"/>
      <w:pPr>
        <w:ind w:left="119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1.%2"/>
      <w:lvlJc w:val="left"/>
      <w:pPr>
        <w:ind w:left="2810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62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04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7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46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7" w:hanging="1260"/>
      </w:pPr>
      <w:rPr>
        <w:rFonts w:hint="default"/>
      </w:rPr>
    </w:lvl>
  </w:abstractNum>
  <w:abstractNum w:abstractNumId="4">
    <w:nsid w:val="12CF5A72"/>
    <w:multiLevelType w:val="hybridMultilevel"/>
    <w:tmpl w:val="00000000"/>
    <w:lvl w:ilvl="0">
      <w:start w:val="1"/>
      <w:numFmt w:val="decimal"/>
      <w:lvlText w:val="（%1）"/>
      <w:lvlJc w:val="left"/>
      <w:pPr>
        <w:ind w:left="1910" w:hanging="1080"/>
        <w:jc w:val="left"/>
      </w:pPr>
      <w:rPr>
        <w:rFonts w:ascii="宋体" w:eastAsia="宋体" w:hAnsi="宋体" w:cs="宋体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15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2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1" w:hanging="1080"/>
      </w:pPr>
      <w:rPr>
        <w:rFonts w:hint="default"/>
      </w:rPr>
    </w:lvl>
  </w:abstractNum>
  <w:abstractNum w:abstractNumId="5">
    <w:nsid w:val="3C81E232"/>
    <w:multiLevelType w:val="hybridMultilevel"/>
    <w:tmpl w:val="00000000"/>
    <w:lvl w:ilvl="0">
      <w:start w:val="4"/>
      <w:numFmt w:val="decimal"/>
      <w:lvlText w:val="%1"/>
      <w:lvlJc w:val="left"/>
      <w:pPr>
        <w:ind w:left="2810" w:hanging="12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10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10" w:hanging="1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362" w:hanging="1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04" w:hanging="1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75" w:hanging="1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46" w:hanging="1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7" w:hanging="1620"/>
      </w:pPr>
      <w:rPr>
        <w:rFonts w:hint="default"/>
      </w:rPr>
    </w:lvl>
  </w:abstractNum>
  <w:abstractNum w:abstractNumId="6">
    <w:nsid w:val="41F1A373"/>
    <w:multiLevelType w:val="hybridMultilevel"/>
    <w:tmpl w:val="00000000"/>
    <w:lvl w:ilvl="0">
      <w:start w:val="1"/>
      <w:numFmt w:val="decimal"/>
      <w:lvlText w:val="(%1)"/>
      <w:lvlJc w:val="left"/>
      <w:pPr>
        <w:ind w:left="11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53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720"/>
      </w:pPr>
      <w:rPr>
        <w:rFonts w:hint="default"/>
      </w:rPr>
    </w:lvl>
  </w:abstractNum>
  <w:abstractNum w:abstractNumId="7">
    <w:nsid w:val="431D64FD"/>
    <w:multiLevelType w:val="hybridMultilevel"/>
    <w:tmpl w:val="00000000"/>
    <w:lvl w:ilvl="0">
      <w:start w:val="3"/>
      <w:numFmt w:val="decimal"/>
      <w:lvlText w:val="%1"/>
      <w:lvlJc w:val="left"/>
      <w:pPr>
        <w:ind w:left="2810" w:hanging="126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810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170" w:hanging="1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642" w:hanging="1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73" w:hanging="1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04" w:hanging="1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5" w:hanging="1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6" w:hanging="1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7" w:hanging="1620"/>
      </w:pPr>
      <w:rPr>
        <w:rFonts w:hint="default"/>
      </w:rPr>
    </w:lvl>
  </w:abstractNum>
  <w:abstractNum w:abstractNumId="8">
    <w:nsid w:val="53C275F9"/>
    <w:multiLevelType w:val="hybridMultilevel"/>
    <w:tmpl w:val="00000000"/>
    <w:lvl w:ilvl="0">
      <w:start w:val="1"/>
      <w:numFmt w:val="decimal"/>
      <w:lvlText w:val="(%1)"/>
      <w:lvlJc w:val="left"/>
      <w:pPr>
        <w:ind w:left="11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53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720"/>
      </w:pPr>
      <w:rPr>
        <w:rFonts w:hint="default"/>
      </w:rPr>
    </w:lvl>
  </w:abstractNum>
  <w:abstractNum w:abstractNumId="9">
    <w:nsid w:val="5BCEFE95"/>
    <w:multiLevelType w:val="hybridMultilevel"/>
    <w:tmpl w:val="00000000"/>
    <w:lvl w:ilvl="0">
      <w:start w:val="1"/>
      <w:numFmt w:val="decimal"/>
      <w:lvlText w:val="%1）"/>
      <w:lvlJc w:val="left"/>
      <w:pPr>
        <w:ind w:left="137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6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4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9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3" w:hanging="541"/>
      </w:pPr>
      <w:rPr>
        <w:rFonts w:hint="default"/>
      </w:rPr>
    </w:lvl>
  </w:abstractNum>
  <w:abstractNum w:abstractNumId="10">
    <w:nsid w:val="60E6AC7E"/>
    <w:multiLevelType w:val="hybridMultilevel"/>
    <w:tmpl w:val="00000000"/>
    <w:lvl w:ilvl="0">
      <w:start w:val="2"/>
      <w:numFmt w:val="decimal"/>
      <w:lvlText w:val="%1）"/>
      <w:lvlJc w:val="left"/>
      <w:pPr>
        <w:ind w:left="110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541"/>
      </w:pPr>
      <w:rPr>
        <w:rFonts w:hint="default"/>
      </w:rPr>
    </w:lvl>
  </w:abstractNum>
  <w:abstractNum w:abstractNumId="11">
    <w:nsid w:val="69FB9183"/>
    <w:multiLevelType w:val="hybridMultilevel"/>
    <w:tmpl w:val="00000000"/>
    <w:lvl w:ilvl="0">
      <w:start w:val="3"/>
      <w:numFmt w:val="decimal"/>
      <w:lvlText w:val="%1)"/>
      <w:lvlJc w:val="left"/>
      <w:pPr>
        <w:ind w:left="11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3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361"/>
      </w:pPr>
      <w:rPr>
        <w:rFonts w:hint="default"/>
      </w:rPr>
    </w:lvl>
  </w:abstractNum>
  <w:abstractNum w:abstractNumId="12">
    <w:nsid w:val="7CC588F0"/>
    <w:multiLevelType w:val="hybridMultilevel"/>
    <w:tmpl w:val="00000000"/>
    <w:lvl w:ilvl="0">
      <w:start w:val="4"/>
      <w:numFmt w:val="decimal"/>
      <w:lvlText w:val="%1）"/>
      <w:lvlJc w:val="left"/>
      <w:pPr>
        <w:ind w:left="11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1" w:hanging="541"/>
      </w:pPr>
      <w:rPr>
        <w:rFonts w:hint="default"/>
      </w:rPr>
    </w:lvl>
  </w:abstractNum>
  <w:abstractNum w:abstractNumId="13">
    <w:nsid w:val="7DC038A8"/>
    <w:multiLevelType w:val="hybridMultilevel"/>
    <w:tmpl w:val="00000000"/>
    <w:lvl w:ilvl="0">
      <w:start w:val="2"/>
      <w:numFmt w:val="decimal"/>
      <w:lvlText w:val="%1"/>
      <w:lvlJc w:val="left"/>
      <w:pPr>
        <w:ind w:left="2091" w:hanging="5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9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5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7" w:hanging="541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1"/>
  </w:num>
  <w:num w:numId="5">
    <w:abstractNumId w:val="3"/>
  </w:num>
  <w:num w:numId="6">
    <w:abstractNumId w:val="10"/>
  </w:num>
  <w:num w:numId="7">
    <w:abstractNumId w:val="11"/>
  </w:num>
  <w:num w:numId="8">
    <w:abstractNumId w:val="9"/>
  </w:num>
  <w:num w:numId="9">
    <w:abstractNumId w:val="12"/>
  </w:num>
  <w:num w:numId="10">
    <w:abstractNumId w:val="2"/>
  </w:num>
  <w:num w:numId="11">
    <w:abstractNumId w:val="0"/>
  </w:num>
  <w:num w:numId="12">
    <w:abstractNumId w:val="8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"/>
    </w:pPr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10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20"/>
      <w:ind w:left="5252" w:right="5520"/>
      <w:jc w:val="center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10" w:firstLine="72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0812214101100602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2023-10-15T03:01:10Z</dcterms:created>
  <dcterms:modified xsi:type="dcterms:W3CDTF">2023-10-15T03:01:10Z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2023-01-07T00:00:00Z</vt:filetime>
  </property>
  <property fmtid="{D5CDD505-2E9C-101B-9397-08002B2CF9AE}" pid="3" name="LastSaved">
    <vt:filetime>2023-10-15T00:00:00Z</vt:filetime>
  </property>
</Properties>
</file>