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312" w:lineRule="exact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01.0</w:t>
      </w:r>
      <w:r>
        <w:rPr>
          <w:rFonts w:ascii="SimHei" w:eastAsia="SimHei" w:hAnsi="SimHei" w:cs="SimHei"/>
          <w:position w:val="10"/>
          <w:sz w:val="21"/>
          <w:szCs w:val="21"/>
        </w:rPr>
        <w:t>80.30</w:t>
      </w:r>
    </w:p>
    <w:p>
      <w:pPr>
        <w:spacing w:line="185" w:lineRule="auto"/>
        <w:ind w:left="1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A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1"/>
          <w:sz w:val="21"/>
          <w:szCs w:val="21"/>
        </w:rPr>
        <w:t>7</w:t>
      </w:r>
      <w:r>
        <w:rPr>
          <w:rFonts w:ascii="SimHei" w:eastAsia="SimHei" w:hAnsi="SimHei" w:cs="SimHei"/>
          <w:sz w:val="21"/>
          <w:szCs w:val="21"/>
        </w:rPr>
        <w:t>5</w:t>
      </w:r>
    </w:p>
    <w:p>
      <w:pPr>
        <w:spacing w:before="68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备案号：58757</w:t>
      </w:r>
      <w:r>
        <w:rPr>
          <w:rFonts w:ascii="SimHei" w:eastAsia="SimHei" w:hAnsi="SimHei" w:cs="SimHei"/>
          <w:sz w:val="21"/>
          <w:szCs w:val="21"/>
        </w:rPr>
        <w:t>-2018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2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62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1642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2018</w:t>
      </w:r>
    </w:p>
    <w:p>
      <w:pPr>
        <w:sectPr>
          <w:pgSz w:w="11905" w:h="16840"/>
          <w:pgMar w:top="515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5" w:line="681" w:lineRule="exact"/>
        <w:ind w:left="2483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0"/>
          <w:position w:val="10"/>
          <w:sz w:val="51"/>
          <w:szCs w:val="51"/>
        </w:rPr>
        <w:t>地</w:t>
      </w:r>
      <w:r>
        <w:rPr>
          <w:rFonts w:ascii="SimHei" w:eastAsia="SimHei" w:hAnsi="SimHei" w:cs="SimHei"/>
          <w:spacing w:val="7"/>
          <w:position w:val="10"/>
          <w:sz w:val="51"/>
          <w:szCs w:val="51"/>
        </w:rPr>
        <w:t>理信息公共服务</w:t>
      </w:r>
    </w:p>
    <w:p>
      <w:pPr>
        <w:spacing w:line="225" w:lineRule="auto"/>
        <w:ind w:left="197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"/>
          <w:sz w:val="51"/>
          <w:szCs w:val="51"/>
        </w:rPr>
        <w:t>空</w:t>
      </w:r>
      <w:r>
        <w:rPr>
          <w:rFonts w:ascii="SimHei" w:eastAsia="SimHei" w:hAnsi="SimHei" w:cs="SimHei"/>
          <w:spacing w:val="7"/>
          <w:sz w:val="51"/>
          <w:szCs w:val="51"/>
        </w:rPr>
        <w:t>间数据交换基本规则</w:t>
      </w:r>
    </w:p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5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>
      <w:pPr>
        <w:spacing w:line="143" w:lineRule="exact"/>
      </w:pPr>
    </w:p>
    <w:p>
      <w:pPr>
        <w:sectPr>
          <w:type w:val="nextPage"/>
          <w:pgSz w:w="11905" w:h="16840"/>
          <w:pgMar w:top="515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018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018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5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368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1.1-2009给出的规则起草。</w:t>
      </w:r>
    </w:p>
    <w:p>
      <w:pPr>
        <w:spacing w:line="218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</w:t>
      </w:r>
      <w:r>
        <w:rPr>
          <w:rFonts w:ascii="SimSun" w:eastAsia="SimSun" w:hAnsi="SimSun" w:cs="SimSun"/>
          <w:spacing w:val="-2"/>
          <w:sz w:val="21"/>
          <w:szCs w:val="21"/>
        </w:rPr>
        <w:t>标准由青海省国土资源厅提出并归口。</w:t>
      </w:r>
    </w:p>
    <w:p>
      <w:pPr>
        <w:spacing w:before="63" w:line="287" w:lineRule="auto"/>
        <w:ind w:left="61" w:right="56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本标准起草单位：青海省地理空间信息技术与应用重点实验室、青海省基础地理信息中心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本标</w:t>
      </w:r>
      <w:r>
        <w:rPr>
          <w:rFonts w:ascii="SimSun" w:eastAsia="SimSun" w:hAnsi="SimSun" w:cs="SimSun"/>
          <w:spacing w:val="-1"/>
          <w:sz w:val="21"/>
          <w:szCs w:val="21"/>
        </w:rPr>
        <w:t>准主要起草人：王苑、许长军、刘慧、晁剑、张晶、刘楠、牛艳霞、吴析楚。</w:t>
      </w:r>
    </w:p>
    <w:p>
      <w:pPr>
        <w:sectPr>
          <w:footerReference w:type="default" r:id="rId4"/>
          <w:pgSz w:w="11905" w:h="16840"/>
          <w:pgMar w:top="1406" w:right="1132" w:bottom="1314" w:left="1785" w:header="0" w:footer="1134" w:gutter="0"/>
          <w:pgNumType w:start="6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1" w:lineRule="auto"/>
        <w:ind w:left="1723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"/>
          <w:sz w:val="32"/>
          <w:szCs w:val="32"/>
        </w:rPr>
        <w:t>地理信息公共服务</w:t>
      </w:r>
      <w:r>
        <w:rPr>
          <w:rFonts w:ascii="SimHei" w:eastAsia="SimHei" w:hAnsi="SimHei" w:cs="SimHei"/>
          <w:spacing w:val="-1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"/>
          <w:sz w:val="32"/>
          <w:szCs w:val="32"/>
        </w:rPr>
        <w:t>空间</w:t>
      </w:r>
      <w:r>
        <w:rPr>
          <w:rFonts w:ascii="SimHei" w:eastAsia="SimHei" w:hAnsi="SimHei" w:cs="SimHei"/>
          <w:sz w:val="32"/>
          <w:szCs w:val="32"/>
        </w:rPr>
        <w:t>数据交换基本规则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本规范规定了空间数据的交换数据基本规则、交换种类、交换方式、数据更新方式等内</w:t>
      </w:r>
      <w:r>
        <w:rPr>
          <w:rFonts w:ascii="SimSun" w:eastAsia="SimSun" w:hAnsi="SimSun" w:cs="SimSun"/>
          <w:sz w:val="21"/>
          <w:szCs w:val="21"/>
        </w:rPr>
        <w:t>容。</w:t>
      </w:r>
    </w:p>
    <w:p>
      <w:pPr>
        <w:spacing w:before="63" w:line="287" w:lineRule="auto"/>
        <w:ind w:left="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本规范适用于在空</w:t>
      </w:r>
      <w:r>
        <w:rPr>
          <w:rFonts w:ascii="SimSun" w:eastAsia="SimSun" w:hAnsi="SimSun" w:cs="SimSun"/>
          <w:spacing w:val="-7"/>
          <w:sz w:val="21"/>
          <w:szCs w:val="21"/>
        </w:rPr>
        <w:t>间</w:t>
      </w:r>
      <w:r>
        <w:rPr>
          <w:rFonts w:ascii="SimSun" w:eastAsia="SimSun" w:hAnsi="SimSun" w:cs="SimSun"/>
          <w:spacing w:val="-4"/>
          <w:sz w:val="21"/>
          <w:szCs w:val="21"/>
        </w:rPr>
        <w:t>信息化平台中交换数据的整理、交换等作业处理，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其他地理空间数据交换和共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享平台可参照使用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28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74" w:lineRule="auto"/>
        <w:ind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22</w:t>
      </w:r>
      <w:r>
        <w:rPr>
          <w:rFonts w:ascii="SimSun" w:eastAsia="SimSun" w:hAnsi="SimSun" w:cs="SimSun"/>
          <w:position w:val="7"/>
          <w:sz w:val="21"/>
          <w:szCs w:val="21"/>
        </w:rPr>
        <w:t>60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中华人民共和国行政区划代码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10113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分类与编码通用术语</w:t>
      </w:r>
    </w:p>
    <w:p>
      <w:pPr>
        <w:spacing w:before="61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1011</w:t>
      </w:r>
      <w:r>
        <w:rPr>
          <w:rFonts w:ascii="SimSun" w:eastAsia="SimSun" w:hAnsi="SimSun" w:cs="SimSun"/>
          <w:position w:val="7"/>
          <w:sz w:val="21"/>
          <w:szCs w:val="21"/>
        </w:rPr>
        <w:t>4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县级以下行政区划代码编制规则</w:t>
      </w:r>
    </w:p>
    <w:p>
      <w:pPr>
        <w:spacing w:before="1" w:line="218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1392</w:t>
      </w:r>
      <w:r>
        <w:rPr>
          <w:rFonts w:ascii="SimSun" w:eastAsia="SimSun" w:hAnsi="SimSun" w:cs="SimSun"/>
          <w:sz w:val="21"/>
          <w:szCs w:val="21"/>
        </w:rPr>
        <w:t>3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基础地理信息要素分类与代码</w:t>
      </w:r>
    </w:p>
    <w:p>
      <w:pPr>
        <w:spacing w:before="64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168</w:t>
      </w:r>
      <w:r>
        <w:rPr>
          <w:rFonts w:ascii="SimSun" w:eastAsia="SimSun" w:hAnsi="SimSun" w:cs="SimSun"/>
          <w:sz w:val="21"/>
          <w:szCs w:val="21"/>
        </w:rPr>
        <w:t>20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地图学术语</w:t>
      </w:r>
    </w:p>
    <w:p>
      <w:pPr>
        <w:spacing w:before="62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19710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地理信息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元数据</w:t>
      </w:r>
    </w:p>
    <w:p>
      <w:pPr>
        <w:spacing w:before="61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21139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基础地理信息标准数据基本规定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2552</w:t>
      </w:r>
      <w:r>
        <w:rPr>
          <w:rFonts w:ascii="SimSun" w:eastAsia="SimSun" w:hAnsi="SimSun" w:cs="SimSun"/>
          <w:sz w:val="21"/>
          <w:szCs w:val="21"/>
        </w:rPr>
        <w:t>9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地理信息分类与编码规则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下列术语和定义适用于本标准。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3" w:line="222" w:lineRule="auto"/>
        <w:ind w:left="4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目</w:t>
      </w:r>
      <w:r>
        <w:rPr>
          <w:rFonts w:ascii="SimHei" w:eastAsia="SimHei" w:hAnsi="SimHei" w:cs="SimHei"/>
          <w:spacing w:val="-6"/>
          <w:sz w:val="21"/>
          <w:szCs w:val="21"/>
        </w:rPr>
        <w:t>录数据</w:t>
      </w:r>
    </w:p>
    <w:p>
      <w:pPr>
        <w:spacing w:before="217" w:line="286" w:lineRule="auto"/>
        <w:ind w:left="3" w:firstLine="420"/>
        <w:rPr>
          <w:rFonts w:ascii="SimSun" w:eastAsia="SimSun" w:hAnsi="SimSun" w:cs="SimSun"/>
          <w:sz w:val="21"/>
          <w:szCs w:val="21"/>
        </w:rPr>
        <w:sectPr>
          <w:footerReference w:type="default" r:id="rId5"/>
          <w:pgSz w:w="11905" w:h="16840"/>
          <w:pgMar w:top="1406" w:right="1132" w:bottom="1316" w:left="1424" w:header="0" w:footer="1134" w:gutter="0"/>
          <w:pgNumType w:start="7"/>
          <w:cols w:space="708"/>
        </w:sectPr>
      </w:pPr>
      <w:r>
        <w:rPr>
          <w:rFonts w:ascii="SimSun" w:eastAsia="SimSun" w:hAnsi="SimSun" w:cs="SimSun"/>
          <w:spacing w:val="-8"/>
          <w:sz w:val="21"/>
          <w:szCs w:val="21"/>
        </w:rPr>
        <w:t>用以描述和标识不</w:t>
      </w:r>
      <w:r>
        <w:rPr>
          <w:rFonts w:ascii="SimSun" w:eastAsia="SimSun" w:hAnsi="SimSun" w:cs="SimSun"/>
          <w:spacing w:val="-7"/>
          <w:sz w:val="21"/>
          <w:szCs w:val="21"/>
        </w:rPr>
        <w:t>同</w:t>
      </w:r>
      <w:r>
        <w:rPr>
          <w:rFonts w:ascii="SimSun" w:eastAsia="SimSun" w:hAnsi="SimSun" w:cs="SimSun"/>
          <w:spacing w:val="-4"/>
          <w:sz w:val="21"/>
          <w:szCs w:val="21"/>
        </w:rPr>
        <w:t>空间数据资源特征的一组信息，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数据来源于规范的元数据信息。一套目录数据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可具</w:t>
      </w:r>
      <w:r>
        <w:rPr>
          <w:rFonts w:ascii="SimSun" w:eastAsia="SimSun" w:hAnsi="SimSun" w:cs="SimSun"/>
          <w:spacing w:val="-3"/>
          <w:sz w:val="21"/>
          <w:szCs w:val="21"/>
        </w:rPr>
        <w:t>有多个展现形式。</w:t>
      </w:r>
    </w:p>
    <w:p>
      <w:pPr>
        <w:spacing w:before="160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1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矢</w:t>
      </w:r>
      <w:r>
        <w:rPr>
          <w:rFonts w:ascii="SimHei" w:eastAsia="SimHei" w:hAnsi="SimHei" w:cs="SimHei"/>
          <w:spacing w:val="-3"/>
          <w:sz w:val="21"/>
          <w:szCs w:val="21"/>
        </w:rPr>
        <w:t>量</w:t>
      </w:r>
      <w:r>
        <w:rPr>
          <w:rFonts w:ascii="SimHei" w:eastAsia="SimHei" w:hAnsi="SimHei" w:cs="SimHei"/>
          <w:spacing w:val="-2"/>
          <w:sz w:val="21"/>
          <w:szCs w:val="21"/>
        </w:rPr>
        <w:t>数据</w:t>
      </w:r>
    </w:p>
    <w:p>
      <w:pPr>
        <w:spacing w:before="306" w:line="411" w:lineRule="auto"/>
        <w:ind w:left="1" w:right="353" w:firstLine="443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以坐标或有序坐标串表示的空间点、线、面等图</w:t>
      </w:r>
      <w:r>
        <w:rPr>
          <w:rFonts w:ascii="SimSun" w:eastAsia="SimSun" w:hAnsi="SimSun" w:cs="SimSun"/>
          <w:spacing w:val="-1"/>
          <w:sz w:val="21"/>
          <w:szCs w:val="21"/>
        </w:rPr>
        <w:t>形数据及与其相联系的有关属性数据的总称。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1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栅</w:t>
      </w:r>
      <w:r>
        <w:rPr>
          <w:rFonts w:ascii="SimHei" w:eastAsia="SimHei" w:hAnsi="SimHei" w:cs="SimHei"/>
          <w:spacing w:val="-1"/>
          <w:sz w:val="21"/>
          <w:szCs w:val="21"/>
        </w:rPr>
        <w:t>格数据</w:t>
      </w:r>
    </w:p>
    <w:p>
      <w:pPr>
        <w:spacing w:before="215" w:line="287" w:lineRule="auto"/>
        <w:ind w:left="4" w:right="1" w:firstLine="4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由矢量</w:t>
      </w:r>
      <w:r>
        <w:rPr>
          <w:rFonts w:ascii="SimSun" w:eastAsia="SimSun" w:hAnsi="SimSun" w:cs="SimSun"/>
          <w:spacing w:val="-6"/>
          <w:sz w:val="21"/>
          <w:szCs w:val="21"/>
        </w:rPr>
        <w:t>数</w:t>
      </w:r>
      <w:r>
        <w:rPr>
          <w:rFonts w:ascii="SimSun" w:eastAsia="SimSun" w:hAnsi="SimSun" w:cs="SimSun"/>
          <w:spacing w:val="-5"/>
          <w:sz w:val="21"/>
          <w:szCs w:val="21"/>
        </w:rPr>
        <w:t>据格式的数字线划图转换，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或由遥感影像数据、模拟地图经扫描、几何纠正级色彩归化处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理后形成的以栅格数据形式表达地形</w:t>
      </w:r>
      <w:r>
        <w:rPr>
          <w:rFonts w:ascii="SimSun" w:eastAsia="SimSun" w:hAnsi="SimSun" w:cs="SimSun"/>
          <w:spacing w:val="-1"/>
          <w:sz w:val="21"/>
          <w:szCs w:val="21"/>
        </w:rPr>
        <w:t>要素的数据集。</w:t>
      </w:r>
    </w:p>
    <w:p>
      <w:pPr>
        <w:sectPr>
          <w:footerReference w:type="default" r:id="rId6"/>
          <w:type w:val="nextPage"/>
          <w:pgSz w:w="11905" w:h="16840"/>
          <w:pgMar w:top="1406" w:right="1132" w:bottom="1316" w:left="1424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ind w:right="6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73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3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数字高程模型数据</w:t>
      </w:r>
    </w:p>
    <w:p>
      <w:pPr>
        <w:spacing w:before="216" w:line="498" w:lineRule="exact"/>
        <w:ind w:left="4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以规则格网点的高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程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值表达地面起伏的数据集。</w:t>
      </w:r>
    </w:p>
    <w:p>
      <w:pPr>
        <w:spacing w:before="1" w:line="18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5" w:line="222" w:lineRule="auto"/>
        <w:ind w:left="4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瓦片</w:t>
      </w:r>
      <w:r>
        <w:rPr>
          <w:rFonts w:ascii="SimHei" w:eastAsia="SimHei" w:hAnsi="SimHei" w:cs="SimHei"/>
          <w:spacing w:val="-2"/>
          <w:sz w:val="21"/>
          <w:szCs w:val="21"/>
        </w:rPr>
        <w:t>数据</w:t>
      </w:r>
    </w:p>
    <w:p>
      <w:pPr>
        <w:spacing w:before="307" w:line="360" w:lineRule="auto"/>
        <w:ind w:left="1" w:right="67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对单个的矢量数据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SimSun" w:eastAsia="SimSun" w:hAnsi="SimSun" w:cs="SimSun"/>
          <w:spacing w:val="-4"/>
          <w:sz w:val="21"/>
          <w:szCs w:val="21"/>
        </w:rPr>
        <w:t>栅格数据、数字高程模型数据和三维模型数据，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或者将上述各数据类型叠加之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后，</w:t>
      </w:r>
      <w:r>
        <w:rPr>
          <w:rFonts w:ascii="SimSun" w:eastAsia="SimSun" w:hAnsi="SimSun" w:cs="SimSun"/>
          <w:spacing w:val="-1"/>
          <w:sz w:val="21"/>
          <w:szCs w:val="21"/>
        </w:rPr>
        <w:t>根据瓦片金字塔模型对它们进行逐级分块，形成的地图图片数据或者文件数据。</w:t>
      </w:r>
    </w:p>
    <w:p>
      <w:pPr>
        <w:spacing w:before="76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226" w:line="222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三维模型数</w:t>
      </w:r>
      <w:r>
        <w:rPr>
          <w:rFonts w:ascii="SimHei" w:eastAsia="SimHei" w:hAnsi="SimHei" w:cs="SimHei"/>
          <w:spacing w:val="-1"/>
          <w:sz w:val="21"/>
          <w:szCs w:val="21"/>
        </w:rPr>
        <w:t>据</w:t>
      </w:r>
    </w:p>
    <w:p>
      <w:pPr>
        <w:spacing w:before="215" w:line="287" w:lineRule="auto"/>
        <w:ind w:left="2" w:right="66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对地形地貌、地</w:t>
      </w:r>
      <w:r>
        <w:rPr>
          <w:rFonts w:ascii="SimSun" w:eastAsia="SimSun" w:hAnsi="SimSun" w:cs="SimSun"/>
          <w:spacing w:val="-2"/>
          <w:sz w:val="21"/>
          <w:szCs w:val="21"/>
        </w:rPr>
        <w:t>上地下人工建筑物(构筑物)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等的三维表达，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反应对象的空间位置、几何形态、纹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理</w:t>
      </w:r>
      <w:r>
        <w:rPr>
          <w:rFonts w:ascii="SimSun" w:eastAsia="SimSun" w:hAnsi="SimSun" w:cs="SimSun"/>
          <w:spacing w:val="-4"/>
          <w:sz w:val="21"/>
          <w:szCs w:val="21"/>
        </w:rPr>
        <w:t>及属性等信息。</w:t>
      </w:r>
    </w:p>
    <w:p>
      <w:pPr>
        <w:spacing w:before="158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224" w:line="222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元数据</w:t>
      </w:r>
    </w:p>
    <w:p>
      <w:pPr>
        <w:spacing w:before="217" w:line="411" w:lineRule="auto"/>
        <w:ind w:firstLine="423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关于数据的数据。即数据的标识、覆盖范围、质量、空间和时间模式、空间参照系和分发等信息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8</w:t>
      </w:r>
    </w:p>
    <w:p>
      <w:pPr>
        <w:spacing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数据字</w:t>
      </w:r>
      <w:r>
        <w:rPr>
          <w:rFonts w:ascii="SimHei" w:eastAsia="SimHei" w:hAnsi="SimHei" w:cs="SimHei"/>
          <w:spacing w:val="-1"/>
          <w:sz w:val="21"/>
          <w:szCs w:val="21"/>
        </w:rPr>
        <w:t>典</w:t>
      </w:r>
    </w:p>
    <w:p>
      <w:pPr>
        <w:spacing w:before="216" w:line="499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数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据库中所有对象及其关系的信息集合。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9</w:t>
      </w:r>
    </w:p>
    <w:p>
      <w:pPr>
        <w:spacing w:before="225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本底数</w:t>
      </w:r>
      <w:r>
        <w:rPr>
          <w:rFonts w:ascii="SimHei" w:eastAsia="SimHei" w:hAnsi="SimHei" w:cs="SimHei"/>
          <w:spacing w:val="-1"/>
          <w:sz w:val="21"/>
          <w:szCs w:val="21"/>
        </w:rPr>
        <w:t>据</w:t>
      </w:r>
    </w:p>
    <w:p>
      <w:pPr>
        <w:spacing w:before="216" w:line="287" w:lineRule="auto"/>
        <w:ind w:left="2" w:right="66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相对于更新而产生的一个概念，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即第一次建立交换两端握手时需要的数据称为本底数据，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便于交换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更新两端建立数据配置关系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157" w:line="185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3.10</w:t>
      </w:r>
    </w:p>
    <w:p>
      <w:pPr>
        <w:spacing w:before="227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前置机</w:t>
      </w:r>
    </w:p>
    <w:p>
      <w:pPr>
        <w:spacing w:before="215" w:line="499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部署在不同节点，用于节点间数据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交换的计算机系统。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3.11</w:t>
      </w:r>
    </w:p>
    <w:p>
      <w:pPr>
        <w:spacing w:before="225" w:line="222" w:lineRule="auto"/>
        <w:ind w:left="41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代码</w:t>
      </w:r>
    </w:p>
    <w:p>
      <w:pPr>
        <w:spacing w:before="215" w:line="499" w:lineRule="exact"/>
        <w:ind w:left="419"/>
        <w:rPr>
          <w:rFonts w:ascii="SimSun" w:eastAsia="SimSun" w:hAnsi="SimSun" w:cs="SimSun"/>
          <w:sz w:val="21"/>
          <w:szCs w:val="21"/>
        </w:rPr>
        <w:sectPr>
          <w:footerReference w:type="default" r:id="rId7"/>
          <w:pgSz w:w="11905" w:h="16840"/>
          <w:pgMar w:top="1406" w:right="1065" w:bottom="1315" w:left="1426" w:header="0" w:footer="1134" w:gutter="0"/>
          <w:pgNumType w:start="9"/>
          <w:cols w:space="708"/>
        </w:sect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表示特定事物或概念的一个或一组字符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3.12</w:t>
      </w:r>
    </w:p>
    <w:p>
      <w:pPr>
        <w:spacing w:before="224" w:line="223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交</w:t>
      </w:r>
      <w:r>
        <w:rPr>
          <w:rFonts w:ascii="SimHei" w:eastAsia="SimHei" w:hAnsi="SimHei" w:cs="SimHei"/>
          <w:spacing w:val="-3"/>
          <w:sz w:val="21"/>
          <w:szCs w:val="21"/>
        </w:rPr>
        <w:t>换</w:t>
      </w:r>
    </w:p>
    <w:p>
      <w:pPr>
        <w:sectPr>
          <w:footerReference w:type="default" r:id="rId8"/>
          <w:type w:val="nextPage"/>
          <w:pgSz w:w="11905" w:h="16840"/>
          <w:pgMar w:top="1406" w:right="1065" w:bottom="1315" w:left="1426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11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3" w:line="287" w:lineRule="auto"/>
        <w:ind w:left="142" w:right="115" w:firstLine="40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包括数据汇交和数</w:t>
      </w:r>
      <w:r>
        <w:rPr>
          <w:rFonts w:ascii="SimSun" w:eastAsia="SimSun" w:hAnsi="SimSun" w:cs="SimSun"/>
          <w:spacing w:val="-2"/>
          <w:sz w:val="21"/>
          <w:szCs w:val="21"/>
        </w:rPr>
        <w:t>据使用两个方面，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是指数据汇交单位和数据接收单位(或使用单位)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相互交换空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间</w:t>
      </w:r>
      <w:r>
        <w:rPr>
          <w:rFonts w:ascii="SimSun" w:eastAsia="SimSun" w:hAnsi="SimSun" w:cs="SimSun"/>
          <w:spacing w:val="-5"/>
          <w:sz w:val="21"/>
          <w:szCs w:val="21"/>
        </w:rPr>
        <w:t>数据产品的过程。</w:t>
      </w:r>
    </w:p>
    <w:p>
      <w:pPr>
        <w:spacing w:before="157" w:line="187" w:lineRule="auto"/>
        <w:ind w:left="1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3.13</w:t>
      </w:r>
    </w:p>
    <w:p>
      <w:pPr>
        <w:spacing w:before="224" w:line="223" w:lineRule="auto"/>
        <w:ind w:left="54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空间信</w:t>
      </w:r>
      <w:r>
        <w:rPr>
          <w:rFonts w:ascii="SimHei" w:eastAsia="SimHei" w:hAnsi="SimHei" w:cs="SimHei"/>
          <w:spacing w:val="-1"/>
          <w:sz w:val="21"/>
          <w:szCs w:val="21"/>
        </w:rPr>
        <w:t>息化平台</w:t>
      </w:r>
    </w:p>
    <w:p>
      <w:pPr>
        <w:spacing w:before="213" w:line="217" w:lineRule="auto"/>
        <w:ind w:left="5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实现提供空间信息</w:t>
      </w:r>
      <w:r>
        <w:rPr>
          <w:rFonts w:ascii="SimSun" w:eastAsia="SimSun" w:hAnsi="SimSun" w:cs="SimSun"/>
          <w:spacing w:val="-1"/>
          <w:sz w:val="21"/>
          <w:szCs w:val="21"/>
        </w:rPr>
        <w:t>服务所需的分析功能、数据资源及其运行支撑环境的系统。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交换数据基本规定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1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数学基础</w:t>
      </w:r>
    </w:p>
    <w:p>
      <w:pPr>
        <w:spacing w:before="307" w:line="360" w:lineRule="auto"/>
        <w:ind w:left="129" w:right="5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坐标</w:t>
      </w:r>
      <w:r>
        <w:rPr>
          <w:rFonts w:ascii="SimSun" w:eastAsia="SimSun" w:hAnsi="SimSun" w:cs="SimSun"/>
          <w:spacing w:val="-6"/>
          <w:sz w:val="21"/>
          <w:szCs w:val="21"/>
        </w:rPr>
        <w:t>系</w:t>
      </w:r>
      <w:r>
        <w:rPr>
          <w:rFonts w:ascii="SimSun" w:eastAsia="SimSun" w:hAnsi="SimSun" w:cs="SimSun"/>
          <w:spacing w:val="-5"/>
          <w:sz w:val="21"/>
          <w:szCs w:val="21"/>
        </w:rPr>
        <w:t>统按照GB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21139执行，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采用2000国家大地坐标系(China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Geodetic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Coordinate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System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2000，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简称</w:t>
      </w:r>
      <w:r>
        <w:rPr>
          <w:rFonts w:ascii="SimSun" w:eastAsia="SimSun" w:hAnsi="SimSun" w:cs="SimSun"/>
          <w:sz w:val="21"/>
          <w:szCs w:val="21"/>
        </w:rPr>
        <w:t>CGCS</w:t>
      </w:r>
      <w:r>
        <w:rPr>
          <w:rFonts w:ascii="SimSun" w:eastAsia="SimSun" w:hAnsi="SimSun" w:cs="SimSun"/>
          <w:spacing w:val="2"/>
          <w:sz w:val="21"/>
          <w:szCs w:val="21"/>
        </w:rPr>
        <w:t>2000)，高程系按照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21139执行，采用1985国家高程基准，投影方式按照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211</w:t>
      </w:r>
      <w:r>
        <w:rPr>
          <w:rFonts w:ascii="SimSun" w:eastAsia="SimSun" w:hAnsi="SimSun" w:cs="SimSun"/>
          <w:sz w:val="21"/>
          <w:szCs w:val="21"/>
        </w:rPr>
        <w:t>39执行。</w:t>
      </w:r>
    </w:p>
    <w:p>
      <w:pPr>
        <w:spacing w:before="47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元数据必填项</w:t>
      </w:r>
    </w:p>
    <w:p>
      <w:pPr>
        <w:spacing w:before="216" w:line="286" w:lineRule="auto"/>
        <w:ind w:left="127" w:right="11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元数据是关于可共享和交换的各类空间数据的核心描述信息，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用于查询、检索和查看数据概况</w:t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>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数据</w:t>
      </w:r>
      <w:r>
        <w:rPr>
          <w:rFonts w:ascii="SimSun" w:eastAsia="SimSun" w:hAnsi="SimSun" w:cs="SimSun"/>
          <w:spacing w:val="-3"/>
          <w:sz w:val="21"/>
          <w:szCs w:val="21"/>
        </w:rPr>
        <w:t>文</w:t>
      </w:r>
      <w:r>
        <w:rPr>
          <w:rFonts w:ascii="SimSun" w:eastAsia="SimSun" w:hAnsi="SimSun" w:cs="SimSun"/>
          <w:spacing w:val="-2"/>
          <w:sz w:val="21"/>
          <w:szCs w:val="21"/>
        </w:rPr>
        <w:t>件标准格式为xml。元数据填写内容如表1所示：</w:t>
      </w:r>
    </w:p>
    <w:p>
      <w:pPr>
        <w:spacing w:before="129" w:line="222" w:lineRule="auto"/>
        <w:ind w:left="39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元数据必填</w:t>
      </w:r>
      <w:r>
        <w:rPr>
          <w:rFonts w:ascii="SimHei" w:eastAsia="SimHei" w:hAnsi="SimHei" w:cs="SimHei"/>
          <w:sz w:val="21"/>
          <w:szCs w:val="21"/>
        </w:rPr>
        <w:t>项</w:t>
      </w:r>
    </w:p>
    <w:tbl>
      <w:tblPr>
        <w:tblStyle w:val="TableNormal0"/>
        <w:tblW w:w="957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2263"/>
        <w:gridCol w:w="4718"/>
        <w:gridCol w:w="1905"/>
      </w:tblGrid>
      <w:tr>
        <w:tblPrEx>
          <w:tblW w:w="957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5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01" w:line="222" w:lineRule="auto"/>
              <w:ind w:left="1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2263" w:type="dxa"/>
            <w:vAlign w:val="top"/>
          </w:tcPr>
          <w:p>
            <w:pPr>
              <w:spacing w:before="201" w:line="220" w:lineRule="auto"/>
              <w:ind w:left="8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描述项</w:t>
            </w:r>
          </w:p>
        </w:tc>
        <w:tc>
          <w:tcPr>
            <w:tcW w:w="4718" w:type="dxa"/>
            <w:vAlign w:val="top"/>
          </w:tcPr>
          <w:p>
            <w:pPr>
              <w:spacing w:before="201" w:line="220" w:lineRule="auto"/>
              <w:ind w:left="16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元数据标准描述项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before="201" w:line="222" w:lineRule="auto"/>
              <w:ind w:left="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备注及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示例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567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0" w:line="187" w:lineRule="auto"/>
              <w:ind w:left="3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2263" w:type="dxa"/>
            <w:vAlign w:val="top"/>
          </w:tcPr>
          <w:p>
            <w:pPr>
              <w:spacing w:before="193" w:line="217" w:lineRule="auto"/>
              <w:ind w:left="5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元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数据负责单位</w:t>
            </w:r>
          </w:p>
        </w:tc>
        <w:tc>
          <w:tcPr>
            <w:tcW w:w="4718" w:type="dxa"/>
            <w:vAlign w:val="top"/>
          </w:tcPr>
          <w:p>
            <w:pPr>
              <w:spacing w:before="193" w:line="214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mdContact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rpOrgName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before="193" w:line="217" w:lineRule="auto"/>
              <w:ind w:left="1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一般同数据负责单位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567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1" w:line="186" w:lineRule="auto"/>
              <w:ind w:left="2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2263" w:type="dxa"/>
            <w:vAlign w:val="top"/>
          </w:tcPr>
          <w:p>
            <w:pPr>
              <w:spacing w:before="193" w:line="217" w:lineRule="auto"/>
              <w:ind w:left="1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元数据负责单位联</w:t>
            </w:r>
            <w:r>
              <w:rPr>
                <w:rFonts w:ascii="SimSun" w:eastAsia="SimSun" w:hAnsi="SimSun" w:cs="SimSun"/>
                <w:sz w:val="18"/>
                <w:szCs w:val="18"/>
              </w:rPr>
              <w:t>系信息</w:t>
            </w:r>
          </w:p>
        </w:tc>
        <w:tc>
          <w:tcPr>
            <w:tcW w:w="4718" w:type="dxa"/>
            <w:vAlign w:val="top"/>
          </w:tcPr>
          <w:p>
            <w:pPr>
              <w:spacing w:before="193" w:line="215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mdContact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rpCntInfo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voiceNum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before="193" w:line="222" w:lineRule="auto"/>
              <w:ind w:left="7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电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话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566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1" w:line="185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2263" w:type="dxa"/>
            <w:vAlign w:val="top"/>
          </w:tcPr>
          <w:p>
            <w:pPr>
              <w:spacing w:before="193" w:line="219" w:lineRule="auto"/>
              <w:ind w:left="7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资源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描述</w:t>
            </w:r>
          </w:p>
        </w:tc>
        <w:tc>
          <w:tcPr>
            <w:tcW w:w="4718" w:type="dxa"/>
            <w:vAlign w:val="top"/>
          </w:tcPr>
          <w:p>
            <w:pPr>
              <w:spacing w:before="193" w:line="225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me</w:t>
            </w:r>
            <w:r>
              <w:rPr>
                <w:rFonts w:ascii="SimSun" w:eastAsia="SimSun" w:hAnsi="SimSun" w:cs="SimSun"/>
                <w:sz w:val="18"/>
                <w:szCs w:val="18"/>
              </w:rPr>
              <w:t>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0" w:type="dxa"/>
          <w:tblInd w:w="7" w:type="dxa"/>
          <w:tblLayout w:type="fixed"/>
        </w:tblPrEx>
        <w:trPr>
          <w:trHeight w:val="567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2" w:line="186" w:lineRule="auto"/>
              <w:ind w:left="2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2263" w:type="dxa"/>
            <w:vAlign w:val="top"/>
          </w:tcPr>
          <w:p>
            <w:pPr>
              <w:spacing w:before="193" w:line="219" w:lineRule="auto"/>
              <w:ind w:left="7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资源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名称</w:t>
            </w:r>
          </w:p>
        </w:tc>
        <w:tc>
          <w:tcPr>
            <w:tcW w:w="4718" w:type="dxa"/>
            <w:vAlign w:val="top"/>
          </w:tcPr>
          <w:p>
            <w:pPr>
              <w:spacing w:before="194" w:line="225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idCitation/resTitle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0" w:type="dxa"/>
          <w:tblInd w:w="7" w:type="dxa"/>
          <w:tblLayout w:type="fixed"/>
        </w:tblPrEx>
        <w:trPr>
          <w:trHeight w:val="567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4" w:line="183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2263" w:type="dxa"/>
            <w:vAlign w:val="top"/>
          </w:tcPr>
          <w:p>
            <w:pPr>
              <w:spacing w:before="194" w:line="220" w:lineRule="auto"/>
              <w:ind w:left="8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关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键字</w:t>
            </w:r>
          </w:p>
        </w:tc>
        <w:tc>
          <w:tcPr>
            <w:tcW w:w="4718" w:type="dxa"/>
            <w:vAlign w:val="top"/>
          </w:tcPr>
          <w:p>
            <w:pPr>
              <w:spacing w:before="194" w:line="216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descKeys/keyword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0" w:type="dxa"/>
          <w:tblInd w:w="7" w:type="dxa"/>
          <w:tblLayout w:type="fixed"/>
        </w:tblPrEx>
        <w:trPr>
          <w:trHeight w:val="877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226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8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日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期类型</w:t>
            </w:r>
          </w:p>
        </w:tc>
        <w:tc>
          <w:tcPr>
            <w:tcW w:w="4718" w:type="dxa"/>
            <w:vAlign w:val="top"/>
          </w:tcPr>
          <w:p>
            <w:pPr>
              <w:spacing w:before="194" w:line="328" w:lineRule="auto"/>
              <w:ind w:left="114" w:right="109" w:hanging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idCitation/resRefDat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e/refDateTy</w:t>
            </w:r>
            <w:r>
              <w:rPr>
                <w:rFonts w:ascii="SimSun" w:eastAsia="SimSun" w:hAnsi="SimSun" w:cs="SimSun"/>
                <w:sz w:val="18"/>
                <w:szCs w:val="18"/>
              </w:rPr>
              <w:t>pe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6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生产日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期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879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2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7</w:t>
            </w:r>
          </w:p>
        </w:tc>
        <w:tc>
          <w:tcPr>
            <w:tcW w:w="226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9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日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期</w:t>
            </w:r>
          </w:p>
        </w:tc>
        <w:tc>
          <w:tcPr>
            <w:tcW w:w="4718" w:type="dxa"/>
            <w:vAlign w:val="top"/>
          </w:tcPr>
          <w:p>
            <w:pPr>
              <w:spacing w:before="196" w:line="333" w:lineRule="auto"/>
              <w:ind w:left="114" w:right="109" w:hanging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idCitation/resRefDat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e/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refDate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2009-08-11</w:t>
            </w:r>
          </w:p>
        </w:tc>
      </w:tr>
      <w:tr>
        <w:tblPrEx>
          <w:tblW w:w="9570" w:type="dxa"/>
          <w:tblInd w:w="7" w:type="dxa"/>
          <w:tblLayout w:type="fixed"/>
        </w:tblPrEx>
        <w:trPr>
          <w:trHeight w:val="567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4" w:line="185" w:lineRule="auto"/>
              <w:ind w:left="2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2263" w:type="dxa"/>
            <w:vAlign w:val="top"/>
          </w:tcPr>
          <w:p>
            <w:pPr>
              <w:spacing w:before="196" w:line="217" w:lineRule="auto"/>
              <w:ind w:left="5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负责单位</w:t>
            </w:r>
          </w:p>
        </w:tc>
        <w:tc>
          <w:tcPr>
            <w:tcW w:w="4718" w:type="dxa"/>
            <w:vAlign w:val="top"/>
          </w:tcPr>
          <w:p>
            <w:pPr>
              <w:spacing w:before="196" w:line="214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idPoC/rpOrgName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before="196" w:line="220" w:lineRule="auto"/>
              <w:ind w:left="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数据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描述项</w:t>
            </w:r>
          </w:p>
        </w:tc>
      </w:tr>
    </w:tbl>
    <w:p>
      <w:pPr>
        <w:sectPr>
          <w:footerReference w:type="default" r:id="rId9"/>
          <w:pgSz w:w="11905" w:h="16840"/>
          <w:pgMar w:top="1406" w:right="1018" w:bottom="1315" w:left="1300" w:header="0" w:footer="1135" w:gutter="0"/>
          <w:pgNumType w:start="11"/>
          <w:cols w:space="708"/>
        </w:sectPr>
      </w:pPr>
    </w:p>
    <w:tbl>
      <w:tblPr>
        <w:tblStyle w:val="TableNormal1"/>
        <w:tblW w:w="957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84"/>
        <w:gridCol w:w="2263"/>
        <w:gridCol w:w="4718"/>
        <w:gridCol w:w="1905"/>
      </w:tblGrid>
      <w:tr>
        <w:tblPrEx>
          <w:tblW w:w="957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78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  <w:tc>
          <w:tcPr>
            <w:tcW w:w="226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59" w:line="217" w:lineRule="auto"/>
              <w:ind w:left="2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数据负责单位联系</w:t>
            </w:r>
            <w:r>
              <w:rPr>
                <w:rFonts w:ascii="SimSun" w:eastAsia="SimSun" w:hAnsi="SimSun" w:cs="SimSun"/>
                <w:sz w:val="18"/>
                <w:szCs w:val="18"/>
              </w:rPr>
              <w:t>信息</w:t>
            </w:r>
          </w:p>
        </w:tc>
        <w:tc>
          <w:tcPr>
            <w:tcW w:w="4718" w:type="dxa"/>
            <w:vAlign w:val="top"/>
          </w:tcPr>
          <w:p>
            <w:pPr>
              <w:spacing w:before="196" w:line="341" w:lineRule="auto"/>
              <w:ind w:left="114" w:right="109" w:hanging="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idPoC/rpCntInfo/voic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e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Num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0" w:type="dxa"/>
          <w:tblInd w:w="7" w:type="dxa"/>
          <w:tblLayout w:type="fixed"/>
        </w:tblPrEx>
        <w:trPr>
          <w:trHeight w:val="576"/>
        </w:trPr>
        <w:tc>
          <w:tcPr>
            <w:tcW w:w="684" w:type="dxa"/>
            <w:tcBorders>
              <w:left w:val="single" w:sz="6" w:space="0" w:color="000000"/>
            </w:tcBorders>
            <w:vAlign w:val="top"/>
          </w:tcPr>
          <w:p>
            <w:pPr>
              <w:spacing w:before="224" w:line="185" w:lineRule="auto"/>
              <w:ind w:left="2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</w:p>
        </w:tc>
        <w:tc>
          <w:tcPr>
            <w:tcW w:w="2263" w:type="dxa"/>
            <w:vAlign w:val="top"/>
          </w:tcPr>
          <w:p>
            <w:pPr>
              <w:spacing w:before="197" w:line="220" w:lineRule="auto"/>
              <w:ind w:left="5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维护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和更新频率</w:t>
            </w:r>
          </w:p>
        </w:tc>
        <w:tc>
          <w:tcPr>
            <w:tcW w:w="4718" w:type="dxa"/>
            <w:vAlign w:val="top"/>
          </w:tcPr>
          <w:p>
            <w:pPr>
              <w:spacing w:before="196" w:line="215" w:lineRule="auto"/>
              <w:ind w:left="1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resMaint/maintFreq</w:t>
            </w:r>
          </w:p>
        </w:tc>
        <w:tc>
          <w:tcPr>
            <w:tcW w:w="1905" w:type="dxa"/>
            <w:tcBorders>
              <w:right w:val="single" w:sz="6" w:space="0" w:color="000000"/>
            </w:tcBorders>
            <w:vAlign w:val="top"/>
          </w:tcPr>
          <w:p>
            <w:pPr>
              <w:spacing w:before="197" w:line="220" w:lineRule="auto"/>
              <w:ind w:left="7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每年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0"/>
          <w:type w:val="nextPage"/>
          <w:pgSz w:w="11905" w:h="16840"/>
          <w:pgMar w:top="1406" w:right="1018" w:bottom="1315" w:left="1300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432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2" w:line="222" w:lineRule="auto"/>
        <w:ind w:left="390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表1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元数据必填项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(续</w:t>
      </w:r>
      <w:r>
        <w:rPr>
          <w:rFonts w:ascii="SimSun" w:eastAsia="SimSun" w:hAnsi="SimSun" w:cs="SimSun"/>
          <w:sz w:val="21"/>
          <w:szCs w:val="21"/>
        </w:rPr>
        <w:t>)</w:t>
      </w:r>
    </w:p>
    <w:p>
      <w:pPr>
        <w:spacing w:line="129" w:lineRule="exact"/>
      </w:pPr>
    </w:p>
    <w:tbl>
      <w:tblPr>
        <w:tblStyle w:val="TableNormal2"/>
        <w:tblW w:w="989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35"/>
        <w:gridCol w:w="2309"/>
        <w:gridCol w:w="4722"/>
        <w:gridCol w:w="2225"/>
      </w:tblGrid>
      <w:tr>
        <w:tblPrEx>
          <w:tblW w:w="989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635" w:type="dxa"/>
            <w:vAlign w:val="top"/>
          </w:tcPr>
          <w:p>
            <w:pPr>
              <w:spacing w:before="190" w:line="222" w:lineRule="auto"/>
              <w:ind w:left="1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2309" w:type="dxa"/>
            <w:vAlign w:val="top"/>
          </w:tcPr>
          <w:p>
            <w:pPr>
              <w:spacing w:before="191" w:line="220" w:lineRule="auto"/>
              <w:ind w:left="8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描述项</w:t>
            </w:r>
          </w:p>
        </w:tc>
        <w:tc>
          <w:tcPr>
            <w:tcW w:w="4722" w:type="dxa"/>
            <w:vAlign w:val="top"/>
          </w:tcPr>
          <w:p>
            <w:pPr>
              <w:spacing w:before="191" w:line="220" w:lineRule="auto"/>
              <w:ind w:left="16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元数据标准描述项</w:t>
            </w:r>
          </w:p>
        </w:tc>
        <w:tc>
          <w:tcPr>
            <w:tcW w:w="2225" w:type="dxa"/>
            <w:vAlign w:val="top"/>
          </w:tcPr>
          <w:p>
            <w:pPr>
              <w:spacing w:before="190" w:line="222" w:lineRule="auto"/>
              <w:ind w:left="6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备注及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示例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869"/>
        </w:trPr>
        <w:tc>
          <w:tcPr>
            <w:tcW w:w="635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8" w:line="187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</w:p>
        </w:tc>
        <w:tc>
          <w:tcPr>
            <w:tcW w:w="23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6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安全限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制分级</w:t>
            </w:r>
          </w:p>
        </w:tc>
        <w:tc>
          <w:tcPr>
            <w:tcW w:w="4722" w:type="dxa"/>
            <w:vAlign w:val="top"/>
          </w:tcPr>
          <w:p>
            <w:pPr>
              <w:spacing w:before="185" w:line="341" w:lineRule="auto"/>
              <w:ind w:left="115" w:right="201" w:hanging="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resConst/SecConsts/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clas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s</w:t>
            </w:r>
          </w:p>
        </w:tc>
        <w:tc>
          <w:tcPr>
            <w:tcW w:w="2225" w:type="dxa"/>
            <w:vAlign w:val="top"/>
          </w:tcPr>
          <w:p>
            <w:pPr>
              <w:spacing w:before="186" w:line="333" w:lineRule="auto"/>
              <w:ind w:left="756" w:right="120" w:hanging="6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未分级、内部、秘密、</w:t>
            </w:r>
            <w:r>
              <w:rPr>
                <w:rFonts w:ascii="SimSun" w:eastAsia="SimSun" w:hAnsi="SimSun" w:cs="SimSun"/>
                <w:sz w:val="18"/>
                <w:szCs w:val="18"/>
              </w:rPr>
              <w:t>机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密、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绝密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868"/>
        </w:trPr>
        <w:tc>
          <w:tcPr>
            <w:tcW w:w="635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8" w:line="187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2</w:t>
            </w:r>
          </w:p>
        </w:tc>
        <w:tc>
          <w:tcPr>
            <w:tcW w:w="230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9" w:line="221" w:lineRule="auto"/>
              <w:ind w:left="7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用途限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制</w:t>
            </w:r>
          </w:p>
        </w:tc>
        <w:tc>
          <w:tcPr>
            <w:tcW w:w="4722" w:type="dxa"/>
            <w:vAlign w:val="top"/>
          </w:tcPr>
          <w:p>
            <w:pPr>
              <w:spacing w:before="186" w:line="341" w:lineRule="auto"/>
              <w:ind w:left="108" w:right="201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DataIdent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resConst/LegConsts/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useL</w:t>
            </w:r>
            <w:r>
              <w:rPr>
                <w:rFonts w:ascii="SimSun" w:eastAsia="SimSun" w:hAnsi="SimSun" w:cs="SimSun"/>
                <w:sz w:val="18"/>
                <w:szCs w:val="18"/>
              </w:rPr>
              <w:t>imit</w:t>
            </w:r>
          </w:p>
        </w:tc>
        <w:tc>
          <w:tcPr>
            <w:tcW w:w="2225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7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限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制共享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556"/>
        </w:trPr>
        <w:tc>
          <w:tcPr>
            <w:tcW w:w="635" w:type="dxa"/>
            <w:vAlign w:val="top"/>
          </w:tcPr>
          <w:p>
            <w:pPr>
              <w:spacing w:before="215" w:line="185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</w:t>
            </w:r>
          </w:p>
        </w:tc>
        <w:tc>
          <w:tcPr>
            <w:tcW w:w="2309" w:type="dxa"/>
            <w:vAlign w:val="top"/>
          </w:tcPr>
          <w:p>
            <w:pPr>
              <w:spacing w:before="188" w:line="220" w:lineRule="auto"/>
              <w:ind w:left="7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坐标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系信息</w:t>
            </w:r>
          </w:p>
        </w:tc>
        <w:tc>
          <w:tcPr>
            <w:tcW w:w="4722" w:type="dxa"/>
            <w:vAlign w:val="top"/>
          </w:tcPr>
          <w:p>
            <w:pPr>
              <w:spacing w:before="188" w:line="225" w:lineRule="auto"/>
              <w:ind w:lef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91" w:type="dxa"/>
          <w:tblInd w:w="2" w:type="dxa"/>
          <w:tblLayout w:type="fixed"/>
        </w:tblPrEx>
        <w:trPr>
          <w:trHeight w:val="558"/>
        </w:trPr>
        <w:tc>
          <w:tcPr>
            <w:tcW w:w="635" w:type="dxa"/>
            <w:vAlign w:val="top"/>
          </w:tcPr>
          <w:p>
            <w:pPr>
              <w:spacing w:before="215" w:line="187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4</w:t>
            </w:r>
          </w:p>
        </w:tc>
        <w:tc>
          <w:tcPr>
            <w:tcW w:w="2309" w:type="dxa"/>
            <w:vAlign w:val="top"/>
          </w:tcPr>
          <w:p>
            <w:pPr>
              <w:spacing w:before="188" w:line="220" w:lineRule="auto"/>
              <w:ind w:left="6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空间参考名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称</w:t>
            </w:r>
          </w:p>
        </w:tc>
        <w:tc>
          <w:tcPr>
            <w:tcW w:w="4722" w:type="dxa"/>
            <w:vAlign w:val="top"/>
          </w:tcPr>
          <w:p>
            <w:pPr>
              <w:spacing w:before="188" w:line="215" w:lineRule="auto"/>
              <w:ind w:lef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dataIdInfo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SpaRefSys</w:t>
            </w: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91" w:type="dxa"/>
          <w:tblInd w:w="2" w:type="dxa"/>
          <w:tblLayout w:type="fixed"/>
        </w:tblPrEx>
        <w:trPr>
          <w:trHeight w:val="556"/>
        </w:trPr>
        <w:tc>
          <w:tcPr>
            <w:tcW w:w="635" w:type="dxa"/>
            <w:vAlign w:val="top"/>
          </w:tcPr>
          <w:p>
            <w:pPr>
              <w:spacing w:before="216" w:line="185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</w:t>
            </w:r>
          </w:p>
        </w:tc>
        <w:tc>
          <w:tcPr>
            <w:tcW w:w="2309" w:type="dxa"/>
            <w:vAlign w:val="top"/>
          </w:tcPr>
          <w:p>
            <w:pPr>
              <w:spacing w:before="187" w:line="219" w:lineRule="auto"/>
              <w:ind w:left="6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基准名称代码</w:t>
            </w:r>
          </w:p>
        </w:tc>
        <w:tc>
          <w:tcPr>
            <w:tcW w:w="4722" w:type="dxa"/>
            <w:vAlign w:val="top"/>
          </w:tcPr>
          <w:p>
            <w:pPr>
              <w:spacing w:before="188" w:line="216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refSysInfo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datum</w:t>
            </w:r>
          </w:p>
        </w:tc>
        <w:tc>
          <w:tcPr>
            <w:tcW w:w="2225" w:type="dxa"/>
            <w:vAlign w:val="top"/>
          </w:tcPr>
          <w:p>
            <w:pPr>
              <w:spacing w:before="187" w:line="219" w:lineRule="auto"/>
              <w:ind w:left="5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EPSG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规定代码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556"/>
        </w:trPr>
        <w:tc>
          <w:tcPr>
            <w:tcW w:w="635" w:type="dxa"/>
            <w:vAlign w:val="top"/>
          </w:tcPr>
          <w:p>
            <w:pPr>
              <w:spacing w:before="216" w:line="185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</w:t>
            </w:r>
          </w:p>
        </w:tc>
        <w:tc>
          <w:tcPr>
            <w:tcW w:w="2309" w:type="dxa"/>
            <w:vAlign w:val="top"/>
          </w:tcPr>
          <w:p>
            <w:pPr>
              <w:spacing w:before="189" w:line="220" w:lineRule="auto"/>
              <w:ind w:left="8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高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程基准</w:t>
            </w:r>
          </w:p>
        </w:tc>
        <w:tc>
          <w:tcPr>
            <w:tcW w:w="4722" w:type="dxa"/>
            <w:vAlign w:val="top"/>
          </w:tcPr>
          <w:p>
            <w:pPr>
              <w:spacing w:before="188" w:line="216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refSysInfo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Verdatum</w:t>
            </w: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91" w:type="dxa"/>
          <w:tblInd w:w="2" w:type="dxa"/>
          <w:tblLayout w:type="fixed"/>
        </w:tblPrEx>
        <w:trPr>
          <w:trHeight w:val="558"/>
        </w:trPr>
        <w:tc>
          <w:tcPr>
            <w:tcW w:w="635" w:type="dxa"/>
            <w:vAlign w:val="top"/>
          </w:tcPr>
          <w:p>
            <w:pPr>
              <w:spacing w:before="217" w:line="185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7</w:t>
            </w:r>
          </w:p>
        </w:tc>
        <w:tc>
          <w:tcPr>
            <w:tcW w:w="2309" w:type="dxa"/>
            <w:vAlign w:val="top"/>
          </w:tcPr>
          <w:p>
            <w:pPr>
              <w:spacing w:before="189" w:line="220" w:lineRule="auto"/>
              <w:ind w:left="8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容信息</w:t>
            </w:r>
          </w:p>
        </w:tc>
        <w:tc>
          <w:tcPr>
            <w:tcW w:w="4722" w:type="dxa"/>
            <w:vAlign w:val="top"/>
          </w:tcPr>
          <w:p>
            <w:pPr>
              <w:spacing w:before="189" w:line="225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contInfo</w:t>
            </w: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91" w:type="dxa"/>
          <w:tblInd w:w="2" w:type="dxa"/>
          <w:tblLayout w:type="fixed"/>
        </w:tblPrEx>
        <w:trPr>
          <w:trHeight w:val="988"/>
        </w:trPr>
        <w:tc>
          <w:tcPr>
            <w:tcW w:w="635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8</w:t>
            </w:r>
          </w:p>
        </w:tc>
        <w:tc>
          <w:tcPr>
            <w:tcW w:w="230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7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要素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类型</w:t>
            </w:r>
          </w:p>
        </w:tc>
        <w:tc>
          <w:tcPr>
            <w:tcW w:w="4722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15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contInfo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FetCatDesc/catFetTypes</w:t>
            </w:r>
          </w:p>
        </w:tc>
        <w:tc>
          <w:tcPr>
            <w:tcW w:w="2225" w:type="dxa"/>
            <w:vAlign w:val="top"/>
          </w:tcPr>
          <w:p>
            <w:pPr>
              <w:spacing w:before="189" w:line="432" w:lineRule="exact"/>
              <w:ind w:left="3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position w:val="19"/>
                <w:sz w:val="18"/>
                <w:szCs w:val="18"/>
              </w:rPr>
              <w:t>包</w:t>
            </w:r>
            <w:r>
              <w:rPr>
                <w:rFonts w:ascii="SimSun" w:eastAsia="SimSun" w:hAnsi="SimSun" w:cs="SimSun"/>
                <w:spacing w:val="-3"/>
                <w:position w:val="19"/>
                <w:sz w:val="18"/>
                <w:szCs w:val="18"/>
              </w:rPr>
              <w:t>括水系、居民地、</w:t>
            </w:r>
          </w:p>
          <w:p>
            <w:pPr>
              <w:spacing w:line="220" w:lineRule="auto"/>
              <w:ind w:left="3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趣点和绿地等内容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1804"/>
        </w:trPr>
        <w:tc>
          <w:tcPr>
            <w:tcW w:w="635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9</w:t>
            </w:r>
          </w:p>
        </w:tc>
        <w:tc>
          <w:tcPr>
            <w:tcW w:w="230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素属性说明</w:t>
            </w:r>
          </w:p>
        </w:tc>
        <w:tc>
          <w:tcPr>
            <w:tcW w:w="472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9" w:line="225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contInfo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FetCatDesc/fetAttDesc</w:t>
            </w:r>
          </w:p>
        </w:tc>
        <w:tc>
          <w:tcPr>
            <w:tcW w:w="2225" w:type="dxa"/>
            <w:vAlign w:val="top"/>
          </w:tcPr>
          <w:p>
            <w:pPr>
              <w:spacing w:before="191" w:line="324" w:lineRule="auto"/>
              <w:ind w:left="108" w:right="108" w:firstLine="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5"/>
                <w:sz w:val="18"/>
                <w:szCs w:val="18"/>
              </w:rPr>
              <w:t>主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要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属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性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容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如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_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CODE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—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分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类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码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；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SDINFO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_</w:t>
            </w:r>
            <w:r>
              <w:rPr>
                <w:rFonts w:ascii="SimSun" w:eastAsia="SimSun" w:hAnsi="SimSun" w:cs="SimSun"/>
                <w:sz w:val="18"/>
                <w:szCs w:val="18"/>
              </w:rPr>
              <w:t>CODE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—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中国可持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续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发展信息分类代码；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NAME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—汉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字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名称；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558"/>
        </w:trPr>
        <w:tc>
          <w:tcPr>
            <w:tcW w:w="635" w:type="dxa"/>
            <w:vAlign w:val="top"/>
          </w:tcPr>
          <w:p>
            <w:pPr>
              <w:spacing w:before="218" w:line="185" w:lineRule="auto"/>
              <w:ind w:left="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2309" w:type="dxa"/>
            <w:vAlign w:val="top"/>
          </w:tcPr>
          <w:p>
            <w:pPr>
              <w:spacing w:before="190" w:line="220" w:lineRule="auto"/>
              <w:ind w:left="7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分发信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息</w:t>
            </w:r>
          </w:p>
        </w:tc>
        <w:tc>
          <w:tcPr>
            <w:tcW w:w="4722" w:type="dxa"/>
            <w:vAlign w:val="top"/>
          </w:tcPr>
          <w:p>
            <w:pPr>
              <w:spacing w:before="190" w:line="225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z w:val="18"/>
                <w:szCs w:val="18"/>
              </w:rPr>
              <w:t>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distInfo</w:t>
            </w:r>
          </w:p>
        </w:tc>
        <w:tc>
          <w:tcPr>
            <w:tcW w:w="22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91" w:type="dxa"/>
          <w:tblInd w:w="2" w:type="dxa"/>
          <w:tblLayout w:type="fixed"/>
        </w:tblPrEx>
        <w:trPr>
          <w:trHeight w:val="556"/>
        </w:trPr>
        <w:tc>
          <w:tcPr>
            <w:tcW w:w="635" w:type="dxa"/>
            <w:vAlign w:val="top"/>
          </w:tcPr>
          <w:p>
            <w:pPr>
              <w:spacing w:before="217" w:line="187" w:lineRule="auto"/>
              <w:ind w:left="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2309" w:type="dxa"/>
            <w:vAlign w:val="top"/>
          </w:tcPr>
          <w:p>
            <w:pPr>
              <w:spacing w:before="189" w:line="220" w:lineRule="auto"/>
              <w:ind w:left="7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格式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名称</w:t>
            </w:r>
          </w:p>
        </w:tc>
        <w:tc>
          <w:tcPr>
            <w:tcW w:w="4722" w:type="dxa"/>
            <w:vAlign w:val="top"/>
          </w:tcPr>
          <w:p>
            <w:pPr>
              <w:spacing w:before="190" w:line="225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distInfo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distFormat/formatName</w:t>
            </w:r>
          </w:p>
        </w:tc>
        <w:tc>
          <w:tcPr>
            <w:tcW w:w="2225" w:type="dxa"/>
            <w:vAlign w:val="top"/>
          </w:tcPr>
          <w:p>
            <w:pPr>
              <w:spacing w:before="190" w:line="215" w:lineRule="auto"/>
              <w:ind w:left="9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Shp</w:t>
            </w:r>
          </w:p>
        </w:tc>
      </w:tr>
      <w:tr>
        <w:tblPrEx>
          <w:tblW w:w="9891" w:type="dxa"/>
          <w:tblInd w:w="2" w:type="dxa"/>
          <w:tblLayout w:type="fixed"/>
        </w:tblPrEx>
        <w:trPr>
          <w:trHeight w:val="562"/>
        </w:trPr>
        <w:tc>
          <w:tcPr>
            <w:tcW w:w="635" w:type="dxa"/>
            <w:vAlign w:val="top"/>
          </w:tcPr>
          <w:p>
            <w:pPr>
              <w:spacing w:before="219" w:line="186" w:lineRule="auto"/>
              <w:ind w:left="2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2309" w:type="dxa"/>
            <w:vAlign w:val="top"/>
          </w:tcPr>
          <w:p>
            <w:pPr>
              <w:spacing w:before="190" w:line="220" w:lineRule="auto"/>
              <w:ind w:left="7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格式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版本</w:t>
            </w:r>
          </w:p>
        </w:tc>
        <w:tc>
          <w:tcPr>
            <w:tcW w:w="4722" w:type="dxa"/>
            <w:vAlign w:val="top"/>
          </w:tcPr>
          <w:p>
            <w:pPr>
              <w:spacing w:before="191" w:line="225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Metadata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distInfo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distFormat/formatVer</w:t>
            </w:r>
          </w:p>
        </w:tc>
        <w:tc>
          <w:tcPr>
            <w:tcW w:w="2225" w:type="dxa"/>
            <w:vAlign w:val="top"/>
          </w:tcPr>
          <w:p>
            <w:pPr>
              <w:spacing w:before="218" w:line="185" w:lineRule="auto"/>
              <w:ind w:left="9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.0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before="69" w:line="221" w:lineRule="auto"/>
        <w:ind w:left="1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交换种类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ind w:left="1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5.1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目录数据</w:t>
      </w:r>
    </w:p>
    <w:p>
      <w:pPr>
        <w:spacing w:before="216" w:line="222" w:lineRule="auto"/>
        <w:ind w:left="113"/>
        <w:rPr>
          <w:rFonts w:ascii="SimHei" w:eastAsia="SimHei" w:hAnsi="SimHei" w:cs="SimHei"/>
          <w:sz w:val="21"/>
          <w:szCs w:val="21"/>
        </w:rPr>
        <w:sectPr>
          <w:footerReference w:type="default" r:id="rId11"/>
          <w:pgSz w:w="11905" w:h="16840"/>
          <w:pgMar w:top="1406" w:right="700" w:bottom="1315" w:left="1308" w:header="0" w:footer="1134" w:gutter="0"/>
          <w:pgNumType w:start="13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代码结构</w:t>
      </w:r>
    </w:p>
    <w:p>
      <w:pPr>
        <w:spacing w:before="214" w:line="287" w:lineRule="auto"/>
        <w:ind w:left="121" w:right="372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青海省地理空间信息资源</w:t>
      </w:r>
      <w:r>
        <w:rPr>
          <w:rFonts w:ascii="SimSun" w:eastAsia="SimSun" w:hAnsi="SimSun" w:cs="SimSun"/>
          <w:spacing w:val="1"/>
          <w:sz w:val="21"/>
          <w:szCs w:val="21"/>
        </w:rPr>
        <w:t>目录代码由行政区划码(12位)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及目录分类码(5位)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组成，代码共17位，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不</w:t>
      </w:r>
      <w:r>
        <w:rPr>
          <w:rFonts w:ascii="SimSun" w:eastAsia="SimSun" w:hAnsi="SimSun" w:cs="SimSun"/>
          <w:spacing w:val="-2"/>
          <w:sz w:val="21"/>
          <w:szCs w:val="21"/>
        </w:rPr>
        <w:t>足的用0补齐。目录代码结构如图1所示。</w:t>
      </w:r>
    </w:p>
    <w:p>
      <w:pPr>
        <w:sectPr>
          <w:footerReference w:type="default" r:id="rId12"/>
          <w:type w:val="nextPage"/>
          <w:pgSz w:w="11905" w:h="16840"/>
          <w:pgMar w:top="1406" w:right="700" w:bottom="1315" w:left="1308" w:header="0" w:footer="1134" w:gutter="0"/>
          <w:pgNumType w:start="14"/>
          <w:cols w:space="708"/>
          <w:titlePg w:val="0"/>
        </w:sectPr>
      </w:pPr>
    </w:p>
    <w:p>
      <w:pPr>
        <w:spacing w:before="42" w:line="236" w:lineRule="auto"/>
        <w:ind w:right="118"/>
        <w:jc w:val="right"/>
        <w:rPr>
          <w:rFonts w:ascii="SimHei" w:eastAsia="SimHei" w:hAnsi="SimHei" w:cs="SimHei"/>
          <w:sz w:val="21"/>
          <w:szCs w:val="21"/>
        </w:rPr>
      </w:pPr>
      <w:r>
        <w:pict>
          <v:rect id="_x0000_s1027" style="width:35.3pt;height:0.7pt;margin-top:119.13pt;margin-left:308.52pt;mso-position-horizontal-relative:page;mso-position-vertical-relative:page;position:absolute;z-index:251680768" o:allowincell="f" filled="t" fillcolor="black" stroked="f"/>
        </w:pict>
      </w:r>
      <w:r>
        <w:pict>
          <v:rect id="_x0000_s1028" style="width:14.2pt;height:0.7pt;margin-top:312.93pt;margin-left:195.54pt;mso-position-horizontal-relative:page;mso-position-vertical-relative:page;position:absolute;z-index:251687936" o:allowincell="f" filled="t" fillcolor="black" stroked="f"/>
        </w:pict>
      </w:r>
      <w:r>
        <w:pict>
          <v:rect id="_x0000_s1029" style="width:21.2pt;height:0.7pt;margin-top:312.93pt;margin-left:308.22pt;mso-position-horizontal-relative:page;mso-position-vertical-relative:page;position:absolute;z-index:251682816" o:allowincell="f" filled="t" fillcolor="black" stroked="f"/>
        </w:pict>
      </w:r>
      <w:r>
        <w:pict>
          <v:rect id="_x0000_s1030" style="width:21.2pt;height:0.7pt;margin-top:312.93pt;margin-left:273.96pt;mso-position-horizontal-relative:page;mso-position-vertical-relative:page;position:absolute;z-index:251681792" o:allowincell="f" filled="t" fillcolor="black" stroked="f"/>
        </w:pict>
      </w:r>
      <w:r>
        <w:pict>
          <v:rect id="_x0000_s1031" style="width:14.2pt;height:0.7pt;margin-top:312.93pt;margin-left:249.12pt;mso-position-horizontal-relative:page;mso-position-vertical-relative:page;position:absolute;z-index:251683840" o:allowincell="f" filled="t" fillcolor="black" stroked="f"/>
        </w:pict>
      </w:r>
      <w:r>
        <w:pict>
          <v:rect id="_x0000_s1032" style="width:14.15pt;height:0.7pt;margin-top:312.93pt;margin-left:223.08pt;mso-position-horizontal-relative:page;mso-position-vertical-relative:page;position:absolute;z-index:251684864" o:allowincell="f" filled="t" fillcolor="black" stroked="f"/>
        </w:pict>
      </w:r>
      <w:r>
        <w:pict>
          <v:shape id="_x0000_s1033" style="width:9.25pt;height:0.75pt;margin-top:342.9pt;margin-left:353.04pt;mso-position-horizontal-relative:page;mso-position-vertical-relative:page;position:absolute;z-index:251685888" coordorigin="0,0" coordsize="185,15" o:allowincell="f" path="m7,7l177,7e" filled="f" strokecolor="black" strokeweight="0.72pt">
            <v:stroke endcap="round"/>
          </v:shape>
        </w:pict>
      </w:r>
      <w:r>
        <w:pict>
          <v:shape id="_x0000_s1034" style="width:43.3pt;height:0.75pt;margin-top:357.06pt;margin-left:319.02pt;mso-position-horizontal-relative:page;mso-position-vertical-relative:page;position:absolute;z-index:251679744" coordorigin="0,0" coordsize="865,15" o:allowincell="f" path="m7,7l857,7e" filled="f" strokecolor="black" strokeweight="0.72pt">
            <v:stroke endcap="round"/>
          </v:shape>
        </w:pict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4736591</wp:posOffset>
            </wp:positionH>
            <wp:positionV relativeFrom="page">
              <wp:posOffset>4837176</wp:posOffset>
            </wp:positionV>
            <wp:extent cx="352805" cy="699516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2805" cy="699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2751582</wp:posOffset>
            </wp:positionH>
            <wp:positionV relativeFrom="page">
              <wp:posOffset>1378457</wp:posOffset>
            </wp:positionV>
            <wp:extent cx="1075182" cy="21031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75182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3921252</wp:posOffset>
            </wp:positionH>
            <wp:positionV relativeFrom="page">
              <wp:posOffset>1378457</wp:posOffset>
            </wp:positionV>
            <wp:extent cx="445008" cy="804671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5008" cy="804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2916936</wp:posOffset>
            </wp:positionH>
            <wp:positionV relativeFrom="page">
              <wp:posOffset>1556765</wp:posOffset>
            </wp:positionV>
            <wp:extent cx="218693" cy="62636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693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style="width:119.85pt;height:39.7pt;margin-top:131.88pt;margin-left:239.04pt;mso-position-horizontal-relative:page;mso-position-vertical-relative:page;position:absolute;z-index:251666432" coordorigin="0,0" coordsize="2396,794" o:allowincell="f" path="m7,7l7,785l2389,785m1679,7l1679,502l2389,502e" filled="f" strokecolor="black" strokeweight="0.72pt">
            <v:stroke endcap="round"/>
          </v:shape>
        </w:pict>
      </w:r>
      <w:r>
        <w:pict>
          <v:shape id="_x0000_s1036" style="width:156.65pt;height:71.55pt;margin-top:328.74pt;margin-left:205.68pt;mso-position-horizontal-relative:page;mso-position-vertical-relative:page;position:absolute;z-index:251688960" coordorigin="0,0" coordsize="3132,1431" o:allowincell="f" path="m7,7l7,1423l3124,1423e" filled="f" strokecolor="black" strokeweight="0.72pt">
            <v:stroke endcap="round"/>
          </v:shape>
        </w:pict>
      </w:r>
      <w:r>
        <w:pict>
          <v:shape id="_x0000_s1037" style="width:34.75pt;height:14.9pt;margin-top:328.74pt;margin-left:319.02pt;mso-position-horizontal-relative:page;mso-position-vertical-relative:page;position:absolute;z-index:251677696" coordorigin="0,0" coordsize="695,297" o:allowincell="f" path="m7,7l7,290l687,290e" filled="f" strokecolor="black" strokeweight="0.72pt">
            <v:stroke endcap="round"/>
          </v:shape>
        </w:pict>
      </w:r>
      <w:r>
        <w:pict>
          <v:shape id="_x0000_s1038" style="width:36.15pt;height:29.05pt;margin-top:328.74pt;margin-left:283.62pt;mso-position-horizontal-relative:page;mso-position-vertical-relative:page;position:absolute;z-index:251675648" coordorigin="0,0" coordsize="723,580" o:allowincell="f" path="m7,7l7,573l715,573e" filled="f" strokecolor="black" strokeweight="0.72pt">
            <v:stroke endcap="round"/>
          </v:shape>
        </w:pict>
      </w:r>
      <w:r>
        <w:pict>
          <v:shape id="_x0000_s1039" style="width:107.05pt;height:43.2pt;margin-top:328.74pt;margin-left:255.24pt;mso-position-horizontal-relative:page;mso-position-vertical-relative:page;position:absolute;z-index:251669504" coordorigin="0,0" coordsize="2141,864" o:allowincell="f" path="m7,7l7,856l2133,856e" filled="f" strokecolor="black" strokeweight="0.72pt">
            <v:stroke endcap="round"/>
          </v:shape>
        </w:pict>
      </w:r>
      <w:r>
        <w:pict>
          <v:shape id="_x0000_s1040" style="width:131.15pt;height:57.4pt;margin-top:328.74pt;margin-left:231.18pt;mso-position-horizontal-relative:page;mso-position-vertical-relative:page;position:absolute;z-index:251662336" coordorigin="0,0" coordsize="2622,1148" o:allowincell="f" path="m7,7l7,1140l2614,1140e" filled="f" strokecolor="black" strokeweight="0.72pt">
            <v:stroke endcap="round"/>
          </v:shape>
        </w:pict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3917441</wp:posOffset>
            </wp:positionH>
            <wp:positionV relativeFrom="page">
              <wp:posOffset>3839718</wp:posOffset>
            </wp:positionV>
            <wp:extent cx="262128" cy="361188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2128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3482340</wp:posOffset>
            </wp:positionH>
            <wp:positionV relativeFrom="page">
              <wp:posOffset>3839718</wp:posOffset>
            </wp:positionV>
            <wp:extent cx="262127" cy="36118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2127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3166872</wp:posOffset>
            </wp:positionH>
            <wp:positionV relativeFrom="page">
              <wp:posOffset>3839718</wp:posOffset>
            </wp:positionV>
            <wp:extent cx="176783" cy="361188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6783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2835401</wp:posOffset>
            </wp:positionH>
            <wp:positionV relativeFrom="page">
              <wp:posOffset>3839718</wp:posOffset>
            </wp:positionV>
            <wp:extent cx="176783" cy="361188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6783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2497836</wp:posOffset>
            </wp:positionH>
            <wp:positionV relativeFrom="page">
              <wp:posOffset>4021073</wp:posOffset>
            </wp:positionV>
            <wp:extent cx="167639" cy="626364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3163824</wp:posOffset>
            </wp:positionH>
            <wp:positionV relativeFrom="page">
              <wp:posOffset>4021073</wp:posOffset>
            </wp:positionV>
            <wp:extent cx="167639" cy="62636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7639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2839974</wp:posOffset>
            </wp:positionH>
            <wp:positionV relativeFrom="page">
              <wp:posOffset>4021073</wp:posOffset>
            </wp:positionV>
            <wp:extent cx="166877" cy="626364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6877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3974591</wp:posOffset>
            </wp:positionH>
            <wp:positionV relativeFrom="page">
              <wp:posOffset>4021073</wp:posOffset>
            </wp:positionV>
            <wp:extent cx="166116" cy="62636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6116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3524250</wp:posOffset>
            </wp:positionH>
            <wp:positionV relativeFrom="page">
              <wp:posOffset>4021073</wp:posOffset>
            </wp:positionV>
            <wp:extent cx="166878" cy="626364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6878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5160263</wp:posOffset>
            </wp:positionH>
            <wp:positionV relativeFrom="page">
              <wp:posOffset>4476750</wp:posOffset>
            </wp:positionV>
            <wp:extent cx="70104" cy="35509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0104" cy="355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4736591</wp:posOffset>
            </wp:positionH>
            <wp:positionV relativeFrom="page">
              <wp:posOffset>5013197</wp:posOffset>
            </wp:positionV>
            <wp:extent cx="371855" cy="237744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539" w:lineRule="exact"/>
        <w:ind w:firstLine="5940"/>
        <w:textAlignment w:val="center"/>
      </w:pPr>
      <w:r>
        <w:drawing>
          <wp:inline distT="0" distB="0" distL="0" distR="0">
            <wp:extent cx="627888" cy="34213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7888" cy="342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69" w:line="221" w:lineRule="auto"/>
        <w:ind w:left="308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地理空间信息资源目录代码结构</w:t>
      </w:r>
    </w:p>
    <w:p>
      <w:pPr>
        <w:spacing w:before="216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行政区划代码</w:t>
      </w:r>
    </w:p>
    <w:p>
      <w:pPr>
        <w:spacing w:before="216" w:line="282" w:lineRule="auto"/>
        <w:ind w:left="123" w:right="41" w:firstLine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行政区划代</w:t>
      </w:r>
      <w:r>
        <w:rPr>
          <w:rFonts w:ascii="SimSun" w:eastAsia="SimSun" w:hAnsi="SimSun" w:cs="SimSun"/>
          <w:sz w:val="21"/>
          <w:szCs w:val="21"/>
        </w:rPr>
        <w:t>码共12位，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不足的用0补齐。省级码、市(州)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级编码、区(县)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级编码的6位代码按照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GB</w:t>
      </w:r>
      <w:r>
        <w:rPr>
          <w:rFonts w:ascii="SimSun" w:eastAsia="SimSun" w:hAnsi="SimSun" w:cs="SimSun"/>
          <w:spacing w:val="-10"/>
          <w:sz w:val="21"/>
          <w:szCs w:val="21"/>
        </w:rPr>
        <w:t>/</w:t>
      </w:r>
      <w:r>
        <w:rPr>
          <w:rFonts w:ascii="SimSun" w:eastAsia="SimSun" w:hAnsi="SimSun" w:cs="SimSun"/>
          <w:spacing w:val="-5"/>
          <w:sz w:val="21"/>
          <w:szCs w:val="21"/>
        </w:rPr>
        <w:t>T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2260进行编</w:t>
      </w:r>
      <w:r>
        <w:rPr>
          <w:rFonts w:ascii="SimSun" w:eastAsia="SimSun" w:hAnsi="SimSun" w:cs="SimSun"/>
          <w:spacing w:val="-6"/>
          <w:sz w:val="21"/>
          <w:szCs w:val="21"/>
        </w:rPr>
        <w:t>码</w:t>
      </w:r>
      <w:r>
        <w:rPr>
          <w:rFonts w:ascii="SimSun" w:eastAsia="SimSun" w:hAnsi="SimSun" w:cs="SimSun"/>
          <w:spacing w:val="-5"/>
          <w:sz w:val="21"/>
          <w:szCs w:val="21"/>
        </w:rPr>
        <w:t>；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乡(镇)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级编码3位代码按照GB/T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10114进行编码；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村级编码按照顺序号进行编码。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具</w:t>
      </w:r>
      <w:r>
        <w:rPr>
          <w:rFonts w:ascii="SimSun" w:eastAsia="SimSun" w:hAnsi="SimSun" w:cs="SimSun"/>
          <w:spacing w:val="-3"/>
          <w:sz w:val="21"/>
          <w:szCs w:val="21"/>
        </w:rPr>
        <w:t>体结构如图2所示。</w:t>
      </w:r>
    </w:p>
    <w:p>
      <w:pPr>
        <w:spacing w:before="154" w:line="590" w:lineRule="exact"/>
        <w:ind w:firstLine="2619"/>
        <w:textAlignment w:val="center"/>
      </w:pPr>
      <w:r>
        <w:drawing>
          <wp:inline distT="0" distB="0" distL="0" distR="0">
            <wp:extent cx="170688" cy="374903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0688" cy="37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5" w:line="563" w:lineRule="exact"/>
        <w:ind w:firstLine="6153"/>
        <w:textAlignment w:val="center"/>
      </w:pPr>
      <w:r>
        <w:drawing>
          <wp:inline distT="0" distB="0" distL="0" distR="0">
            <wp:extent cx="426720" cy="35737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6720" cy="357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9" w:lineRule="exact"/>
        <w:ind w:firstLine="6158"/>
        <w:textAlignment w:val="center"/>
      </w:pPr>
      <w:r>
        <w:drawing>
          <wp:inline distT="0" distB="0" distL="0" distR="0">
            <wp:extent cx="426720" cy="177546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6720" cy="177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" w:line="374" w:lineRule="exact"/>
        <w:ind w:firstLine="6762"/>
        <w:textAlignment w:val="center"/>
      </w:pPr>
      <w:r>
        <w:drawing>
          <wp:inline distT="0" distB="0" distL="0" distR="0">
            <wp:extent cx="371855" cy="237744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3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69" w:line="222" w:lineRule="auto"/>
        <w:ind w:left="371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行政区</w:t>
      </w:r>
      <w:r>
        <w:rPr>
          <w:rFonts w:ascii="SimHei" w:eastAsia="SimHei" w:hAnsi="SimHei" w:cs="SimHei"/>
          <w:spacing w:val="-1"/>
          <w:sz w:val="21"/>
          <w:szCs w:val="21"/>
        </w:rPr>
        <w:t>划代码结构</w:t>
      </w:r>
    </w:p>
    <w:p>
      <w:pPr>
        <w:spacing w:before="216" w:line="218" w:lineRule="auto"/>
        <w:ind w:left="5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具</w:t>
      </w:r>
      <w:r>
        <w:rPr>
          <w:rFonts w:ascii="SimSun" w:eastAsia="SimSun" w:hAnsi="SimSun" w:cs="SimSun"/>
          <w:spacing w:val="-2"/>
          <w:sz w:val="21"/>
          <w:szCs w:val="21"/>
        </w:rPr>
        <w:t>体的编码规则如表2所示。</w:t>
      </w:r>
    </w:p>
    <w:p>
      <w:pPr>
        <w:spacing w:before="220" w:line="222" w:lineRule="auto"/>
        <w:ind w:left="370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行政区划代码</w:t>
      </w:r>
      <w:r>
        <w:rPr>
          <w:rFonts w:ascii="SimHei" w:eastAsia="SimHei" w:hAnsi="SimHei" w:cs="SimHei"/>
          <w:sz w:val="21"/>
          <w:szCs w:val="21"/>
        </w:rPr>
        <w:t>规则</w:t>
      </w:r>
    </w:p>
    <w:tbl>
      <w:tblPr>
        <w:tblStyle w:val="TableNormal3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929"/>
        <w:gridCol w:w="4645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7"/>
        </w:trPr>
        <w:tc>
          <w:tcPr>
            <w:tcW w:w="4929" w:type="dxa"/>
            <w:tcBorders>
              <w:left w:val="single" w:sz="6" w:space="0" w:color="000000"/>
            </w:tcBorders>
            <w:vAlign w:val="top"/>
          </w:tcPr>
          <w:p>
            <w:pPr>
              <w:spacing w:before="201" w:line="220" w:lineRule="auto"/>
              <w:ind w:left="2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编码类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型</w:t>
            </w:r>
          </w:p>
        </w:tc>
        <w:tc>
          <w:tcPr>
            <w:tcW w:w="4645" w:type="dxa"/>
            <w:tcBorders>
              <w:right w:val="single" w:sz="6" w:space="0" w:color="000000"/>
            </w:tcBorders>
            <w:vAlign w:val="top"/>
          </w:tcPr>
          <w:p>
            <w:pPr>
              <w:spacing w:before="201" w:line="220" w:lineRule="auto"/>
              <w:ind w:left="19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编码规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则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992"/>
        </w:trPr>
        <w:tc>
          <w:tcPr>
            <w:tcW w:w="4929" w:type="dxa"/>
            <w:tcBorders>
              <w:left w:val="single" w:sz="6" w:space="0" w:color="000000"/>
            </w:tcBorders>
            <w:vAlign w:val="top"/>
          </w:tcPr>
          <w:p>
            <w:pPr>
              <w:spacing w:before="191" w:line="432" w:lineRule="exact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9"/>
                <w:sz w:val="18"/>
                <w:szCs w:val="18"/>
              </w:rPr>
              <w:t>青海省省级编码</w:t>
            </w:r>
          </w:p>
          <w:p>
            <w:pPr>
              <w:spacing w:line="221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位</w:t>
            </w:r>
          </w:p>
        </w:tc>
        <w:tc>
          <w:tcPr>
            <w:tcW w:w="4645" w:type="dxa"/>
            <w:tcBorders>
              <w:right w:val="single" w:sz="6" w:space="0" w:color="000000"/>
            </w:tcBorders>
            <w:vAlign w:val="top"/>
          </w:tcPr>
          <w:p>
            <w:pPr>
              <w:spacing w:before="192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一、二位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1528"/>
        </w:trPr>
        <w:tc>
          <w:tcPr>
            <w:tcW w:w="4929" w:type="dxa"/>
            <w:tcBorders>
              <w:left w:val="single" w:sz="6" w:space="0" w:color="000000"/>
            </w:tcBorders>
            <w:vAlign w:val="top"/>
          </w:tcPr>
          <w:p>
            <w:pPr>
              <w:spacing w:before="187" w:line="432" w:lineRule="exact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9"/>
                <w:sz w:val="18"/>
                <w:szCs w:val="18"/>
              </w:rPr>
              <w:t>市(自治州所属市辖区和县</w:t>
            </w:r>
            <w:r>
              <w:rPr>
                <w:rFonts w:ascii="SimSun" w:eastAsia="SimSun" w:hAnsi="SimSun" w:cs="SimSun"/>
                <w:position w:val="19"/>
                <w:sz w:val="18"/>
                <w:szCs w:val="18"/>
              </w:rPr>
              <w:t>的汇总码)</w:t>
            </w:r>
          </w:p>
          <w:p>
            <w:pPr>
              <w:spacing w:line="221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位</w:t>
            </w:r>
          </w:p>
        </w:tc>
        <w:tc>
          <w:tcPr>
            <w:tcW w:w="4645" w:type="dxa"/>
            <w:tcBorders>
              <w:right w:val="single" w:sz="6" w:space="0" w:color="000000"/>
            </w:tcBorders>
            <w:vAlign w:val="top"/>
          </w:tcPr>
          <w:p>
            <w:pPr>
              <w:spacing w:before="187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三、四位：</w:t>
            </w:r>
          </w:p>
          <w:p>
            <w:pPr>
              <w:spacing w:before="253" w:line="21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a)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01-20,51-70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表示省直辖市；</w:t>
            </w:r>
          </w:p>
          <w:p>
            <w:pPr>
              <w:spacing w:before="255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b)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21-50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表示市(自治州)。</w:t>
            </w:r>
          </w:p>
        </w:tc>
      </w:tr>
    </w:tbl>
    <w:p>
      <w:pPr>
        <w:sectPr>
          <w:footerReference w:type="default" r:id="rId29"/>
          <w:pgSz w:w="11905" w:h="16840"/>
          <w:pgMar w:top="1406" w:right="1014" w:bottom="1314" w:left="1300" w:header="0" w:footer="1135" w:gutter="0"/>
          <w:pgNumType w:start="15"/>
          <w:cols w:space="708"/>
        </w:sectPr>
      </w:pPr>
    </w:p>
    <w:tbl>
      <w:tblPr>
        <w:tblStyle w:val="TableNormal4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929"/>
        <w:gridCol w:w="4645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009"/>
        </w:trPr>
        <w:tc>
          <w:tcPr>
            <w:tcW w:w="4929" w:type="dxa"/>
            <w:tcBorders>
              <w:left w:val="single" w:sz="6" w:space="0" w:color="000000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59" w:line="432" w:lineRule="exact"/>
              <w:ind w:left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9"/>
                <w:sz w:val="18"/>
                <w:szCs w:val="18"/>
              </w:rPr>
              <w:t>县(市辖区、县级</w:t>
            </w:r>
            <w:r>
              <w:rPr>
                <w:rFonts w:ascii="SimSun" w:eastAsia="SimSun" w:hAnsi="SimSun" w:cs="SimSun"/>
                <w:position w:val="19"/>
                <w:sz w:val="18"/>
                <w:szCs w:val="18"/>
              </w:rPr>
              <w:t>市)</w:t>
            </w:r>
          </w:p>
          <w:p>
            <w:pPr>
              <w:spacing w:line="221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位</w:t>
            </w:r>
          </w:p>
        </w:tc>
        <w:tc>
          <w:tcPr>
            <w:tcW w:w="4645" w:type="dxa"/>
            <w:tcBorders>
              <w:right w:val="single" w:sz="6" w:space="0" w:color="000000"/>
            </w:tcBorders>
            <w:vAlign w:val="top"/>
          </w:tcPr>
          <w:p>
            <w:pPr>
              <w:spacing w:before="189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五、六位：</w:t>
            </w:r>
          </w:p>
          <w:p>
            <w:pPr>
              <w:spacing w:before="252" w:line="220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a)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01-18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表示市辖区或自治州辖县级市；</w:t>
            </w:r>
          </w:p>
          <w:p>
            <w:pPr>
              <w:spacing w:before="253" w:line="222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b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21-80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表示县；</w:t>
            </w:r>
          </w:p>
          <w:p>
            <w:pPr>
              <w:spacing w:before="251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81-99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表示省直辖县级市。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30"/>
          <w:type w:val="nextPage"/>
          <w:pgSz w:w="11905" w:h="16840"/>
          <w:pgMar w:top="1406" w:right="1014" w:bottom="1314" w:left="1300" w:header="0" w:footer="1135" w:gutter="0"/>
          <w:pgNumType w:start="16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pict>
          <v:rect id="_x0000_s1041" style="width:14.2pt;height:0.7pt;margin-top:554.49pt;margin-left:238.26pt;mso-position-horizontal-relative:page;mso-position-vertical-relative:page;position:absolute;z-index:251706368" o:allowincell="f" filled="t" fillcolor="black" stroked="f"/>
        </w:pict>
      </w:r>
      <w:r>
        <w:pict>
          <v:rect id="_x0000_s1042" style="width:7.1pt;height:0.7pt;margin-top:554.49pt;margin-left:268.74pt;mso-position-horizontal-relative:page;mso-position-vertical-relative:page;position:absolute;z-index:251703296" o:allowincell="f" filled="t" fillcolor="black" stroked="f"/>
        </w:pict>
      </w:r>
      <w:r>
        <w:pict>
          <v:rect id="_x0000_s1043" style="width:7.05pt;height:0.7pt;margin-top:554.49pt;margin-left:292.86pt;mso-position-horizontal-relative:page;mso-position-vertical-relative:page;position:absolute;z-index:251704320" o:allowincell="f" filled="t" fillcolor="black" stroked="f"/>
        </w:pict>
      </w:r>
      <w:r>
        <w:pict>
          <v:rect id="_x0000_s1044" style="width:7.05pt;height:0.7pt;margin-top:554.49pt;margin-left:317.52pt;mso-position-horizontal-relative:page;mso-position-vertical-relative:page;position:absolute;z-index:251705344" o:allowincell="f" filled="t" fillcolor="black" stroked="f"/>
        </w:pict>
      </w:r>
      <w:r>
        <w:pict>
          <v:shape id="_x0000_s1045" style="width:14.9pt;height:0.75pt;margin-top:602.82pt;margin-left:335.1pt;mso-position-horizontal-relative:page;mso-position-vertical-relative:page;position:absolute;z-index:251702272" coordorigin="0,0" coordsize="297,15" o:allowincell="f" path="m7,7l290,7e" filled="f" strokecolor="black" strokeweight="0.72pt">
            <v:stroke endcap="round"/>
          </v:shape>
        </w:pict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3380994</wp:posOffset>
            </wp:positionH>
            <wp:positionV relativeFrom="page">
              <wp:posOffset>7079741</wp:posOffset>
            </wp:positionV>
            <wp:extent cx="161544" cy="626364"/>
            <wp:effectExtent l="0" t="0" r="0" b="0"/>
            <wp:wrapNone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6" style="width:29.05pt;height:14.9pt;margin-top:574.5pt;margin-left:320.94pt;mso-position-horizontal-relative:page;mso-position-vertical-relative:page;position:absolute;z-index:251699200" coordorigin="0,0" coordsize="580,297" o:allowincell="f" path="m7,7l7,290l573,290e" filled="f" strokecolor="black" strokeweight="0.72pt">
            <v:stroke endcap="round"/>
          </v:shape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3704844</wp:posOffset>
            </wp:positionH>
            <wp:positionV relativeFrom="page">
              <wp:posOffset>7079741</wp:posOffset>
            </wp:positionV>
            <wp:extent cx="161544" cy="626364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1544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7" style="width:36.15pt;height:29.05pt;margin-top:574.5pt;margin-left:299.7pt;mso-position-horizontal-relative:page;mso-position-vertical-relative:page;position:absolute;z-index:251698176" coordorigin="0,0" coordsize="723,580" o:allowincell="f" path="m7,7l7,573l715,573e" filled="f" strokecolor="black" strokeweight="0.72pt">
            <v:stroke endcap="round"/>
          </v:shape>
        </w:pict>
      </w:r>
      <w:r>
        <w:pict>
          <v:shape id="_x0000_s1048" style="width:78.7pt;height:43.2pt;margin-top:574.5pt;margin-left:271.32pt;mso-position-horizontal-relative:page;mso-position-vertical-relative:page;position:absolute;z-index:251693056" coordorigin="0,0" coordsize="1573,864" o:allowincell="f" path="m7,7l7,856l1565,856e" filled="f" strokecolor="black" strokeweight="0.72pt">
            <v:stroke endcap="round"/>
          </v:shape>
        </w:pict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3108960</wp:posOffset>
            </wp:positionH>
            <wp:positionV relativeFrom="page">
              <wp:posOffset>7079741</wp:posOffset>
            </wp:positionV>
            <wp:extent cx="109727" cy="626364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9727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3416045</wp:posOffset>
            </wp:positionH>
            <wp:positionV relativeFrom="page">
              <wp:posOffset>6907530</wp:posOffset>
            </wp:positionV>
            <wp:extent cx="85344" cy="71780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71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3721608</wp:posOffset>
            </wp:positionH>
            <wp:positionV relativeFrom="page">
              <wp:posOffset>6907530</wp:posOffset>
            </wp:positionV>
            <wp:extent cx="85344" cy="717804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71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4034790</wp:posOffset>
            </wp:positionH>
            <wp:positionV relativeFrom="page">
              <wp:posOffset>6907530</wp:posOffset>
            </wp:positionV>
            <wp:extent cx="85344" cy="717804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71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4011167</wp:posOffset>
            </wp:positionH>
            <wp:positionV relativeFrom="page">
              <wp:posOffset>7091934</wp:posOffset>
            </wp:positionV>
            <wp:extent cx="30479" cy="466344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4062983</wp:posOffset>
            </wp:positionH>
            <wp:positionV relativeFrom="page">
              <wp:posOffset>7078980</wp:posOffset>
            </wp:positionV>
            <wp:extent cx="109728" cy="626364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3051047</wp:posOffset>
            </wp:positionH>
            <wp:positionV relativeFrom="page">
              <wp:posOffset>7091934</wp:posOffset>
            </wp:positionV>
            <wp:extent cx="48767" cy="470916"/>
            <wp:effectExtent l="0" t="0" r="0" b="0"/>
            <wp:wrapNone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767" cy="470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style="width:107pt;height:57.4pt;margin-top:574.5pt;margin-left:243pt;mso-position-horizontal-relative:page;mso-position-vertical-relative:page;position:absolute;z-index:251708416" coordorigin="0,0" coordsize="2140,1148" o:allowincell="f" path="m7,7l7,1139l2132,1139e" filled="f" strokecolor="black" strokeweight="0.72pt">
            <v:stroke endcap="round"/>
          </v:shape>
        </w:pict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4924044</wp:posOffset>
            </wp:positionH>
            <wp:positionV relativeFrom="page">
              <wp:posOffset>7415784</wp:posOffset>
            </wp:positionV>
            <wp:extent cx="73152" cy="178307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3152" cy="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2" w:line="221" w:lineRule="auto"/>
        <w:ind w:left="34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行政区划编码规</w:t>
      </w:r>
      <w:r>
        <w:rPr>
          <w:rFonts w:ascii="SimHei" w:eastAsia="SimHei" w:hAnsi="SimHei" w:cs="SimHei"/>
          <w:sz w:val="21"/>
          <w:szCs w:val="21"/>
        </w:rPr>
        <w:t>则(</w:t>
      </w:r>
      <w:r>
        <w:rPr>
          <w:rFonts w:ascii="SimSun" w:eastAsia="SimSun" w:hAnsi="SimSun" w:cs="SimSun"/>
          <w:sz w:val="21"/>
          <w:szCs w:val="21"/>
        </w:rPr>
        <w:t>续</w:t>
      </w:r>
      <w:r>
        <w:rPr>
          <w:rFonts w:ascii="SimHei" w:eastAsia="SimHei" w:hAnsi="SimHei" w:cs="SimHei"/>
          <w:sz w:val="21"/>
          <w:szCs w:val="21"/>
        </w:rPr>
        <w:t>)</w:t>
      </w:r>
    </w:p>
    <w:p>
      <w:pPr>
        <w:spacing w:line="166" w:lineRule="exact"/>
      </w:pPr>
    </w:p>
    <w:tbl>
      <w:tblPr>
        <w:tblStyle w:val="TableNormal5"/>
        <w:tblW w:w="921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538"/>
        <w:gridCol w:w="4680"/>
      </w:tblGrid>
      <w:tr>
        <w:tblPrEx>
          <w:tblW w:w="921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4538" w:type="dxa"/>
            <w:vAlign w:val="top"/>
          </w:tcPr>
          <w:p>
            <w:pPr>
              <w:spacing w:before="191" w:line="220" w:lineRule="auto"/>
              <w:ind w:left="19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编码类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型</w:t>
            </w:r>
          </w:p>
        </w:tc>
        <w:tc>
          <w:tcPr>
            <w:tcW w:w="4680" w:type="dxa"/>
            <w:vAlign w:val="top"/>
          </w:tcPr>
          <w:p>
            <w:pPr>
              <w:spacing w:before="191" w:line="220" w:lineRule="auto"/>
              <w:ind w:left="19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编码规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则</w:t>
            </w:r>
          </w:p>
        </w:tc>
      </w:tr>
      <w:tr>
        <w:tblPrEx>
          <w:tblW w:w="9218" w:type="dxa"/>
          <w:tblInd w:w="2" w:type="dxa"/>
          <w:tblLayout w:type="fixed"/>
        </w:tblPrEx>
        <w:trPr>
          <w:trHeight w:val="4958"/>
        </w:trPr>
        <w:tc>
          <w:tcPr>
            <w:tcW w:w="453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59" w:line="432" w:lineRule="exact"/>
              <w:ind w:left="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position w:val="19"/>
                <w:sz w:val="18"/>
                <w:szCs w:val="18"/>
              </w:rPr>
              <w:t>乡镇</w:t>
            </w:r>
            <w:r>
              <w:rPr>
                <w:rFonts w:ascii="SimSun" w:eastAsia="SimSun" w:hAnsi="SimSun" w:cs="SimSun"/>
                <w:spacing w:val="3"/>
                <w:position w:val="19"/>
                <w:sz w:val="18"/>
                <w:szCs w:val="18"/>
              </w:rPr>
              <w:t>(街道、乡、民族乡、镇、政企合一)</w:t>
            </w:r>
          </w:p>
          <w:p>
            <w:pPr>
              <w:spacing w:line="22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8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位</w:t>
            </w:r>
          </w:p>
        </w:tc>
        <w:tc>
          <w:tcPr>
            <w:tcW w:w="4680" w:type="dxa"/>
            <w:vAlign w:val="top"/>
          </w:tcPr>
          <w:p>
            <w:pPr>
              <w:spacing w:before="185" w:line="324" w:lineRule="auto"/>
              <w:ind w:left="112" w:righ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第七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、八、九位按照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GB/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10114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给出的规则编制。其中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的第一位数字为类别标识，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以“0”表示街道，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“1”表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示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18"/>
                <w:szCs w:val="18"/>
              </w:rPr>
              <w:t>镇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“2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和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3”表示乡、民族乡，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“4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和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5”表示政企合一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的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单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位；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其中的第二、三位数字为该代码段中各行政区划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的顺序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号。具体划分如下：</w:t>
            </w:r>
          </w:p>
          <w:p>
            <w:pPr>
              <w:spacing w:before="137" w:line="270" w:lineRule="auto"/>
              <w:ind w:left="387" w:right="107" w:hanging="2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001—099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表示街道的代码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，应在本地区的范围内由小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到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大顺序编写；</w:t>
            </w:r>
          </w:p>
          <w:p>
            <w:pPr>
              <w:spacing w:before="253" w:line="270" w:lineRule="auto"/>
              <w:ind w:left="384" w:right="107" w:hanging="2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b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100--199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示镇的代码，应在本地区的范围内由小到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大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顺序编写；</w:t>
            </w:r>
          </w:p>
          <w:p>
            <w:pPr>
              <w:spacing w:before="253" w:line="270" w:lineRule="auto"/>
              <w:ind w:left="404" w:right="107" w:hanging="2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200--399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表示乡、民族乡的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代码，应在本地区的范围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内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由小到大顺序编写；</w:t>
            </w:r>
          </w:p>
          <w:p>
            <w:pPr>
              <w:spacing w:before="253" w:line="270" w:lineRule="auto"/>
              <w:ind w:left="398" w:right="107" w:hanging="28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d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400—599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表示政企合一单位的代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码，应在本地区的范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围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内由小到大顺序编写。</w:t>
            </w:r>
          </w:p>
        </w:tc>
      </w:tr>
      <w:tr>
        <w:tblPrEx>
          <w:tblW w:w="9218" w:type="dxa"/>
          <w:tblInd w:w="2" w:type="dxa"/>
          <w:tblLayout w:type="fixed"/>
        </w:tblPrEx>
        <w:trPr>
          <w:trHeight w:val="1532"/>
        </w:trPr>
        <w:tc>
          <w:tcPr>
            <w:tcW w:w="4538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58" w:line="432" w:lineRule="exact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5"/>
                <w:position w:val="19"/>
                <w:sz w:val="18"/>
                <w:szCs w:val="18"/>
              </w:rPr>
              <w:t>村</w:t>
            </w:r>
            <w:r>
              <w:rPr>
                <w:rFonts w:ascii="SimSun" w:eastAsia="SimSun" w:hAnsi="SimSun" w:cs="SimSun"/>
                <w:spacing w:val="11"/>
                <w:position w:val="19"/>
                <w:sz w:val="18"/>
                <w:szCs w:val="18"/>
              </w:rPr>
              <w:t>(居委会)</w:t>
            </w:r>
          </w:p>
          <w:p>
            <w:pPr>
              <w:spacing w:line="221" w:lineRule="auto"/>
              <w:ind w:left="1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8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位</w:t>
            </w:r>
          </w:p>
        </w:tc>
        <w:tc>
          <w:tcPr>
            <w:tcW w:w="4680" w:type="dxa"/>
            <w:vAlign w:val="top"/>
          </w:tcPr>
          <w:p>
            <w:pPr>
              <w:spacing w:before="190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十、十一、十二位：</w:t>
            </w:r>
          </w:p>
          <w:p>
            <w:pPr>
              <w:spacing w:before="252" w:line="21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居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民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委员会的代码从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001—199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由小到大顺序编写；</w:t>
            </w:r>
          </w:p>
          <w:p>
            <w:pPr>
              <w:spacing w:before="256" w:line="217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村民委员会的代码从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200—399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由小到大顺序编写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。</w:t>
            </w:r>
          </w:p>
        </w:tc>
      </w:tr>
    </w:tbl>
    <w:p>
      <w:pPr>
        <w:spacing w:before="65" w:line="222" w:lineRule="auto"/>
        <w:ind w:left="376"/>
        <w:rPr>
          <w:rFonts w:ascii="SimSun" w:eastAsia="SimSun" w:hAnsi="SimSun" w:cs="SimSun"/>
          <w:sz w:val="18"/>
          <w:szCs w:val="18"/>
        </w:rPr>
      </w:pPr>
      <w:r>
        <w:rPr>
          <w:rFonts w:ascii="SimHei" w:eastAsia="SimHei" w:hAnsi="SimHei" w:cs="SimHei"/>
          <w:spacing w:val="2"/>
          <w:sz w:val="18"/>
          <w:szCs w:val="18"/>
        </w:rPr>
        <w:t>注：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2"/>
          <w:sz w:val="18"/>
          <w:szCs w:val="18"/>
        </w:rPr>
        <w:t>每级市下面要增</w:t>
      </w:r>
      <w:r>
        <w:rPr>
          <w:rFonts w:ascii="SimSun" w:eastAsia="SimSun" w:hAnsi="SimSun" w:cs="SimSun"/>
          <w:spacing w:val="1"/>
          <w:sz w:val="18"/>
          <w:szCs w:val="18"/>
        </w:rPr>
        <w:t>加一个市本级的区别(与县级编码对照)，该区划的编码规则用“99”表示。</w:t>
      </w:r>
    </w:p>
    <w:p>
      <w:pPr>
        <w:spacing w:before="236" w:line="221" w:lineRule="auto"/>
        <w:ind w:left="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目录分类代码</w:t>
      </w:r>
    </w:p>
    <w:p>
      <w:pPr>
        <w:spacing w:before="216" w:line="219" w:lineRule="auto"/>
        <w:ind w:left="47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目</w:t>
      </w:r>
      <w:r>
        <w:rPr>
          <w:rFonts w:ascii="SimSun" w:eastAsia="SimSun" w:hAnsi="SimSun" w:cs="SimSun"/>
          <w:spacing w:val="-5"/>
          <w:sz w:val="21"/>
          <w:szCs w:val="21"/>
        </w:rPr>
        <w:t>录分类代码总共5位，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不足的用0补齐，代码结构如图3所示。</w:t>
      </w:r>
    </w:p>
    <w:p>
      <w:pPr>
        <w:spacing w:before="194" w:line="568" w:lineRule="exact"/>
        <w:ind w:firstLine="3356"/>
        <w:textAlignment w:val="center"/>
      </w:pPr>
      <w:r>
        <w:drawing>
          <wp:inline distT="0" distB="0" distL="0" distR="0">
            <wp:extent cx="176783" cy="361188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6783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2" w:line="1225" w:lineRule="exact"/>
        <w:ind w:firstLine="5653"/>
        <w:textAlignment w:val="center"/>
      </w:pPr>
      <w:r>
        <w:drawing>
          <wp:inline distT="0" distB="0" distL="0" distR="0">
            <wp:extent cx="436626" cy="77800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6626" cy="77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4" w:line="221" w:lineRule="auto"/>
        <w:ind w:left="359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图3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目录分类代码结构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69" w:line="274" w:lineRule="auto"/>
        <w:ind w:left="19" w:firstLine="453"/>
        <w:rPr>
          <w:rFonts w:ascii="SimSun" w:eastAsia="SimSun" w:hAnsi="SimSun" w:cs="SimSun"/>
          <w:sz w:val="21"/>
          <w:szCs w:val="21"/>
        </w:rPr>
        <w:sectPr>
          <w:footerReference w:type="default" r:id="rId38"/>
          <w:pgSz w:w="11905" w:h="16840"/>
          <w:pgMar w:top="1406" w:right="1131" w:bottom="1315" w:left="1413" w:header="0" w:footer="1135" w:gutter="0"/>
          <w:pgNumType w:start="17"/>
          <w:cols w:space="708"/>
        </w:sectPr>
      </w:pPr>
      <w:r>
        <w:rPr>
          <w:rFonts w:ascii="SimSun" w:eastAsia="SimSun" w:hAnsi="SimSun" w:cs="SimSun"/>
          <w:spacing w:val="-10"/>
          <w:sz w:val="21"/>
          <w:szCs w:val="21"/>
        </w:rPr>
        <w:t>目录分类时不</w:t>
      </w:r>
      <w:r>
        <w:rPr>
          <w:rFonts w:ascii="SimSun" w:eastAsia="SimSun" w:hAnsi="SimSun" w:cs="SimSun"/>
          <w:spacing w:val="-5"/>
          <w:sz w:val="21"/>
          <w:szCs w:val="21"/>
        </w:rPr>
        <w:t>同等级行政区划的同一种数据的分类规则保持一致，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如青海省下的国土规划与西宁市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下的国土</w:t>
      </w:r>
      <w:r>
        <w:rPr>
          <w:rFonts w:ascii="SimSun" w:eastAsia="SimSun" w:hAnsi="SimSun" w:cs="SimSun"/>
          <w:spacing w:val="-2"/>
          <w:sz w:val="21"/>
          <w:szCs w:val="21"/>
        </w:rPr>
        <w:t>规划的分类及代码保持一致。</w:t>
      </w:r>
    </w:p>
    <w:p>
      <w:pPr>
        <w:spacing w:before="1" w:line="218" w:lineRule="auto"/>
        <w:ind w:left="47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目录分</w:t>
      </w:r>
      <w:r>
        <w:rPr>
          <w:rFonts w:ascii="SimSun" w:eastAsia="SimSun" w:hAnsi="SimSun" w:cs="SimSun"/>
          <w:spacing w:val="-4"/>
          <w:sz w:val="21"/>
          <w:szCs w:val="21"/>
        </w:rPr>
        <w:t>类代码的规则如表3所示。</w:t>
      </w:r>
    </w:p>
    <w:p>
      <w:pPr>
        <w:sectPr>
          <w:footerReference w:type="default" r:id="rId39"/>
          <w:type w:val="nextPage"/>
          <w:pgSz w:w="11905" w:h="16840"/>
          <w:pgMar w:top="1406" w:right="1131" w:bottom="1315" w:left="1413" w:header="0" w:footer="1135" w:gutter="0"/>
          <w:pgNumType w:start="18"/>
          <w:cols w:space="708"/>
          <w:titlePg w:val="0"/>
        </w:sectPr>
      </w:pPr>
    </w:p>
    <w:p>
      <w:pPr>
        <w:spacing w:before="42" w:line="236" w:lineRule="auto"/>
        <w:ind w:right="113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2" w:line="221" w:lineRule="auto"/>
        <w:ind w:left="369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目录分</w:t>
      </w:r>
      <w:r>
        <w:rPr>
          <w:rFonts w:ascii="SimHei" w:eastAsia="SimHei" w:hAnsi="SimHei" w:cs="SimHei"/>
          <w:sz w:val="21"/>
          <w:szCs w:val="21"/>
        </w:rPr>
        <w:t>类代码规则</w:t>
      </w:r>
    </w:p>
    <w:p>
      <w:pPr>
        <w:spacing w:line="166" w:lineRule="exact"/>
      </w:pPr>
    </w:p>
    <w:tbl>
      <w:tblPr>
        <w:tblStyle w:val="TableNormal6"/>
        <w:tblW w:w="95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30"/>
        <w:gridCol w:w="6344"/>
      </w:tblGrid>
      <w:tr>
        <w:tblPrEx>
          <w:tblW w:w="95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1"/>
        </w:trPr>
        <w:tc>
          <w:tcPr>
            <w:tcW w:w="3230" w:type="dxa"/>
            <w:vAlign w:val="top"/>
          </w:tcPr>
          <w:p>
            <w:pPr>
              <w:spacing w:before="191" w:line="220" w:lineRule="auto"/>
              <w:ind w:left="12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编码类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型</w:t>
            </w:r>
          </w:p>
        </w:tc>
        <w:tc>
          <w:tcPr>
            <w:tcW w:w="6344" w:type="dxa"/>
            <w:vAlign w:val="top"/>
          </w:tcPr>
          <w:p>
            <w:pPr>
              <w:spacing w:before="191" w:line="220" w:lineRule="auto"/>
              <w:ind w:left="28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编码规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则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1612"/>
        </w:trPr>
        <w:tc>
          <w:tcPr>
            <w:tcW w:w="3230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大类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  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位</w:t>
            </w:r>
          </w:p>
        </w:tc>
        <w:tc>
          <w:tcPr>
            <w:tcW w:w="6344" w:type="dxa"/>
            <w:vAlign w:val="top"/>
          </w:tcPr>
          <w:p>
            <w:pPr>
              <w:spacing w:before="185" w:line="331" w:lineRule="auto"/>
              <w:ind w:left="113" w:right="107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第一位采用顺序号，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由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9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个阿拉伯数字(1－9)或大写罗马字符“</w:t>
            </w: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—</w:t>
            </w:r>
            <w:r>
              <w:rPr>
                <w:rFonts w:ascii="SimSun" w:eastAsia="SimSun" w:hAnsi="SimSun" w:cs="SimSun"/>
                <w:sz w:val="18"/>
                <w:szCs w:val="18"/>
              </w:rPr>
              <w:t>Z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”中的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个字符组成；</w:t>
            </w:r>
          </w:p>
          <w:p>
            <w:pPr>
              <w:spacing w:before="98" w:line="331" w:lineRule="auto"/>
              <w:ind w:left="113" w:right="107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第二位采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用顺序号，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个阿拉伯数字(0－9)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或大写罗马字符“A—Z”中的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个字符组成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868"/>
        </w:trPr>
        <w:tc>
          <w:tcPr>
            <w:tcW w:w="323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类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   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位</w:t>
            </w:r>
          </w:p>
        </w:tc>
        <w:tc>
          <w:tcPr>
            <w:tcW w:w="6344" w:type="dxa"/>
            <w:vAlign w:val="top"/>
          </w:tcPr>
          <w:p>
            <w:pPr>
              <w:spacing w:before="187" w:line="331" w:lineRule="auto"/>
              <w:ind w:left="113" w:right="107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第三位采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用顺序号，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个阿拉伯数字(0－9)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或大写罗马字符“A—Z”中的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个字符组成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868"/>
        </w:trPr>
        <w:tc>
          <w:tcPr>
            <w:tcW w:w="323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0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类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   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位</w:t>
            </w:r>
          </w:p>
        </w:tc>
        <w:tc>
          <w:tcPr>
            <w:tcW w:w="6344" w:type="dxa"/>
            <w:vAlign w:val="top"/>
          </w:tcPr>
          <w:p>
            <w:pPr>
              <w:spacing w:before="188" w:line="331" w:lineRule="auto"/>
              <w:ind w:left="113" w:right="107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第四位采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用顺序号，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个阿拉伯数字(0－9)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或大写罗马字符“A—Z”中的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个字符组成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873"/>
        </w:trPr>
        <w:tc>
          <w:tcPr>
            <w:tcW w:w="323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10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细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分类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位</w:t>
            </w:r>
          </w:p>
        </w:tc>
        <w:tc>
          <w:tcPr>
            <w:tcW w:w="6344" w:type="dxa"/>
            <w:vAlign w:val="top"/>
          </w:tcPr>
          <w:p>
            <w:pPr>
              <w:spacing w:before="188" w:line="331" w:lineRule="auto"/>
              <w:ind w:left="113" w:right="107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第五位采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用顺序号，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个阿拉伯数字(0－9)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或大写罗马字符“A—Z”中的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个字符组成</w:t>
            </w:r>
          </w:p>
        </w:tc>
      </w:tr>
    </w:tbl>
    <w:p>
      <w:pPr>
        <w:spacing w:before="205" w:line="221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矢量数据</w:t>
      </w:r>
    </w:p>
    <w:p>
      <w:pPr>
        <w:spacing w:before="217" w:line="221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规范性矢量数据的特征</w:t>
      </w:r>
    </w:p>
    <w:p>
      <w:pPr>
        <w:spacing w:before="217" w:line="218" w:lineRule="auto"/>
        <w:ind w:left="54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规范性矢量数据具有以下特征</w:t>
      </w:r>
      <w:r>
        <w:rPr>
          <w:rFonts w:ascii="SimSun" w:eastAsia="SimSun" w:hAnsi="SimSun" w:cs="SimSun"/>
          <w:spacing w:val="-2"/>
          <w:sz w:val="21"/>
          <w:szCs w:val="21"/>
        </w:rPr>
        <w:t>：</w:t>
      </w:r>
    </w:p>
    <w:p>
      <w:pPr>
        <w:spacing w:before="63" w:line="220" w:lineRule="auto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—</w:t>
      </w:r>
      <w:r>
        <w:rPr>
          <w:rFonts w:ascii="SimSun" w:eastAsia="SimSun" w:hAnsi="SimSun" w:cs="SimSun"/>
          <w:spacing w:val="-7"/>
          <w:sz w:val="21"/>
          <w:szCs w:val="21"/>
        </w:rPr>
        <w:t>—</w:t>
      </w:r>
      <w:r>
        <w:rPr>
          <w:rFonts w:ascii="SimSun" w:eastAsia="SimSun" w:hAnsi="SimSun" w:cs="SimSun"/>
          <w:spacing w:val="-6"/>
          <w:sz w:val="21"/>
          <w:szCs w:val="21"/>
        </w:rPr>
        <w:t>采用符合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GB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21139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要求的数学基础；</w:t>
      </w:r>
    </w:p>
    <w:p>
      <w:pPr>
        <w:spacing w:before="63" w:line="274" w:lineRule="auto"/>
        <w:ind w:left="955" w:right="110" w:hanging="4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——支持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ArcGIS</w:t>
      </w:r>
      <w:r>
        <w:rPr>
          <w:rFonts w:ascii="SimSun" w:eastAsia="SimSun" w:hAnsi="SimSun" w:cs="SimSun"/>
          <w:spacing w:val="-10"/>
          <w:sz w:val="21"/>
          <w:szCs w:val="21"/>
        </w:rPr>
        <w:t>、</w:t>
      </w:r>
      <w:r>
        <w:rPr>
          <w:rFonts w:ascii="SimSun" w:eastAsia="SimSun" w:hAnsi="SimSun" w:cs="SimSun"/>
          <w:spacing w:val="-5"/>
          <w:sz w:val="21"/>
          <w:szCs w:val="21"/>
        </w:rPr>
        <w:t>MapInfo</w:t>
      </w:r>
      <w:r>
        <w:rPr>
          <w:rFonts w:ascii="SimSun" w:eastAsia="SimSun" w:hAnsi="SimSun" w:cs="SimSun"/>
          <w:spacing w:val="-10"/>
          <w:sz w:val="21"/>
          <w:szCs w:val="21"/>
        </w:rPr>
        <w:t>、</w:t>
      </w:r>
      <w:r>
        <w:rPr>
          <w:rFonts w:ascii="SimSun" w:eastAsia="SimSun" w:hAnsi="SimSun" w:cs="SimSun"/>
          <w:spacing w:val="-5"/>
          <w:sz w:val="21"/>
          <w:szCs w:val="21"/>
        </w:rPr>
        <w:t>Geomedia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SimSun" w:eastAsia="SimSun" w:hAnsi="SimSun" w:cs="SimSun"/>
          <w:spacing w:val="-5"/>
          <w:sz w:val="21"/>
          <w:szCs w:val="21"/>
        </w:rPr>
        <w:t>AutoCAD、MicroStation、Oracle、SQL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Server、DB2、MySQL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等主流厂家的数据格式</w:t>
      </w:r>
      <w:r>
        <w:rPr>
          <w:rFonts w:ascii="SimSun" w:eastAsia="SimSun" w:hAnsi="SimSun" w:cs="SimSun"/>
          <w:spacing w:val="-3"/>
          <w:sz w:val="21"/>
          <w:szCs w:val="21"/>
        </w:rPr>
        <w:t>；</w:t>
      </w:r>
    </w:p>
    <w:p>
      <w:pPr>
        <w:spacing w:before="1" w:line="218" w:lineRule="auto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—</w:t>
      </w:r>
      <w:r>
        <w:rPr>
          <w:rFonts w:ascii="SimSun" w:eastAsia="SimSun" w:hAnsi="SimSun" w:cs="SimSun"/>
          <w:spacing w:val="-6"/>
          <w:sz w:val="21"/>
          <w:szCs w:val="21"/>
        </w:rPr>
        <w:t>—支持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JSON、XML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等类型的开源数据格式；</w:t>
      </w:r>
    </w:p>
    <w:p>
      <w:pPr>
        <w:spacing w:before="63" w:line="312" w:lineRule="exact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—满足国家、行业或专题部门内部有关数据标准或规范；</w:t>
      </w:r>
    </w:p>
    <w:p>
      <w:pPr>
        <w:spacing w:before="1" w:line="218" w:lineRule="auto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—</w:t>
      </w:r>
      <w:r>
        <w:rPr>
          <w:rFonts w:ascii="SimSun" w:eastAsia="SimSun" w:hAnsi="SimSun" w:cs="SimSun"/>
          <w:spacing w:val="-4"/>
          <w:sz w:val="21"/>
          <w:szCs w:val="21"/>
        </w:rPr>
        <w:t>—</w:t>
      </w:r>
      <w:r>
        <w:rPr>
          <w:rFonts w:ascii="SimSun" w:eastAsia="SimSun" w:hAnsi="SimSun" w:cs="SimSun"/>
          <w:spacing w:val="-3"/>
          <w:sz w:val="21"/>
          <w:szCs w:val="21"/>
        </w:rPr>
        <w:t>有明确的数据分类和代码文档；</w:t>
      </w:r>
    </w:p>
    <w:p>
      <w:pPr>
        <w:spacing w:before="63" w:line="312" w:lineRule="exact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>各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类数据有属性描述，同类数据的属性结构一致；</w:t>
      </w:r>
    </w:p>
    <w:p>
      <w:pPr>
        <w:spacing w:before="1" w:line="274" w:lineRule="auto"/>
        <w:ind w:left="544" w:right="13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——对代码、类别有相应的数据字典描述</w:t>
      </w:r>
      <w:r>
        <w:rPr>
          <w:rFonts w:ascii="SimSun" w:eastAsia="SimSun" w:hAnsi="SimSun" w:cs="SimSun"/>
          <w:spacing w:val="-1"/>
          <w:sz w:val="21"/>
          <w:szCs w:val="21"/>
        </w:rPr>
        <w:t>文档，且其中的数字内容需要有度量单位；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——能</w:t>
      </w:r>
      <w:r>
        <w:rPr>
          <w:rFonts w:ascii="SimSun" w:eastAsia="SimSun" w:hAnsi="SimSun" w:cs="SimSun"/>
          <w:spacing w:val="-4"/>
          <w:sz w:val="21"/>
          <w:szCs w:val="21"/>
        </w:rPr>
        <w:t>够</w:t>
      </w:r>
      <w:r>
        <w:rPr>
          <w:rFonts w:ascii="SimSun" w:eastAsia="SimSun" w:hAnsi="SimSun" w:cs="SimSun"/>
          <w:spacing w:val="-3"/>
          <w:sz w:val="21"/>
          <w:szCs w:val="21"/>
        </w:rPr>
        <w:t>提供元数据必填项；</w:t>
      </w:r>
    </w:p>
    <w:p>
      <w:pPr>
        <w:spacing w:line="312" w:lineRule="exact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——每次提交的同类数据采用的标准规范在一定时间内相对稳</w:t>
      </w:r>
      <w:r>
        <w:rPr>
          <w:rFonts w:ascii="SimSun" w:eastAsia="SimSun" w:hAnsi="SimSun" w:cs="SimSun"/>
          <w:position w:val="7"/>
          <w:sz w:val="21"/>
          <w:szCs w:val="21"/>
        </w:rPr>
        <w:t>定；</w:t>
      </w:r>
    </w:p>
    <w:p>
      <w:pPr>
        <w:spacing w:line="220" w:lineRule="auto"/>
        <w:ind w:left="5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满足以上特征的矢量数据为规范性矢</w:t>
      </w:r>
      <w:r>
        <w:rPr>
          <w:rFonts w:ascii="SimSun" w:eastAsia="SimSun" w:hAnsi="SimSun" w:cs="SimSun"/>
          <w:spacing w:val="-1"/>
          <w:sz w:val="21"/>
          <w:szCs w:val="21"/>
        </w:rPr>
        <w:t>量数据。</w:t>
      </w:r>
    </w:p>
    <w:p>
      <w:pPr>
        <w:spacing w:before="217" w:line="221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矢量数据分类与编码原则</w:t>
      </w:r>
    </w:p>
    <w:p>
      <w:pPr>
        <w:spacing w:before="218" w:line="274" w:lineRule="auto"/>
        <w:ind w:left="543" w:right="905" w:hanging="1"/>
        <w:rPr>
          <w:rFonts w:ascii="SimSun" w:eastAsia="SimSun" w:hAnsi="SimSun" w:cs="SimSun"/>
          <w:sz w:val="21"/>
          <w:szCs w:val="21"/>
        </w:rPr>
        <w:sectPr>
          <w:footerReference w:type="default" r:id="rId40"/>
          <w:pgSz w:w="11905" w:h="16840"/>
          <w:pgMar w:top="1406" w:right="1019" w:bottom="1314" w:left="1305" w:header="0" w:footer="1135" w:gutter="0"/>
          <w:pgNumType w:start="19"/>
          <w:cols w:space="708"/>
        </w:sectPr>
      </w:pPr>
      <w:r>
        <w:rPr>
          <w:rFonts w:ascii="SimSun" w:eastAsia="SimSun" w:hAnsi="SimSun" w:cs="SimSun"/>
          <w:spacing w:val="-2"/>
          <w:sz w:val="21"/>
          <w:szCs w:val="21"/>
        </w:rPr>
        <w:t>矢量数据中图形要素属性的分类与</w:t>
      </w:r>
      <w:r>
        <w:rPr>
          <w:rFonts w:ascii="SimSun" w:eastAsia="SimSun" w:hAnsi="SimSun" w:cs="SimSun"/>
          <w:spacing w:val="-1"/>
          <w:sz w:val="21"/>
          <w:szCs w:val="21"/>
        </w:rPr>
        <w:t>编码应遵循GB/T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25529规定的地理信息数据分类原则：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——科学性原则：分类与编码规则应符合现实</w:t>
      </w:r>
      <w:r>
        <w:rPr>
          <w:rFonts w:ascii="SimSun" w:eastAsia="SimSun" w:hAnsi="SimSun" w:cs="SimSun"/>
          <w:spacing w:val="-1"/>
          <w:sz w:val="21"/>
          <w:szCs w:val="21"/>
        </w:rPr>
        <w:t>世界地理信息的基本组织规则；</w:t>
      </w:r>
    </w:p>
    <w:p>
      <w:pPr>
        <w:spacing w:line="274" w:lineRule="auto"/>
        <w:ind w:left="544" w:right="9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——系统性原则：信息分类体系结构</w:t>
      </w:r>
      <w:r>
        <w:rPr>
          <w:rFonts w:ascii="SimSun" w:eastAsia="SimSun" w:hAnsi="SimSun" w:cs="SimSun"/>
          <w:spacing w:val="-1"/>
          <w:sz w:val="21"/>
          <w:szCs w:val="21"/>
        </w:rPr>
        <w:t>应正确反映地理要素与属性纵向、横向的体系结构；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——一致性原则：地理要素与属性在同一地理信</w:t>
      </w:r>
      <w:r>
        <w:rPr>
          <w:rFonts w:ascii="SimSun" w:eastAsia="SimSun" w:hAnsi="SimSun" w:cs="SimSun"/>
          <w:spacing w:val="-1"/>
          <w:sz w:val="21"/>
          <w:szCs w:val="21"/>
        </w:rPr>
        <w:t>息系统中具有唯一代码；</w:t>
      </w:r>
    </w:p>
    <w:p>
      <w:pPr>
        <w:spacing w:before="1" w:line="218" w:lineRule="auto"/>
        <w:ind w:left="5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——可扩展性原则：地理要素类型的编码</w:t>
      </w:r>
      <w:r>
        <w:rPr>
          <w:rFonts w:ascii="SimSun" w:eastAsia="SimSun" w:hAnsi="SimSun" w:cs="SimSun"/>
          <w:spacing w:val="-1"/>
          <w:sz w:val="21"/>
          <w:szCs w:val="21"/>
        </w:rPr>
        <w:t>强调高位统一，低位留有充足扩充余地；</w:t>
      </w:r>
    </w:p>
    <w:p>
      <w:pPr>
        <w:spacing w:before="63" w:line="288" w:lineRule="auto"/>
        <w:ind w:left="955" w:right="112" w:hanging="4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—</w:t>
      </w:r>
      <w:r>
        <w:rPr>
          <w:rFonts w:ascii="SimSun" w:eastAsia="SimSun" w:hAnsi="SimSun" w:cs="SimSun"/>
          <w:spacing w:val="-7"/>
          <w:sz w:val="21"/>
          <w:szCs w:val="21"/>
        </w:rPr>
        <w:t>—适用性原则：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能最大限度兼容原有数据分类体系，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能方便用于多源地理空间信息整合与共享交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换。</w:t>
      </w:r>
    </w:p>
    <w:p>
      <w:pPr>
        <w:spacing w:before="125" w:line="221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分类代码说明文件格式规范</w:t>
      </w:r>
    </w:p>
    <w:p>
      <w:pPr>
        <w:sectPr>
          <w:footerReference w:type="default" r:id="rId41"/>
          <w:type w:val="nextPage"/>
          <w:pgSz w:w="11905" w:h="16840"/>
          <w:pgMar w:top="1406" w:right="1019" w:bottom="1314" w:left="1305" w:header="0" w:footer="1135" w:gutter="0"/>
          <w:pgNumType w:start="20"/>
          <w:cols w:space="708"/>
          <w:titlePg w:val="0"/>
        </w:sectPr>
      </w:pPr>
    </w:p>
    <w:p>
      <w:pPr>
        <w:spacing w:before="42" w:line="236" w:lineRule="auto"/>
        <w:ind w:right="119"/>
        <w:jc w:val="right"/>
        <w:rPr>
          <w:rFonts w:ascii="SimHei" w:eastAsia="SimHei" w:hAnsi="SimHei" w:cs="SimHei"/>
          <w:sz w:val="21"/>
          <w:szCs w:val="21"/>
        </w:rPr>
      </w:pPr>
      <w:r>
        <w:pict>
          <v:rect id="_x0000_s1050" style="width:7.1pt;height:0.7pt;margin-top:211.89pt;margin-left:242.1pt;mso-position-horizontal-relative:page;mso-position-vertical-relative:page;position:absolute;z-index:251723776" o:allowincell="f" filled="t" fillcolor="black" stroked="f"/>
        </w:pict>
      </w:r>
      <w:r>
        <w:pict>
          <v:rect id="_x0000_s1051" style="width:35.3pt;height:0.7pt;margin-top:211.89pt;margin-left:307.92pt;mso-position-horizontal-relative:page;mso-position-vertical-relative:page;position:absolute;z-index:251727872" o:allowincell="f" filled="t" fillcolor="black" stroked="f"/>
        </w:pict>
      </w:r>
      <w:r>
        <w:pict>
          <v:rect id="_x0000_s1052" style="width:7.1pt;height:0.7pt;margin-top:211.89pt;margin-left:258.54pt;mso-position-horizontal-relative:page;mso-position-vertical-relative:page;position:absolute;z-index:251724800" o:allowincell="f" filled="t" fillcolor="black" stroked="f"/>
        </w:pict>
      </w:r>
      <w:r>
        <w:pict>
          <v:rect id="_x0000_s1053" style="width:14.2pt;height:0.7pt;margin-top:211.89pt;margin-left:290.7pt;mso-position-horizontal-relative:page;mso-position-vertical-relative:page;position:absolute;z-index:251722752" o:allowincell="f" filled="t" fillcolor="black" stroked="f"/>
        </w:pict>
      </w:r>
      <w:r>
        <w:pict>
          <v:rect id="_x0000_s1054" style="width:7.1pt;height:0.7pt;margin-top:211.89pt;margin-left:276.66pt;mso-position-horizontal-relative:page;mso-position-vertical-relative:page;position:absolute;z-index:251725824" o:allowincell="f" filled="t" fillcolor="black" stroked="f"/>
        </w:pict>
      </w:r>
      <w:r>
        <w:drawing>
          <wp:anchor distT="0" distB="0" distL="0" distR="0" simplePos="0" relativeHeight="251709440" behindDoc="1" locked="0" layoutInCell="0" allowOverlap="1">
            <wp:simplePos x="0" y="0"/>
            <wp:positionH relativeFrom="page">
              <wp:posOffset>3467861</wp:posOffset>
            </wp:positionH>
            <wp:positionV relativeFrom="page">
              <wp:posOffset>2747772</wp:posOffset>
            </wp:positionV>
            <wp:extent cx="160782" cy="626364"/>
            <wp:effectExtent l="0" t="0" r="0" b="0"/>
            <wp:wrapNone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0782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3043427</wp:posOffset>
            </wp:positionH>
            <wp:positionV relativeFrom="page">
              <wp:posOffset>2747772</wp:posOffset>
            </wp:positionV>
            <wp:extent cx="160782" cy="626364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0782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3077717</wp:posOffset>
            </wp:positionH>
            <wp:positionV relativeFrom="page">
              <wp:posOffset>2556509</wp:posOffset>
            </wp:positionV>
            <wp:extent cx="85344" cy="717804"/>
            <wp:effectExtent l="0" t="0" r="0" b="0"/>
            <wp:wrapNone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71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3286505</wp:posOffset>
            </wp:positionH>
            <wp:positionV relativeFrom="page">
              <wp:posOffset>2556509</wp:posOffset>
            </wp:positionV>
            <wp:extent cx="85344" cy="717804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71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3516629</wp:posOffset>
            </wp:positionH>
            <wp:positionV relativeFrom="page">
              <wp:posOffset>2556509</wp:posOffset>
            </wp:positionV>
            <wp:extent cx="85344" cy="717804"/>
            <wp:effectExtent l="0" t="0" r="0" b="0"/>
            <wp:wrapNone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5344" cy="717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3236976</wp:posOffset>
            </wp:positionH>
            <wp:positionV relativeFrom="page">
              <wp:posOffset>2760726</wp:posOffset>
            </wp:positionV>
            <wp:extent cx="30479" cy="466343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79" cy="466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3288791</wp:posOffset>
            </wp:positionH>
            <wp:positionV relativeFrom="page">
              <wp:posOffset>2747772</wp:posOffset>
            </wp:positionV>
            <wp:extent cx="109728" cy="626364"/>
            <wp:effectExtent l="0" t="0" r="0" b="0"/>
            <wp:wrapNone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3955541</wp:posOffset>
            </wp:positionH>
            <wp:positionV relativeFrom="page">
              <wp:posOffset>2747772</wp:posOffset>
            </wp:positionV>
            <wp:extent cx="169926" cy="626364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9926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3691890</wp:posOffset>
            </wp:positionH>
            <wp:positionV relativeFrom="page">
              <wp:posOffset>2759964</wp:posOffset>
            </wp:positionV>
            <wp:extent cx="48767" cy="470916"/>
            <wp:effectExtent l="0" t="0" r="0" b="0"/>
            <wp:wrapNone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767" cy="470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3749802</wp:posOffset>
            </wp:positionH>
            <wp:positionV relativeFrom="page">
              <wp:posOffset>2747772</wp:posOffset>
            </wp:positionV>
            <wp:extent cx="109728" cy="626364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9728" cy="6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0" allowOverlap="1">
            <wp:simplePos x="0" y="0"/>
            <wp:positionH relativeFrom="page">
              <wp:posOffset>4623815</wp:posOffset>
            </wp:positionH>
            <wp:positionV relativeFrom="page">
              <wp:posOffset>3130295</wp:posOffset>
            </wp:positionV>
            <wp:extent cx="313944" cy="686562"/>
            <wp:effectExtent l="0" t="0" r="0" b="0"/>
            <wp:wrapNone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13944" cy="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4937759</wp:posOffset>
            </wp:positionH>
            <wp:positionV relativeFrom="page">
              <wp:posOffset>3574542</wp:posOffset>
            </wp:positionV>
            <wp:extent cx="60959" cy="242316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0959" cy="242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3694938</wp:posOffset>
            </wp:positionH>
            <wp:positionV relativeFrom="page">
              <wp:posOffset>2556509</wp:posOffset>
            </wp:positionV>
            <wp:extent cx="176784" cy="361188"/>
            <wp:effectExtent l="0" t="0" r="0" b="0"/>
            <wp:wrapNone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6784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5" style="width:114.1pt;height:68.8pt;margin-top:229.14pt;margin-left:245.88pt;mso-position-horizontal-relative:page;mso-position-vertical-relative:page;position:absolute;z-index:251728896" coordorigin="0,0" coordsize="2281,1376" o:allowincell="f" path="m686,7l686,914l2274,914m346,7l346,1141l2274,1141m7,7l7,1367l2274,1367m1480,7l1480,460l2160,460m2274,460l2160,460m1027,7l1027,687l1707,687m2274,687l1707,687e" filled="f" strokecolor="black" strokeweight="0.72pt">
            <v:stroke endcap="round"/>
          </v:shape>
        </w:pict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1642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018</w:t>
      </w:r>
    </w:p>
    <w:p>
      <w:pPr>
        <w:spacing w:before="243" w:line="274" w:lineRule="auto"/>
        <w:ind w:left="126" w:right="118" w:hanging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矢量数据交换时需同时提交分类代码说明文件。如待交换的矢量数据的分类代码参照行业标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准则可提交该</w:t>
      </w:r>
      <w:r>
        <w:rPr>
          <w:rFonts w:ascii="SimSun" w:eastAsia="SimSun" w:hAnsi="SimSun" w:cs="SimSun"/>
          <w:spacing w:val="-7"/>
          <w:sz w:val="21"/>
          <w:szCs w:val="21"/>
        </w:rPr>
        <w:t>行</w:t>
      </w:r>
      <w:r>
        <w:rPr>
          <w:rFonts w:ascii="SimSun" w:eastAsia="SimSun" w:hAnsi="SimSun" w:cs="SimSun"/>
          <w:spacing w:val="-4"/>
          <w:sz w:val="21"/>
          <w:szCs w:val="21"/>
        </w:rPr>
        <w:t>业标准。在没有相关行业标准的情况下，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矢量数据分类代码说明文件采取如下方式进行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分</w:t>
      </w:r>
      <w:r>
        <w:rPr>
          <w:rFonts w:ascii="SimSun" w:eastAsia="SimSun" w:hAnsi="SimSun" w:cs="SimSun"/>
          <w:spacing w:val="-3"/>
          <w:sz w:val="21"/>
          <w:szCs w:val="21"/>
        </w:rPr>
        <w:t>类和代码结构的说明。</w:t>
      </w:r>
    </w:p>
    <w:p>
      <w:pPr>
        <w:spacing w:line="282" w:lineRule="auto"/>
        <w:ind w:left="126" w:right="118" w:hanging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5.2.3.2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采用线分类法将要素类型分为门类、亚门类、大类、中类</w:t>
      </w:r>
      <w:r>
        <w:rPr>
          <w:rFonts w:ascii="SimSun" w:eastAsia="SimSun" w:hAnsi="SimSun" w:cs="SimSun"/>
          <w:sz w:val="21"/>
          <w:szCs w:val="21"/>
        </w:rPr>
        <w:t>和小类五个层次，并规定了门类、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亚门</w:t>
      </w:r>
      <w:r>
        <w:rPr>
          <w:rFonts w:ascii="SimSun" w:eastAsia="SimSun" w:hAnsi="SimSun" w:cs="SimSun"/>
          <w:spacing w:val="-13"/>
          <w:sz w:val="21"/>
          <w:szCs w:val="21"/>
        </w:rPr>
        <w:t>类</w:t>
      </w:r>
      <w:r>
        <w:rPr>
          <w:rFonts w:ascii="SimSun" w:eastAsia="SimSun" w:hAnsi="SimSun" w:cs="SimSun"/>
          <w:spacing w:val="-8"/>
          <w:sz w:val="21"/>
          <w:szCs w:val="21"/>
        </w:rPr>
        <w:t>、大类、中类的分类名称，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小类宜根据应用需求进行细分和命名，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分类规则与命名规则依据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GB/T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25529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执行。具体代码结构见图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4。</w:t>
      </w:r>
    </w:p>
    <w:p>
      <w:pPr>
        <w:spacing w:before="166" w:line="382" w:lineRule="exact"/>
        <w:ind w:firstLine="4861"/>
        <w:textAlignment w:val="center"/>
      </w:pPr>
      <w:r>
        <w:drawing>
          <wp:inline distT="0" distB="0" distL="0" distR="0">
            <wp:extent cx="445007" cy="24231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45007" cy="242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" w:line="569" w:lineRule="exact"/>
        <w:ind w:firstLine="5994"/>
        <w:textAlignment w:val="center"/>
      </w:pPr>
      <w:r>
        <w:drawing>
          <wp:inline distT="0" distB="0" distL="0" distR="0">
            <wp:extent cx="237743" cy="361188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7" w:line="221" w:lineRule="auto"/>
        <w:ind w:left="3385"/>
        <w:rPr>
          <w:rFonts w:ascii="SimHei" w:eastAsia="SimHei" w:hAnsi="SimHei" w:cs="SimHei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6" type="#_x0000_t202" style="width:16.75pt;height:14.65pt;margin-top:0.89pt;margin-left:142.59pt;position:absolute;z-index:251718656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7"/>
                      <w:sz w:val="21"/>
                      <w:szCs w:val="21"/>
                    </w:rPr>
                    <w:t>图4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1"/>
          <w:sz w:val="21"/>
          <w:szCs w:val="21"/>
        </w:rPr>
        <w:t>行业专题矢量数据要</w:t>
      </w:r>
      <w:r>
        <w:rPr>
          <w:rFonts w:ascii="SimHei" w:eastAsia="SimHei" w:hAnsi="SimHei" w:cs="SimHei"/>
          <w:sz w:val="21"/>
          <w:szCs w:val="21"/>
        </w:rPr>
        <w:t>素分类代码结构</w:t>
      </w:r>
    </w:p>
    <w:p>
      <w:pPr>
        <w:spacing w:before="217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数据集与属性字段命名</w:t>
      </w:r>
    </w:p>
    <w:p>
      <w:pPr>
        <w:spacing w:before="217" w:line="274" w:lineRule="auto"/>
        <w:ind w:left="119" w:right="118" w:firstLine="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>.4.1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数据集代表一类要素的集合，数据集名称和属性字段命名要规范统一，并用别名记录中文名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称。其中</w:t>
      </w:r>
      <w:r>
        <w:rPr>
          <w:rFonts w:ascii="SimSun" w:eastAsia="SimSun" w:hAnsi="SimSun" w:cs="SimSun"/>
          <w:spacing w:val="-9"/>
          <w:sz w:val="21"/>
          <w:szCs w:val="21"/>
        </w:rPr>
        <w:t>字</w:t>
      </w:r>
      <w:r>
        <w:rPr>
          <w:rFonts w:ascii="SimSun" w:eastAsia="SimSun" w:hAnsi="SimSun" w:cs="SimSun"/>
          <w:spacing w:val="-6"/>
          <w:sz w:val="21"/>
          <w:szCs w:val="21"/>
        </w:rPr>
        <w:t>段命名要求采用英文或英文缩写，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特殊情况可采用汉语拼音或首字母组合，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统一使用大写字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母。当</w:t>
      </w:r>
      <w:r>
        <w:rPr>
          <w:rFonts w:ascii="SimSun" w:eastAsia="SimSun" w:hAnsi="SimSun" w:cs="SimSun"/>
          <w:spacing w:val="-13"/>
          <w:sz w:val="21"/>
          <w:szCs w:val="21"/>
        </w:rPr>
        <w:t>同</w:t>
      </w:r>
      <w:r>
        <w:rPr>
          <w:rFonts w:ascii="SimSun" w:eastAsia="SimSun" w:hAnsi="SimSun" w:cs="SimSun"/>
          <w:spacing w:val="-8"/>
          <w:sz w:val="21"/>
          <w:szCs w:val="21"/>
        </w:rPr>
        <w:t>一个表中需存在多个同样语义的多个属性字段时，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字段名增加两位顺序号，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例如：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路段名称的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字段名为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NAME</w:t>
      </w:r>
      <w:r>
        <w:rPr>
          <w:rFonts w:ascii="SimSun" w:eastAsia="SimSun" w:hAnsi="SimSun" w:cs="SimSun"/>
          <w:spacing w:val="-8"/>
          <w:sz w:val="21"/>
          <w:szCs w:val="21"/>
        </w:rPr>
        <w:t>；当</w:t>
      </w:r>
      <w:r>
        <w:rPr>
          <w:rFonts w:ascii="SimSun" w:eastAsia="SimSun" w:hAnsi="SimSun" w:cs="SimSun"/>
          <w:spacing w:val="-5"/>
          <w:sz w:val="21"/>
          <w:szCs w:val="21"/>
        </w:rPr>
        <w:t>路</w:t>
      </w:r>
      <w:r>
        <w:rPr>
          <w:rFonts w:ascii="SimSun" w:eastAsia="SimSun" w:hAnsi="SimSun" w:cs="SimSun"/>
          <w:spacing w:val="-4"/>
          <w:sz w:val="21"/>
          <w:szCs w:val="21"/>
        </w:rPr>
        <w:t>段存在多个名称时，该共享路段的名称字段依次命名为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NAME，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NAME01，NAME02，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NAME</w:t>
      </w:r>
      <w:r>
        <w:rPr>
          <w:rFonts w:ascii="SimSun" w:eastAsia="SimSun" w:hAnsi="SimSun" w:cs="SimSun"/>
          <w:spacing w:val="-1"/>
          <w:sz w:val="21"/>
          <w:szCs w:val="21"/>
        </w:rPr>
        <w:t>03……。字段如果是标准的地址规范，应参考国家、行业等标准。</w:t>
      </w:r>
    </w:p>
    <w:p>
      <w:pPr>
        <w:spacing w:before="1" w:line="219" w:lineRule="auto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5.2.</w:t>
      </w:r>
      <w:r>
        <w:rPr>
          <w:rFonts w:ascii="SimHei" w:eastAsia="SimHei" w:hAnsi="SimHei" w:cs="SimHei"/>
          <w:spacing w:val="-2"/>
          <w:sz w:val="21"/>
          <w:szCs w:val="21"/>
        </w:rPr>
        <w:t>4.2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常用字段名称命名及类型规范见附录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A。</w:t>
      </w:r>
    </w:p>
    <w:p>
      <w:pPr>
        <w:spacing w:before="218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栅格数据</w:t>
      </w:r>
    </w:p>
    <w:p>
      <w:pPr>
        <w:spacing w:before="216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5.3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规范性栅格数据</w:t>
      </w:r>
    </w:p>
    <w:p>
      <w:pPr>
        <w:spacing w:before="215" w:line="286" w:lineRule="auto"/>
        <w:ind w:left="125" w:right="118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规范性栅格数据是指采用符合GB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21139要求的数学基础，满足Geo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TIF，IMG等20多种常用栅格数据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格式要求，具有坐标和分辨率等描述信息或文件，并且能够提供元数据必填项的栅格</w:t>
      </w:r>
      <w:r>
        <w:rPr>
          <w:rFonts w:ascii="SimSun" w:eastAsia="SimSun" w:hAnsi="SimSun" w:cs="SimSun"/>
          <w:sz w:val="21"/>
          <w:szCs w:val="21"/>
        </w:rPr>
        <w:t>数据成果。</w:t>
      </w:r>
    </w:p>
    <w:p>
      <w:pPr>
        <w:spacing w:before="129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元数据必填项</w:t>
      </w:r>
    </w:p>
    <w:p>
      <w:pPr>
        <w:spacing w:before="216" w:line="468" w:lineRule="exact"/>
        <w:ind w:left="5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栅格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数据的元数据必填项除了表1中规定的元数据必填项内容之外，还应包括表4的内容：</w:t>
      </w:r>
    </w:p>
    <w:p>
      <w:pPr>
        <w:spacing w:before="1" w:line="220" w:lineRule="auto"/>
        <w:ind w:left="349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影像数据元数</w:t>
      </w:r>
      <w:r>
        <w:rPr>
          <w:rFonts w:ascii="SimHei" w:eastAsia="SimHei" w:hAnsi="SimHei" w:cs="SimHei"/>
          <w:sz w:val="21"/>
          <w:szCs w:val="21"/>
        </w:rPr>
        <w:t>据必填项</w:t>
      </w:r>
    </w:p>
    <w:p>
      <w:pPr>
        <w:spacing w:line="167" w:lineRule="exact"/>
      </w:pPr>
    </w:p>
    <w:tbl>
      <w:tblPr>
        <w:tblStyle w:val="TableNormal7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67"/>
        <w:gridCol w:w="1982"/>
        <w:gridCol w:w="4228"/>
        <w:gridCol w:w="2398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967" w:type="dxa"/>
            <w:tcBorders>
              <w:left w:val="single" w:sz="6" w:space="0" w:color="000000"/>
            </w:tcBorders>
            <w:vAlign w:val="top"/>
          </w:tcPr>
          <w:p>
            <w:pPr>
              <w:spacing w:before="201" w:line="222" w:lineRule="auto"/>
              <w:ind w:left="2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序号</w:t>
            </w:r>
          </w:p>
        </w:tc>
        <w:tc>
          <w:tcPr>
            <w:tcW w:w="1982" w:type="dxa"/>
            <w:vAlign w:val="top"/>
          </w:tcPr>
          <w:p>
            <w:pPr>
              <w:spacing w:before="201" w:line="220" w:lineRule="auto"/>
              <w:ind w:left="7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描述项</w:t>
            </w:r>
          </w:p>
        </w:tc>
        <w:tc>
          <w:tcPr>
            <w:tcW w:w="4228" w:type="dxa"/>
            <w:vAlign w:val="top"/>
          </w:tcPr>
          <w:p>
            <w:pPr>
              <w:spacing w:before="201" w:line="220" w:lineRule="auto"/>
              <w:ind w:left="13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元数据标准描述项</w:t>
            </w:r>
          </w:p>
        </w:tc>
        <w:tc>
          <w:tcPr>
            <w:tcW w:w="2398" w:type="dxa"/>
            <w:tcBorders>
              <w:right w:val="single" w:sz="6" w:space="0" w:color="000000"/>
            </w:tcBorders>
            <w:vAlign w:val="top"/>
          </w:tcPr>
          <w:p>
            <w:pPr>
              <w:spacing w:before="201" w:line="222" w:lineRule="auto"/>
              <w:ind w:left="7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备注及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示例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https://d.book118.com/715103313332011041</w:t>
        </w:r>
      </w:hyperlink>
    </w:p>
    <w:p/>
    <w:sectPr>
      <w:footerReference w:type="default" r:id="rId50"/>
      <w:pgSz w:w="11905" w:h="16840"/>
      <w:pgMar w:top="1406" w:right="1013" w:bottom="1315" w:left="1300" w:header="0" w:footer="1135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918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918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image" Target="media/image1.png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image" Target="media/image10.png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footer" Target="footer1.xml" /><Relationship Id="rId40" Type="http://schemas.openxmlformats.org/officeDocument/2006/relationships/footer" Target="footer14.xml" /><Relationship Id="rId41" Type="http://schemas.openxmlformats.org/officeDocument/2006/relationships/footer" Target="footer15.xml" /><Relationship Id="rId42" Type="http://schemas.openxmlformats.org/officeDocument/2006/relationships/image" Target="media/image24.png" /><Relationship Id="rId43" Type="http://schemas.openxmlformats.org/officeDocument/2006/relationships/image" Target="media/image25.png" /><Relationship Id="rId44" Type="http://schemas.openxmlformats.org/officeDocument/2006/relationships/image" Target="media/image26.png" /><Relationship Id="rId45" Type="http://schemas.openxmlformats.org/officeDocument/2006/relationships/image" Target="media/image27.png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hyperlink" Target="https://d.book118.com/715103313332011041" TargetMode="External" /><Relationship Id="rId5" Type="http://schemas.openxmlformats.org/officeDocument/2006/relationships/footer" Target="footer2.xml" /><Relationship Id="rId50" Type="http://schemas.openxmlformats.org/officeDocument/2006/relationships/footer" Target="footer16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&lt;4D6963726F736F667420576F7264202D2031363432B5D8C0EDD0C5CFA2B9ABB9B2B7FECEF1BFD5BCE4CAFDBEDDBDBBBBBBBBF9B1BEB9E6D4F22E746373&gt;</dc:title>
  <dc:creator>lllll</dc:creator>
  <cp:revision>0</cp:revision>
  <dcterms:created xsi:type="dcterms:W3CDTF">2022-02-16T19:10:04Z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2023-05-14T20:59:38Z</vt:filetime>
  </property>
  <property fmtid="{D5CDD505-2E9C-101B-9397-08002B2CF9AE}" pid="3" name="CRO">
    <vt:lpwstr>wqlLaW5nc29mdCBQREYgdG8gV1BTIDgw</vt:lpwstr>
  </property>
</Properties>
</file>