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上海梅林</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三、上海梅林应收账款现状分析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（一）上海梅林的背景介绍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（二）上海梅林财务状况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（三）上海梅林应收账款的现状分析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四、上海梅林应收账款的风险分析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五、上海梅林应收账款的风险防范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30473"/>
      <w:bookmarkStart w:id="1" w:name="_Toc26478"/>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14573"/>
      <w:bookmarkStart w:id="3" w:name="_Toc9009"/>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87"/>
      <w:bookmarkStart w:id="5" w:name="_Toc7620"/>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肉类罐头食品</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(徐冰静, 李阳,2022)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肉类罐头食品</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肉类罐头食品</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我国肉类罐头食品</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肉类罐头食品</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(张沛玲, 王翔宇, 赵冬,2021)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肉类罐头食品</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肉类罐头食品</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肉类罐头食品</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肉类罐头食品</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肉类罐头食品</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(刘欣怡 ,陈海涛,2021)</w:t>
      </w:r>
      <w:r>
        <w:rPr>
          <w:rFonts w:ascii="幼圆" w:eastAsia="幼圆" w:hAnsi="幼圆" w:cs="幼圆" w:hint="eastAsia"/>
          <w:sz w:val="24"/>
          <w:szCs w:val="24"/>
        </w:rPr>
        <w:t>。很多大型</w:t>
      </w:r>
      <w:r>
        <w:rPr>
          <w:rFonts w:ascii="幼圆" w:eastAsia="幼圆" w:hAnsi="幼圆" w:cs="幼圆" w:hint="eastAsia"/>
          <w:sz w:val="24"/>
          <w:szCs w:val="24"/>
          <w:lang w:eastAsia="zh-CN"/>
        </w:rPr>
        <w:t>肉类罐头食品</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肉类罐头食品</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肉类罐头食品</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(周新雨 ,吴晓明 ,许思)</w:t>
      </w:r>
      <w:r>
        <w:rPr>
          <w:rFonts w:ascii="幼圆" w:eastAsia="幼圆" w:hAnsi="幼圆" w:cs="幼圆" w:hint="eastAsia"/>
          <w:sz w:val="24"/>
          <w:szCs w:val="24"/>
        </w:rPr>
        <w:t>。针对于此，本文以</w:t>
      </w:r>
      <w:r>
        <w:rPr>
          <w:rFonts w:ascii="幼圆" w:eastAsia="幼圆" w:hAnsi="幼圆" w:cs="幼圆" w:hint="eastAsia"/>
          <w:sz w:val="24"/>
          <w:szCs w:val="24"/>
          <w:lang w:eastAsia="zh-CN"/>
        </w:rPr>
        <w:t>梅林食品肉类罐头食品</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上海梅林</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上海梅林</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5191"/>
      <w:bookmarkStart w:id="7" w:name="_Toc15269"/>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肉类罐头食品</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肉类罐头食品</w:t>
      </w:r>
      <w:r>
        <w:rPr>
          <w:rFonts w:ascii="幼圆" w:eastAsia="幼圆" w:hAnsi="幼圆" w:cs="幼圆" w:hint="eastAsia"/>
          <w:sz w:val="24"/>
          <w:szCs w:val="24"/>
        </w:rPr>
        <w:t>市场，导致</w:t>
      </w:r>
      <w:r>
        <w:rPr>
          <w:rFonts w:ascii="幼圆" w:eastAsia="幼圆" w:hAnsi="幼圆" w:cs="幼圆" w:hint="eastAsia"/>
          <w:sz w:val="24"/>
          <w:szCs w:val="24"/>
          <w:lang w:eastAsia="zh-CN"/>
        </w:rPr>
        <w:t>肉类罐头食品</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上海梅林</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上海梅林</w:t>
      </w: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上海梅林公司</w:t>
      </w: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(杨晨曦 ,黄蕾)</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9627"/>
      <w:bookmarkStart w:id="9" w:name="_Toc13215"/>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125"/>
      <w:bookmarkStart w:id="11" w:name="_Toc10024"/>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肉类罐头食品</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(孙旭东 ,郑雅雯 ,朱林杰)</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钟秋燕, 曹建华, 谢宇</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彭心怡, 曾丽华</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肖宇轩, 田雅晴 ,崔亮</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sectPr>
          <w:headerReference w:type="default" r:id="rId10"/>
          <w:footerReference w:type="default" r:id="rId11"/>
          <w:type w:val="nextPage"/>
          <w:pgSz w:w="11906" w:h="16838"/>
          <w:pgMar w:top="1701" w:right="1418" w:bottom="1418" w:left="1701" w:header="851" w:footer="992" w:gutter="0"/>
          <w:pgNumType w:start="4"/>
          <w:cols w:space="708"/>
          <w:titlePg w:val="0"/>
          <w:docGrid w:type="lines" w:linePitch="312" w:charSpace="0"/>
        </w:sectPr>
      </w:pPr>
      <w:r>
        <w:rPr>
          <w:rFonts w:ascii="幼圆" w:eastAsia="幼圆" w:hAnsi="幼圆" w:cs="幼圆" w:hint="eastAsia"/>
          <w:sz w:val="24"/>
          <w:szCs w:val="24"/>
          <w:lang w:val="en-US" w:eastAsia="zh-CN"/>
        </w:rPr>
        <w:t>康俊豪, 钱艳丽</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梁彤彤 ,崔浩然 ,贾成</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沈若娜 ,任博文 ,郝晓雯</w:t>
      </w:r>
      <w:r>
        <w:rPr>
          <w:rFonts w:ascii="幼圆" w:eastAsia="幼圆" w:hAnsi="幼圆" w:cs="幼圆" w:hint="eastAsia"/>
          <w:sz w:val="24"/>
          <w:szCs w:val="24"/>
        </w:rPr>
        <w:t>（</w:t>
      </w:r>
      <w:r>
        <w:rPr>
          <w:rFonts w:ascii="幼圆" w:eastAsia="幼圆" w:hAnsi="幼圆" w:cs="幼圆" w:hint="eastAsia"/>
          <w:sz w:val="24"/>
          <w:szCs w:val="24"/>
          <w:lang w:eastAsia="zh-CN"/>
        </w:rPr>
        <w:t>2022</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提出了企业应充分了解应收账款风险管理的重要性，了解销售活动中产生的应收账款在经营和管理中可能出现的一些问题和影响因素，并分析和解决可能发现的一些风险问题，不断加强对企业应收账款的管理，有效地降低风险概率。</w:t>
      </w:r>
    </w:p>
    <w:p>
      <w:pPr>
        <w:spacing w:line="360" w:lineRule="auto"/>
        <w:ind w:firstLine="480" w:firstLineChars="200"/>
        <w:outlineLvl w:val="2"/>
        <w:rPr>
          <w:rFonts w:ascii="幼圆" w:eastAsia="幼圆" w:hAnsi="幼圆" w:cs="幼圆" w:hint="eastAsia"/>
          <w:b/>
          <w:bCs/>
          <w:sz w:val="24"/>
        </w:rPr>
      </w:pPr>
      <w:bookmarkStart w:id="12" w:name="_Toc1569"/>
      <w:bookmarkStart w:id="13" w:name="_Toc27415"/>
      <w:r>
        <w:rPr>
          <w:rFonts w:ascii="幼圆" w:eastAsia="幼圆" w:hAnsi="幼圆" w:cs="幼圆" w:hint="eastAsia"/>
          <w:b/>
          <w:bCs/>
          <w:sz w:val="24"/>
          <w:lang w:val="en-US" w:eastAsia="zh-CN"/>
        </w:rPr>
        <w:t>2.国外研究现状</w:t>
      </w:r>
      <w:bookmarkEnd w:id="12"/>
      <w:bookmarkEnd w:id="13"/>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Tsvetanova和Yulia</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2014</w:t>
      </w:r>
      <w:r>
        <w:rPr>
          <w:rFonts w:ascii="幼圆" w:eastAsia="幼圆" w:hAnsi="幼圆" w:cs="幼圆" w:hint="eastAsia"/>
          <w:sz w:val="24"/>
          <w:szCs w:val="24"/>
          <w:lang w:eastAsia="zh-CN"/>
        </w:rPr>
        <w:t>）</w:t>
      </w:r>
      <w:r>
        <w:rPr>
          <w:rFonts w:ascii="幼圆" w:eastAsia="幼圆" w:hAnsi="幼圆" w:cs="幼圆" w:hint="eastAsia"/>
          <w:sz w:val="24"/>
          <w:szCs w:val="24"/>
        </w:rPr>
        <w:t>指出，在应收账款的风险管理中，内部审计的作用往往影响力较小且容易被忽视，公司加强内部审计在内部控制中的作用和执行不能使其管理流于形式</w:t>
      </w:r>
      <w:r>
        <w:rPr>
          <w:rFonts w:ascii="幼圆" w:eastAsia="幼圆" w:hAnsi="幼圆" w:cs="幼圆" w:hint="eastAsia"/>
          <w:sz w:val="24"/>
          <w:szCs w:val="24"/>
          <w:lang w:val="en-US" w:eastAsia="zh-CN"/>
        </w:rPr>
        <w:t>(董明凯, 姜宇)</w:t>
      </w:r>
      <w:r>
        <w:rPr>
          <w:rFonts w:ascii="幼圆" w:eastAsia="幼圆" w:hAnsi="幼圆" w:cs="幼圆" w:hint="eastAsia"/>
          <w:sz w:val="24"/>
          <w:szCs w:val="24"/>
        </w:rPr>
        <w:t>。Ala 'a Adden</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2019</w:t>
      </w:r>
      <w:r>
        <w:rPr>
          <w:rFonts w:ascii="幼圆" w:eastAsia="幼圆" w:hAnsi="幼圆" w:cs="幼圆" w:hint="eastAsia"/>
          <w:sz w:val="24"/>
          <w:szCs w:val="24"/>
          <w:lang w:eastAsia="zh-CN"/>
        </w:rPr>
        <w:t>）</w:t>
      </w:r>
      <w:r>
        <w:rPr>
          <w:rFonts w:ascii="幼圆" w:eastAsia="幼圆" w:hAnsi="幼圆" w:cs="幼圆" w:hint="eastAsia"/>
          <w:sz w:val="24"/>
          <w:szCs w:val="24"/>
        </w:rPr>
        <w:t>认为公司的应收账款管理应该是一个动态的过程，有必要从前、中、后三个维度加强应收账款管理。并做好风险预测，降低应收账款风险，提高应收账款质量。Salima Yassia Paul</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2020</w:t>
      </w:r>
      <w:r>
        <w:rPr>
          <w:rFonts w:ascii="幼圆" w:eastAsia="幼圆" w:hAnsi="幼圆" w:cs="幼圆" w:hint="eastAsia"/>
          <w:sz w:val="24"/>
          <w:szCs w:val="24"/>
          <w:lang w:eastAsia="zh-CN"/>
        </w:rPr>
        <w:t>）</w:t>
      </w:r>
      <w:r>
        <w:rPr>
          <w:rFonts w:ascii="幼圆" w:eastAsia="幼圆" w:hAnsi="幼圆" w:cs="幼圆" w:hint="eastAsia"/>
          <w:sz w:val="24"/>
          <w:szCs w:val="24"/>
        </w:rPr>
        <w:t>整理了2007 - 2011年制造业应收账款数据，并用相关理论进行了检验。研究发现，应收账款风险是大多数企业造成的因素是内部控制制度不完善，如销售部门、财务部门职责范围不明确等</w:t>
      </w:r>
      <w:r>
        <w:rPr>
          <w:rFonts w:ascii="幼圆" w:eastAsia="幼圆" w:hAnsi="幼圆" w:cs="幼圆" w:hint="eastAsia"/>
          <w:sz w:val="24"/>
          <w:szCs w:val="24"/>
          <w:lang w:val="en-US" w:eastAsia="zh-CN"/>
        </w:rPr>
        <w:t>(唐亦婷 ,潘阳文, 穆雅)</w:t>
      </w:r>
      <w:r>
        <w:rPr>
          <w:rFonts w:ascii="幼圆" w:eastAsia="幼圆" w:hAnsi="幼圆" w:cs="幼圆" w:hint="eastAsia"/>
          <w:sz w:val="24"/>
          <w:szCs w:val="24"/>
        </w:rPr>
        <w:t>。</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Haibo Yao，Yiling Deng（</w:t>
      </w:r>
      <w:r>
        <w:rPr>
          <w:rFonts w:ascii="幼圆" w:eastAsia="幼圆" w:hAnsi="幼圆" w:cs="幼圆" w:hint="eastAsia"/>
          <w:sz w:val="24"/>
          <w:szCs w:val="24"/>
          <w:lang w:eastAsia="zh-CN"/>
        </w:rPr>
        <w:t>2020</w:t>
      </w:r>
      <w:r>
        <w:rPr>
          <w:rFonts w:ascii="幼圆" w:eastAsia="幼圆" w:hAnsi="幼圆" w:cs="幼圆" w:hint="eastAsia"/>
          <w:sz w:val="24"/>
          <w:szCs w:val="24"/>
        </w:rPr>
        <w:t>）指出应收账款风险管控措施必须得对企业自身的各种情况进行定位分析，以达到提高企业自身的综合竞争力的目的，并通过内外部的因素的相互配合，减少应收账款风险发生的概率</w:t>
      </w:r>
      <w:r>
        <w:rPr>
          <w:rFonts w:ascii="幼圆" w:eastAsia="幼圆" w:hAnsi="幼圆" w:cs="幼圆" w:hint="eastAsia"/>
          <w:sz w:val="24"/>
          <w:szCs w:val="24"/>
          <w:lang w:val="en-US" w:eastAsia="zh-CN"/>
        </w:rPr>
        <w:t>(温家伟 ,熊晓慧, 陆星)</w:t>
      </w:r>
      <w:r>
        <w:rPr>
          <w:rFonts w:ascii="幼圆" w:eastAsia="幼圆" w:hAnsi="幼圆" w:cs="幼圆" w:hint="eastAsia"/>
          <w:sz w:val="24"/>
          <w:szCs w:val="24"/>
        </w:rPr>
        <w:t>。Wang  Mengyu（</w:t>
      </w:r>
      <w:r>
        <w:rPr>
          <w:rFonts w:ascii="幼圆" w:eastAsia="幼圆" w:hAnsi="幼圆" w:cs="幼圆" w:hint="eastAsia"/>
          <w:sz w:val="24"/>
          <w:szCs w:val="24"/>
          <w:lang w:eastAsia="zh-CN"/>
        </w:rPr>
        <w:t>2021</w:t>
      </w:r>
      <w:r>
        <w:rPr>
          <w:rFonts w:ascii="幼圆" w:eastAsia="幼圆" w:hAnsi="幼圆" w:cs="幼圆" w:hint="eastAsia"/>
          <w:sz w:val="24"/>
          <w:szCs w:val="24"/>
        </w:rPr>
        <w:t>）指出，应收账款可以加速资金周转，提高销售能力，降低财务风险，同时，应收账款拖欠会造成坏账损失、资金丧失时间价值以及虚增企业的利润等风险的产生，因此要建立一个完善的风险防范体系对企业来说是至关重要的。Weiwei Huang（</w:t>
      </w:r>
      <w:r>
        <w:rPr>
          <w:rFonts w:ascii="幼圆" w:eastAsia="幼圆" w:hAnsi="幼圆" w:cs="幼圆" w:hint="eastAsia"/>
          <w:sz w:val="24"/>
          <w:szCs w:val="24"/>
          <w:lang w:eastAsia="zh-CN"/>
        </w:rPr>
        <w:t>2021</w:t>
      </w:r>
      <w:r>
        <w:rPr>
          <w:rFonts w:ascii="幼圆" w:eastAsia="幼圆" w:hAnsi="幼圆" w:cs="幼圆" w:hint="eastAsia"/>
          <w:sz w:val="24"/>
          <w:szCs w:val="24"/>
        </w:rPr>
        <w:t>）认为，企业在发展过程中不可避免地会面临内部和外部风险。内部风险即公司的管理是可以避免的，而外部风险则是无法控制的</w:t>
      </w:r>
      <w:r>
        <w:rPr>
          <w:rFonts w:ascii="幼圆" w:eastAsia="幼圆" w:hAnsi="幼圆" w:cs="幼圆" w:hint="eastAsia"/>
          <w:sz w:val="24"/>
          <w:szCs w:val="24"/>
          <w:lang w:val="en-US" w:eastAsia="zh-CN"/>
        </w:rPr>
        <w:t>(雷阳洋 ,庞晓莉 ,万鹏飞,2022)</w:t>
      </w:r>
      <w:r>
        <w:rPr>
          <w:rFonts w:ascii="幼圆" w:eastAsia="幼圆" w:hAnsi="幼圆" w:cs="幼圆" w:hint="eastAsia"/>
          <w:sz w:val="24"/>
          <w:szCs w:val="24"/>
        </w:rPr>
        <w:t>。公司应该关注利润，而不是追求利润最大化，努力保持健康的现金流和轻资产经营。因此，公司应加强应收账款管理的合规性和风险控制能力。</w:t>
      </w:r>
    </w:p>
    <w:p>
      <w:pPr>
        <w:spacing w:line="360" w:lineRule="auto"/>
        <w:ind w:firstLine="560" w:firstLineChars="200"/>
        <w:outlineLvl w:val="1"/>
        <w:rPr>
          <w:rFonts w:ascii="幼圆" w:eastAsia="幼圆" w:hAnsi="幼圆" w:cs="幼圆" w:hint="eastAsia"/>
          <w:b/>
          <w:bCs/>
          <w:sz w:val="28"/>
        </w:rPr>
      </w:pPr>
      <w:bookmarkStart w:id="14" w:name="_Toc4470"/>
      <w:bookmarkStart w:id="15" w:name="_Toc18935"/>
      <w:r>
        <w:rPr>
          <w:rFonts w:ascii="幼圆" w:eastAsia="幼圆" w:hAnsi="幼圆" w:cs="幼圆" w:hint="eastAsia"/>
          <w:b/>
          <w:bCs/>
          <w:sz w:val="28"/>
          <w:lang w:val="en-US" w:eastAsia="zh-CN"/>
        </w:rPr>
        <w:t>（三）研究思路</w:t>
      </w:r>
      <w:bookmarkEnd w:id="14"/>
      <w:bookmarkEnd w:id="15"/>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本文从应收账款风险衡量与风险防范的角度上对</w:t>
      </w:r>
      <w:r>
        <w:rPr>
          <w:rFonts w:ascii="幼圆" w:eastAsia="幼圆" w:hAnsi="幼圆" w:cs="幼圆" w:hint="eastAsia"/>
          <w:sz w:val="24"/>
          <w:szCs w:val="24"/>
          <w:lang w:eastAsia="zh-CN"/>
        </w:rPr>
        <w:t>上海梅林</w:t>
      </w:r>
      <w:r>
        <w:rPr>
          <w:rFonts w:ascii="幼圆" w:eastAsia="幼圆" w:hAnsi="幼圆" w:cs="幼圆" w:hint="eastAsia"/>
          <w:sz w:val="24"/>
          <w:szCs w:val="24"/>
        </w:rPr>
        <w:t>展开研究讨论，准备从以下几个部分展开叙述讨论：</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是对该书首篇文章的主要导论和文章引言，主要内容是重点介绍了本文的主要研究发展背景和研究意义，以及重点简述我国应收账款的风险管理的国内外研究发展趋势现状。</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主要是介绍了应收账款的基础理论和功能，分析了应收账款风险的产生和可能性以及它们对企业的影响。</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https://d.book118.com/715214324213011111</w:t>
        </w:r>
      </w:hyperlink>
    </w:p>
    <w:p>
      <w:pPr>
        <w:numPr>
          <w:ilvl w:val="0"/>
          <w:numId w:val="1"/>
        </w:numPr>
        <w:spacing w:line="360" w:lineRule="auto"/>
        <w:ind w:firstLine="480" w:firstLineChars="200"/>
        <w:jc w:val="left"/>
        <w:rPr>
          <w:rFonts w:ascii="幼圆" w:eastAsia="幼圆" w:hAnsi="幼圆" w:cs="幼圆" w:hint="eastAsia"/>
          <w:sz w:val="24"/>
          <w:szCs w:val="24"/>
        </w:rPr>
      </w:pPr>
    </w:p>
    <w:sectPr>
      <w:headerReference w:type="default" r:id="rId13"/>
      <w:footerReference w:type="default" r:id="rId14"/>
      <w:type w:val="nextPage"/>
      <w:pgSz w:w="11906" w:h="16838"/>
      <w:pgMar w:top="1701" w:right="1418" w:bottom="1418" w:left="1701"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3</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5</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6</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1F224DA1"/>
    <w:rsid w:val="1F2F2C26"/>
    <w:rsid w:val="209E57FB"/>
    <w:rsid w:val="26040B69"/>
    <w:rsid w:val="511F1FBA"/>
    <w:rsid w:val="5E831ED8"/>
    <w:rsid w:val="65DD69B7"/>
    <w:rsid w:val="797B4E0A"/>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521432421301111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7</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2023-08-26T01:35:34Z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C1E92838471343B1B78BC73236E6F1D0_13</vt:lpwstr>
  </property>
  <property fmtid="{D5CDD505-2E9C-101B-9397-08002B2CF9AE}" pid="3" name="KSOProductBuildVer">
    <vt:lpwstr>2052-12.1.0.15120</vt:lpwstr>
  </property>
</Properties>
</file>