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棕、藤、草制品项目建设总纲及方案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08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_Toc5087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2" w:history="1">
        <w:r>
          <w:rPr>
            <w:rFonts w:ascii="仿宋" w:eastAsia="仿宋" w:hAnsi="仿宋" w:cs="仿宋" w:hint="eastAsia"/>
            <w:lang w:eastAsia="zh-CN"/>
          </w:rPr>
          <w:t>一、棕、藤、草制品项目概论</w:t>
        </w:r>
        <w:r>
          <w:tab/>
        </w:r>
        <w:r>
          <w:fldChar w:fldCharType="begin"/>
        </w:r>
        <w:r>
          <w:instrText xml:space="preserve"> PAGEREF _Toc2212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_Toc1628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7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_Toc11087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3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_Toc2963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_Toc16671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_Toc4707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0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_Toc10770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09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_Toc23809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_Toc16626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9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_Toc7889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_Toc10319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7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_Toc8697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72" w:history="1">
        <w:r>
          <w:rPr>
            <w:rFonts w:ascii="仿宋" w:eastAsia="仿宋" w:hAnsi="仿宋" w:cs="仿宋" w:hint="eastAsia"/>
            <w:lang w:eastAsia="zh-CN"/>
          </w:rPr>
          <w:t>四、环境和生态影响分析</w:t>
        </w:r>
        <w:r>
          <w:tab/>
        </w:r>
        <w:r>
          <w:fldChar w:fldCharType="begin"/>
        </w:r>
        <w:r>
          <w:instrText xml:space="preserve"> PAGEREF _Toc13372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_Toc31391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_Toc32551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_Toc15592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_Toc27205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_Toc5181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76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_Toc3676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2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_Toc19802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_Toc2044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52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_Toc12852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4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_Toc8804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1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_Toc19901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6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_Toc16036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6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_Toc7946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6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_Toc15976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2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_Toc23242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57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_Toc19557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1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_Toc3711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_Toc476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50" w:history="1">
        <w:r>
          <w:rPr>
            <w:rFonts w:ascii="仿宋" w:eastAsia="仿宋" w:hAnsi="仿宋" w:cs="仿宋" w:hint="eastAsia"/>
            <w:lang w:eastAsia="zh-CN"/>
          </w:rPr>
          <w:t>八、项目变更管理</w:t>
        </w:r>
        <w:r>
          <w:tab/>
        </w:r>
        <w:r>
          <w:fldChar w:fldCharType="begin"/>
        </w:r>
        <w:r>
          <w:instrText xml:space="preserve"> PAGEREF _Toc16250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0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_Toc12660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9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_Toc17719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1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_Toc20041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6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_Toc8626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63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_Toc26763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3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_Toc27123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_Toc22612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167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_Toc6167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3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_Toc20493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2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_Toc15002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5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_Toc6935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23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_Toc21223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3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_Toc12943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_Toc1406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37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_Toc24937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3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_Toc4143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6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_Toc14906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72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_Toc24372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2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_Toc29792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4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_Toc8254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_Toc13169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0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_Toc27300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85" w:history="1">
        <w:r>
          <w:rPr>
            <w:rFonts w:ascii="仿宋" w:eastAsia="仿宋" w:hAnsi="仿宋" w:cs="仿宋" w:hint="eastAsia"/>
            <w:lang w:eastAsia="zh-CN"/>
          </w:rPr>
          <w:t>十四、知识产权管理与保护</w:t>
        </w:r>
        <w:r>
          <w:tab/>
        </w:r>
        <w:r>
          <w:fldChar w:fldCharType="begin"/>
        </w:r>
        <w:r>
          <w:instrText xml:space="preserve"> PAGEREF _Toc4885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_Toc3673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_Toc25268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60" w:history="1">
        <w:r>
          <w:rPr>
            <w:rFonts w:ascii="仿宋" w:eastAsia="仿宋" w:hAnsi="仿宋" w:cs="仿宋" w:hint="eastAsia"/>
            <w:lang w:eastAsia="zh-CN"/>
          </w:rPr>
          <w:t>十五、产业协同与集群发展</w:t>
        </w:r>
        <w:r>
          <w:tab/>
        </w:r>
        <w:r>
          <w:fldChar w:fldCharType="begin"/>
        </w:r>
        <w:r>
          <w:instrText xml:space="preserve"> PAGEREF _Toc26460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5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_Toc6055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6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_Toc16816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25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_Toc29125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_Toc31274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5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_Toc28035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97" w:history="1">
        <w:r>
          <w:rPr>
            <w:rFonts w:ascii="仿宋" w:eastAsia="仿宋" w:hAnsi="仿宋" w:cs="仿宋" w:hint="eastAsia"/>
            <w:lang w:eastAsia="zh-CN"/>
          </w:rPr>
          <w:t>十七、法律法规与政策遵循</w:t>
        </w:r>
        <w:r>
          <w:tab/>
        </w:r>
        <w:r>
          <w:fldChar w:fldCharType="begin"/>
        </w:r>
        <w:r>
          <w:instrText xml:space="preserve"> PAGEREF _Toc10897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5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_Toc14345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7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_Toc25577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86" w:history="1">
        <w:r>
          <w:rPr>
            <w:rFonts w:ascii="仿宋" w:eastAsia="仿宋" w:hAnsi="仿宋" w:cs="仿宋" w:hint="eastAsia"/>
            <w:lang w:eastAsia="zh-CN"/>
          </w:rPr>
          <w:t>十八、企业合规与伦理</w:t>
        </w:r>
        <w:r>
          <w:tab/>
        </w:r>
        <w:r>
          <w:fldChar w:fldCharType="begin"/>
        </w:r>
        <w:r>
          <w:instrText xml:space="preserve"> PAGEREF _Toc15586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4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_Toc20444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_Toc25136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_Toc6811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_Toc28563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63" w:history="1">
        <w:r>
          <w:rPr>
            <w:rFonts w:ascii="仿宋" w:eastAsia="仿宋" w:hAnsi="仿宋" w:cs="仿宋" w:hint="eastAsia"/>
            <w:lang w:eastAsia="zh-CN"/>
          </w:rPr>
          <w:t>十九、合作与交流机制建立</w:t>
        </w:r>
        <w:r>
          <w:tab/>
        </w:r>
        <w:r>
          <w:fldChar w:fldCharType="begin"/>
        </w:r>
        <w:r>
          <w:instrText xml:space="preserve"> PAGEREF _Toc20663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1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_Toc15641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4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_Toc30904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08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12"/>
      <w:r>
        <w:rPr>
          <w:rFonts w:ascii="仿宋" w:eastAsia="仿宋" w:hAnsi="仿宋" w:cs="仿宋" w:hint="eastAsia"/>
          <w:sz w:val="28"/>
          <w:lang w:eastAsia="zh-CN"/>
        </w:rPr>
        <w:t>一、棕、藤、草制品项目概论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28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棕、藤、草制品项目的申报单位是“XXX实业发展公司”，这是一家在其所处行业内备受尊敬的企业。公司自成立以来，通过其在棕、藤、草制品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该公司的法定代表人秦XX，在棕、藤、草制品项目及其他多个行业领域中都有着显著的贡献。秦XX以其出色的领导才能和敏锐的商业洞察力，带领公司在棕、藤、草制品项目等多个领域实现了持续的成长和成功。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棕、藤、草制品项目的重要合作伙伴。公司专注于[行业名称]领域，以创新作为驱动力，不断推动技术进步和市场扩张。在棕、藤、草制品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棕、藤、草制品项目中展现了强劲的增长和稳定的财务表现。公司通过有效的策略，在棕、藤、草制品项目中扩大了其市场份额并增强了盈利能力。同时，公司积极承担社会责任，参与各类社会公益项目，增强了其在棕、藤、草制品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087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棕、藤、草制品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计划继续投资于技术创新和市场拓展，确保棕、藤、草制品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963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6671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4707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770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3809"/>
      <w:r>
        <w:rPr>
          <w:rFonts w:ascii="仿宋" w:eastAsia="仿宋" w:hAnsi="仿宋" w:cs="仿宋" w:hint="eastAsia"/>
          <w:sz w:val="28"/>
          <w:lang w:eastAsia="zh-CN"/>
        </w:rPr>
        <w:t>三、经济影响分析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6626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直接收益：假设棕、藤、草制品项目的产品或服务年销售收入为XX万元。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内部收益率（IRR）是使得NPV为零的折现率，这是项目盈利能力的一个重要指标。通过财务软件或手工计算可得出IRR值。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风险和灵敏度分析：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风险分析包括考虑市场波动、成本超支和收入不达预期等因素对项目经济效益的影响。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灵敏度分析则涉及改变关键假设（如销售收入、原材料成本、能源价格）来观察NPV和IRR的变化，从而评估这些变量对项目经济效益的影响程度。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长期效益与可持续性考虑：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除了直接的经济效益，项目的长期效益，如提升品牌形象、增强市场竞争力和推动行业创新，虽难以量化，但对企业的长期发展极为重要。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可持续性考虑包括项目对环境和社会的积极影响，如减少环境污染、创造就业机会和促进地区经济发展，这些效益虽不直接体现在财务报表上，却对企业的社会责任和长期可持续性至关重要。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7889"/>
      <w:r>
        <w:rPr>
          <w:rFonts w:ascii="仿宋" w:eastAsia="仿宋" w:hAnsi="仿宋" w:cs="仿宋" w:hint="eastAsia"/>
          <w:sz w:val="28"/>
          <w:lang w:eastAsia="zh-CN"/>
        </w:rPr>
        <w:t>(二)、行业影响分析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竞争格局变化：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棕、藤、草制品项目通过引入先进的人工智能技术优化生产流程，例如自动化的物流系统和智能数据分析，可能大幅提高产品的质量和生产效率。这可能迫使竞争对手也必须投资于类似技术，以保持市场竞争力。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https://d.book118.com/715311312240011102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棕、藤、草制品项目建设总纲及方案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棕、藤、草制品项目建设总纲及方案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棕、藤、草制品项目建设总纲及方案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棕、藤、草制品项目建设总纲及方案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棕、藤、草制品项目建设总纲及方案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棕、藤、草制品项目建设总纲及方案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棕、藤、草制品项目建设总纲及方案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棕、藤、草制品项目建设总纲及方案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棕、藤、草制品项目建设总纲及方案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棕、藤、草制品项目建设总纲及方案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棕、藤、草制品项目建设总纲及方案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棕、藤、草制品项目建设总纲及方案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8E0B3C"/>
    <w:rsid w:val="7D8E0B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1531131224001110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2024-01-25T00:51:00Z</dcterms:created>
  <dcterms:modified xsi:type="dcterms:W3CDTF">2024-01-25T00:52:24Z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4C40CEADA69C477D8C5F9A45FAC6E228_11</vt:lpwstr>
  </property>
  <property fmtid="{D5CDD505-2E9C-101B-9397-08002B2CF9AE}" pid="3" name="KSOProductBuildVer">
    <vt:lpwstr>2052-12.1.0.16250</vt:lpwstr>
  </property>
</Properties>
</file>