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2024年甘肃财贸职业学院高职单招（英语／数学／语文）笔试历年真题摘选含答案解析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A.礼义廉耻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B.光明正大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C.家门和顺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D.长宜子孙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下列文章中，属于奏章的是（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A.《五代史伶官传序》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B.《答司马谏议书》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D.《报刘一丈书》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闻一多倡导新诗应具有的“三美”是（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A.绘画的美、音乐的美、韵律的美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B.自然的美、音乐的美、绘画的美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D.音乐的美、建筑的美、和谐的美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下列各个句子中加点的词，词义相同的一组是（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972112" cy="232434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《渭南文集》的作者是（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https://d.book118.com/716005014134010101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716005014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