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有机肥料及微生物肥料项目规划设计蓝图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42" w:history="1">
        <w:r>
          <w:rPr>
            <w:rFonts w:ascii="仿宋" w:eastAsia="仿宋" w:hAnsi="仿宋" w:cs="仿宋" w:hint="eastAsia"/>
            <w:lang w:eastAsia="zh-CN"/>
          </w:rPr>
          <w:t>前言</w:t>
        </w:r>
        <w:r>
          <w:tab/>
        </w:r>
        <w:r>
          <w:fldChar w:fldCharType="begin"/>
        </w:r>
        <w:r>
          <w:instrText xml:space="preserve"> PAGEREF _Toc6142 \h </w:instrText>
        </w:r>
        <w:r>
          <w:fldChar w:fldCharType="separate"/>
        </w:r>
        <w:r>
          <w:t>3</w:t>
        </w:r>
        <w:r>
          <w:fldChar w:fldCharType="end"/>
        </w:r>
      </w:hyperlink>
    </w:p>
    <w:p>
      <w:pPr>
        <w:pStyle w:val="TOC1"/>
        <w:tabs>
          <w:tab w:val="right" w:leader="dot" w:pos="8306"/>
        </w:tabs>
      </w:pPr>
      <w:hyperlink w:anchor="_Toc19148" w:history="1">
        <w:r>
          <w:rPr>
            <w:rFonts w:ascii="仿宋" w:eastAsia="仿宋" w:hAnsi="仿宋" w:cs="仿宋" w:hint="eastAsia"/>
            <w:lang w:eastAsia="zh-CN"/>
          </w:rPr>
          <w:t>一、有机肥料及微生物肥料项目建设单位说明</w:t>
        </w:r>
        <w:r>
          <w:tab/>
        </w:r>
        <w:r>
          <w:fldChar w:fldCharType="begin"/>
        </w:r>
        <w:r>
          <w:instrText xml:space="preserve"> PAGEREF _Toc19148 \h </w:instrText>
        </w:r>
        <w:r>
          <w:fldChar w:fldCharType="separate"/>
        </w:r>
        <w:r>
          <w:t>3</w:t>
        </w:r>
        <w:r>
          <w:fldChar w:fldCharType="end"/>
        </w:r>
      </w:hyperlink>
    </w:p>
    <w:p>
      <w:pPr>
        <w:pStyle w:val="TOC2"/>
        <w:tabs>
          <w:tab w:val="right" w:leader="dot" w:pos="8306"/>
        </w:tabs>
      </w:pPr>
      <w:hyperlink w:anchor="_Toc1662" w:history="1">
        <w:r>
          <w:rPr>
            <w:rFonts w:ascii="仿宋" w:eastAsia="仿宋" w:hAnsi="仿宋" w:cs="仿宋" w:hint="eastAsia"/>
            <w:lang w:eastAsia="zh-CN"/>
          </w:rPr>
          <w:t>(一)、有机肥料及微生物肥料项目承办单位基本情况</w:t>
        </w:r>
        <w:r>
          <w:tab/>
        </w:r>
        <w:r>
          <w:fldChar w:fldCharType="begin"/>
        </w:r>
        <w:r>
          <w:instrText xml:space="preserve"> PAGEREF _Toc1662 \h </w:instrText>
        </w:r>
        <w:r>
          <w:fldChar w:fldCharType="separate"/>
        </w:r>
        <w:r>
          <w:t>3</w:t>
        </w:r>
        <w:r>
          <w:fldChar w:fldCharType="end"/>
        </w:r>
      </w:hyperlink>
    </w:p>
    <w:p>
      <w:pPr>
        <w:pStyle w:val="TOC2"/>
        <w:tabs>
          <w:tab w:val="right" w:leader="dot" w:pos="8306"/>
        </w:tabs>
      </w:pPr>
      <w:hyperlink w:anchor="_Toc132" w:history="1">
        <w:r>
          <w:rPr>
            <w:rFonts w:ascii="仿宋" w:eastAsia="仿宋" w:hAnsi="仿宋" w:cs="仿宋" w:hint="eastAsia"/>
            <w:lang w:eastAsia="zh-CN"/>
          </w:rPr>
          <w:t>(二)、公司经济效益分析</w:t>
        </w:r>
        <w:r>
          <w:tab/>
        </w:r>
        <w:r>
          <w:fldChar w:fldCharType="begin"/>
        </w:r>
        <w:r>
          <w:instrText xml:space="preserve"> PAGEREF _Toc132 \h </w:instrText>
        </w:r>
        <w:r>
          <w:fldChar w:fldCharType="separate"/>
        </w:r>
        <w:r>
          <w:t>4</w:t>
        </w:r>
        <w:r>
          <w:fldChar w:fldCharType="end"/>
        </w:r>
      </w:hyperlink>
    </w:p>
    <w:p>
      <w:pPr>
        <w:pStyle w:val="TOC1"/>
        <w:tabs>
          <w:tab w:val="right" w:leader="dot" w:pos="8306"/>
        </w:tabs>
      </w:pPr>
      <w:hyperlink w:anchor="_Toc20171" w:history="1">
        <w:r>
          <w:rPr>
            <w:rFonts w:ascii="仿宋" w:eastAsia="仿宋" w:hAnsi="仿宋" w:cs="仿宋" w:hint="eastAsia"/>
            <w:lang w:eastAsia="zh-CN"/>
          </w:rPr>
          <w:t>二、市场分析、调研</w:t>
        </w:r>
        <w:r>
          <w:tab/>
        </w:r>
        <w:r>
          <w:fldChar w:fldCharType="begin"/>
        </w:r>
        <w:r>
          <w:instrText xml:space="preserve"> PAGEREF _Toc20171 \h </w:instrText>
        </w:r>
        <w:r>
          <w:fldChar w:fldCharType="separate"/>
        </w:r>
        <w:r>
          <w:t>5</w:t>
        </w:r>
        <w:r>
          <w:fldChar w:fldCharType="end"/>
        </w:r>
      </w:hyperlink>
    </w:p>
    <w:p>
      <w:pPr>
        <w:pStyle w:val="TOC2"/>
        <w:tabs>
          <w:tab w:val="right" w:leader="dot" w:pos="8306"/>
        </w:tabs>
      </w:pPr>
      <w:hyperlink w:anchor="_Toc9181" w:history="1">
        <w:r>
          <w:rPr>
            <w:rFonts w:ascii="仿宋" w:eastAsia="仿宋" w:hAnsi="仿宋" w:cs="仿宋" w:hint="eastAsia"/>
            <w:lang w:eastAsia="zh-CN"/>
          </w:rPr>
          <w:t>(一)、有机肥料及微生物肥料行业分析</w:t>
        </w:r>
        <w:r>
          <w:tab/>
        </w:r>
        <w:r>
          <w:fldChar w:fldCharType="begin"/>
        </w:r>
        <w:r>
          <w:instrText xml:space="preserve"> PAGEREF _Toc9181 \h </w:instrText>
        </w:r>
        <w:r>
          <w:fldChar w:fldCharType="separate"/>
        </w:r>
        <w:r>
          <w:t>5</w:t>
        </w:r>
        <w:r>
          <w:fldChar w:fldCharType="end"/>
        </w:r>
      </w:hyperlink>
    </w:p>
    <w:p>
      <w:pPr>
        <w:pStyle w:val="TOC2"/>
        <w:tabs>
          <w:tab w:val="right" w:leader="dot" w:pos="8306"/>
        </w:tabs>
      </w:pPr>
      <w:hyperlink w:anchor="_Toc17955" w:history="1">
        <w:r>
          <w:rPr>
            <w:rFonts w:ascii="仿宋" w:eastAsia="仿宋" w:hAnsi="仿宋" w:cs="仿宋" w:hint="eastAsia"/>
            <w:lang w:eastAsia="zh-CN"/>
          </w:rPr>
          <w:t>(二)、有机肥料及微生物肥料市场分析预测</w:t>
        </w:r>
        <w:r>
          <w:tab/>
        </w:r>
        <w:r>
          <w:fldChar w:fldCharType="begin"/>
        </w:r>
        <w:r>
          <w:instrText xml:space="preserve"> PAGEREF _Toc17955 \h </w:instrText>
        </w:r>
        <w:r>
          <w:fldChar w:fldCharType="separate"/>
        </w:r>
        <w:r>
          <w:t>5</w:t>
        </w:r>
        <w:r>
          <w:fldChar w:fldCharType="end"/>
        </w:r>
      </w:hyperlink>
    </w:p>
    <w:p>
      <w:pPr>
        <w:pStyle w:val="TOC1"/>
        <w:tabs>
          <w:tab w:val="right" w:leader="dot" w:pos="8306"/>
        </w:tabs>
      </w:pPr>
      <w:hyperlink w:anchor="_Toc5964" w:history="1">
        <w:r>
          <w:rPr>
            <w:rFonts w:ascii="仿宋" w:eastAsia="仿宋" w:hAnsi="仿宋" w:cs="仿宋" w:hint="eastAsia"/>
            <w:lang w:eastAsia="zh-CN"/>
          </w:rPr>
          <w:t>三、有机肥料及微生物肥料项目文档管理</w:t>
        </w:r>
        <w:r>
          <w:tab/>
        </w:r>
        <w:r>
          <w:fldChar w:fldCharType="begin"/>
        </w:r>
        <w:r>
          <w:instrText xml:space="preserve"> PAGEREF _Toc5964 \h </w:instrText>
        </w:r>
        <w:r>
          <w:fldChar w:fldCharType="separate"/>
        </w:r>
        <w:r>
          <w:t>6</w:t>
        </w:r>
        <w:r>
          <w:fldChar w:fldCharType="end"/>
        </w:r>
      </w:hyperlink>
    </w:p>
    <w:p>
      <w:pPr>
        <w:pStyle w:val="TOC2"/>
        <w:tabs>
          <w:tab w:val="right" w:leader="dot" w:pos="8306"/>
        </w:tabs>
      </w:pPr>
      <w:hyperlink w:anchor="_Toc26257" w:history="1">
        <w:r>
          <w:rPr>
            <w:rFonts w:ascii="仿宋" w:eastAsia="仿宋" w:hAnsi="仿宋" w:cs="仿宋" w:hint="eastAsia"/>
            <w:lang w:eastAsia="zh-CN"/>
          </w:rPr>
          <w:t>(一)、文档编制与审查</w:t>
        </w:r>
        <w:r>
          <w:tab/>
        </w:r>
        <w:r>
          <w:fldChar w:fldCharType="begin"/>
        </w:r>
        <w:r>
          <w:instrText xml:space="preserve"> PAGEREF _Toc26257 \h </w:instrText>
        </w:r>
        <w:r>
          <w:fldChar w:fldCharType="separate"/>
        </w:r>
        <w:r>
          <w:t>6</w:t>
        </w:r>
        <w:r>
          <w:fldChar w:fldCharType="end"/>
        </w:r>
      </w:hyperlink>
    </w:p>
    <w:p>
      <w:pPr>
        <w:pStyle w:val="TOC2"/>
        <w:tabs>
          <w:tab w:val="right" w:leader="dot" w:pos="8306"/>
        </w:tabs>
      </w:pPr>
      <w:hyperlink w:anchor="_Toc12405" w:history="1">
        <w:r>
          <w:rPr>
            <w:rFonts w:ascii="仿宋" w:eastAsia="仿宋" w:hAnsi="仿宋" w:cs="仿宋" w:hint="eastAsia"/>
            <w:lang w:eastAsia="zh-CN"/>
          </w:rPr>
          <w:t>(二)、文档发布与分发</w:t>
        </w:r>
        <w:r>
          <w:tab/>
        </w:r>
        <w:r>
          <w:fldChar w:fldCharType="begin"/>
        </w:r>
        <w:r>
          <w:instrText xml:space="preserve"> PAGEREF _Toc12405 \h </w:instrText>
        </w:r>
        <w:r>
          <w:fldChar w:fldCharType="separate"/>
        </w:r>
        <w:r>
          <w:t>8</w:t>
        </w:r>
        <w:r>
          <w:fldChar w:fldCharType="end"/>
        </w:r>
      </w:hyperlink>
    </w:p>
    <w:p>
      <w:pPr>
        <w:pStyle w:val="TOC2"/>
        <w:tabs>
          <w:tab w:val="right" w:leader="dot" w:pos="8306"/>
        </w:tabs>
      </w:pPr>
      <w:hyperlink w:anchor="_Toc27618" w:history="1">
        <w:r>
          <w:rPr>
            <w:rFonts w:ascii="仿宋" w:eastAsia="仿宋" w:hAnsi="仿宋" w:cs="仿宋" w:hint="eastAsia"/>
            <w:lang w:eastAsia="zh-CN"/>
          </w:rPr>
          <w:t>(三)、文档存档与归档</w:t>
        </w:r>
        <w:r>
          <w:tab/>
        </w:r>
        <w:r>
          <w:fldChar w:fldCharType="begin"/>
        </w:r>
        <w:r>
          <w:instrText xml:space="preserve"> PAGEREF _Toc27618 \h </w:instrText>
        </w:r>
        <w:r>
          <w:fldChar w:fldCharType="separate"/>
        </w:r>
        <w:r>
          <w:t>9</w:t>
        </w:r>
        <w:r>
          <w:fldChar w:fldCharType="end"/>
        </w:r>
      </w:hyperlink>
    </w:p>
    <w:p>
      <w:pPr>
        <w:pStyle w:val="TOC1"/>
        <w:tabs>
          <w:tab w:val="right" w:leader="dot" w:pos="8306"/>
        </w:tabs>
      </w:pPr>
      <w:hyperlink w:anchor="_Toc28094" w:history="1">
        <w:r>
          <w:rPr>
            <w:rFonts w:ascii="仿宋" w:eastAsia="仿宋" w:hAnsi="仿宋" w:cs="仿宋" w:hint="eastAsia"/>
            <w:lang w:eastAsia="zh-CN"/>
          </w:rPr>
          <w:t>四、产品规划分析</w:t>
        </w:r>
        <w:r>
          <w:tab/>
        </w:r>
        <w:r>
          <w:fldChar w:fldCharType="begin"/>
        </w:r>
        <w:r>
          <w:instrText xml:space="preserve"> PAGEREF _Toc28094 \h </w:instrText>
        </w:r>
        <w:r>
          <w:fldChar w:fldCharType="separate"/>
        </w:r>
        <w:r>
          <w:t>10</w:t>
        </w:r>
        <w:r>
          <w:fldChar w:fldCharType="end"/>
        </w:r>
      </w:hyperlink>
    </w:p>
    <w:p>
      <w:pPr>
        <w:pStyle w:val="TOC2"/>
        <w:tabs>
          <w:tab w:val="right" w:leader="dot" w:pos="8306"/>
        </w:tabs>
      </w:pPr>
      <w:hyperlink w:anchor="_Toc3436" w:history="1">
        <w:r>
          <w:rPr>
            <w:rFonts w:ascii="仿宋" w:eastAsia="仿宋" w:hAnsi="仿宋" w:cs="仿宋" w:hint="eastAsia"/>
            <w:lang w:eastAsia="zh-CN"/>
          </w:rPr>
          <w:t>(一)、产品规划</w:t>
        </w:r>
        <w:r>
          <w:tab/>
        </w:r>
        <w:r>
          <w:fldChar w:fldCharType="begin"/>
        </w:r>
        <w:r>
          <w:instrText xml:space="preserve"> PAGEREF _Toc3436 \h </w:instrText>
        </w:r>
        <w:r>
          <w:fldChar w:fldCharType="separate"/>
        </w:r>
        <w:r>
          <w:t>10</w:t>
        </w:r>
        <w:r>
          <w:fldChar w:fldCharType="end"/>
        </w:r>
      </w:hyperlink>
    </w:p>
    <w:p>
      <w:pPr>
        <w:pStyle w:val="TOC2"/>
        <w:tabs>
          <w:tab w:val="right" w:leader="dot" w:pos="8306"/>
        </w:tabs>
      </w:pPr>
      <w:hyperlink w:anchor="_Toc14733" w:history="1">
        <w:r>
          <w:rPr>
            <w:rFonts w:ascii="仿宋" w:eastAsia="仿宋" w:hAnsi="仿宋" w:cs="仿宋" w:hint="eastAsia"/>
            <w:lang w:eastAsia="zh-CN"/>
          </w:rPr>
          <w:t>(二)、建设规模</w:t>
        </w:r>
        <w:r>
          <w:tab/>
        </w:r>
        <w:r>
          <w:fldChar w:fldCharType="begin"/>
        </w:r>
        <w:r>
          <w:instrText xml:space="preserve"> PAGEREF _Toc14733 \h </w:instrText>
        </w:r>
        <w:r>
          <w:fldChar w:fldCharType="separate"/>
        </w:r>
        <w:r>
          <w:t>11</w:t>
        </w:r>
        <w:r>
          <w:fldChar w:fldCharType="end"/>
        </w:r>
      </w:hyperlink>
    </w:p>
    <w:p>
      <w:pPr>
        <w:pStyle w:val="TOC1"/>
        <w:tabs>
          <w:tab w:val="right" w:leader="dot" w:pos="8306"/>
        </w:tabs>
      </w:pPr>
      <w:hyperlink w:anchor="_Toc25309" w:history="1">
        <w:r>
          <w:rPr>
            <w:rFonts w:ascii="仿宋" w:eastAsia="仿宋" w:hAnsi="仿宋" w:cs="仿宋" w:hint="eastAsia"/>
            <w:lang w:eastAsia="zh-CN"/>
          </w:rPr>
          <w:t>五、有机肥料及微生物肥料项目建设背景及必要性分析</w:t>
        </w:r>
        <w:r>
          <w:tab/>
        </w:r>
        <w:r>
          <w:fldChar w:fldCharType="begin"/>
        </w:r>
        <w:r>
          <w:instrText xml:space="preserve"> PAGEREF _Toc25309 \h </w:instrText>
        </w:r>
        <w:r>
          <w:fldChar w:fldCharType="separate"/>
        </w:r>
        <w:r>
          <w:t>12</w:t>
        </w:r>
        <w:r>
          <w:fldChar w:fldCharType="end"/>
        </w:r>
      </w:hyperlink>
    </w:p>
    <w:p>
      <w:pPr>
        <w:pStyle w:val="TOC2"/>
        <w:tabs>
          <w:tab w:val="right" w:leader="dot" w:pos="8306"/>
        </w:tabs>
      </w:pPr>
      <w:hyperlink w:anchor="_Toc12360" w:history="1">
        <w:r>
          <w:rPr>
            <w:rFonts w:ascii="仿宋" w:eastAsia="仿宋" w:hAnsi="仿宋" w:cs="仿宋" w:hint="eastAsia"/>
            <w:lang w:eastAsia="zh-CN"/>
          </w:rPr>
          <w:t>(一)、有机肥料及微生物肥料项目背景分析</w:t>
        </w:r>
        <w:r>
          <w:tab/>
        </w:r>
        <w:r>
          <w:fldChar w:fldCharType="begin"/>
        </w:r>
        <w:r>
          <w:instrText xml:space="preserve"> PAGEREF _Toc12360 \h </w:instrText>
        </w:r>
        <w:r>
          <w:fldChar w:fldCharType="separate"/>
        </w:r>
        <w:r>
          <w:t>12</w:t>
        </w:r>
        <w:r>
          <w:fldChar w:fldCharType="end"/>
        </w:r>
      </w:hyperlink>
    </w:p>
    <w:p>
      <w:pPr>
        <w:pStyle w:val="TOC2"/>
        <w:tabs>
          <w:tab w:val="right" w:leader="dot" w:pos="8306"/>
        </w:tabs>
      </w:pPr>
      <w:hyperlink w:anchor="_Toc13480" w:history="1">
        <w:r>
          <w:rPr>
            <w:rFonts w:ascii="仿宋" w:eastAsia="仿宋" w:hAnsi="仿宋" w:cs="仿宋" w:hint="eastAsia"/>
            <w:lang w:eastAsia="zh-CN"/>
          </w:rPr>
          <w:t>(二)、有机肥料及微生物肥料项目建设必要性分析</w:t>
        </w:r>
        <w:r>
          <w:tab/>
        </w:r>
        <w:r>
          <w:fldChar w:fldCharType="begin"/>
        </w:r>
        <w:r>
          <w:instrText xml:space="preserve"> PAGEREF _Toc13480 \h </w:instrText>
        </w:r>
        <w:r>
          <w:fldChar w:fldCharType="separate"/>
        </w:r>
        <w:r>
          <w:t>14</w:t>
        </w:r>
        <w:r>
          <w:fldChar w:fldCharType="end"/>
        </w:r>
      </w:hyperlink>
    </w:p>
    <w:p>
      <w:pPr>
        <w:pStyle w:val="TOC1"/>
        <w:tabs>
          <w:tab w:val="right" w:leader="dot" w:pos="8306"/>
        </w:tabs>
      </w:pPr>
      <w:hyperlink w:anchor="_Toc18325" w:history="1">
        <w:r>
          <w:rPr>
            <w:rFonts w:ascii="仿宋" w:eastAsia="仿宋" w:hAnsi="仿宋" w:cs="仿宋" w:hint="eastAsia"/>
            <w:lang w:eastAsia="zh-CN"/>
          </w:rPr>
          <w:t>六、有机肥料及微生物肥料项目概论</w:t>
        </w:r>
        <w:r>
          <w:tab/>
        </w:r>
        <w:r>
          <w:fldChar w:fldCharType="begin"/>
        </w:r>
        <w:r>
          <w:instrText xml:space="preserve"> PAGEREF _Toc18325 \h </w:instrText>
        </w:r>
        <w:r>
          <w:fldChar w:fldCharType="separate"/>
        </w:r>
        <w:r>
          <w:t>15</w:t>
        </w:r>
        <w:r>
          <w:fldChar w:fldCharType="end"/>
        </w:r>
      </w:hyperlink>
    </w:p>
    <w:p>
      <w:pPr>
        <w:pStyle w:val="TOC2"/>
        <w:tabs>
          <w:tab w:val="right" w:leader="dot" w:pos="8306"/>
        </w:tabs>
      </w:pPr>
      <w:hyperlink w:anchor="_Toc15572" w:history="1">
        <w:r>
          <w:rPr>
            <w:rFonts w:ascii="仿宋" w:eastAsia="仿宋" w:hAnsi="仿宋" w:cs="仿宋" w:hint="eastAsia"/>
            <w:lang w:eastAsia="zh-CN"/>
          </w:rPr>
          <w:t>(一)、有机肥料及微生物肥料项目概况</w:t>
        </w:r>
        <w:r>
          <w:tab/>
        </w:r>
        <w:r>
          <w:fldChar w:fldCharType="begin"/>
        </w:r>
        <w:r>
          <w:instrText xml:space="preserve"> PAGEREF _Toc15572 \h </w:instrText>
        </w:r>
        <w:r>
          <w:fldChar w:fldCharType="separate"/>
        </w:r>
        <w:r>
          <w:t>15</w:t>
        </w:r>
        <w:r>
          <w:fldChar w:fldCharType="end"/>
        </w:r>
      </w:hyperlink>
    </w:p>
    <w:p>
      <w:pPr>
        <w:pStyle w:val="TOC2"/>
        <w:tabs>
          <w:tab w:val="right" w:leader="dot" w:pos="8306"/>
        </w:tabs>
      </w:pPr>
      <w:hyperlink w:anchor="_Toc26739" w:history="1">
        <w:r>
          <w:rPr>
            <w:rFonts w:ascii="仿宋" w:eastAsia="仿宋" w:hAnsi="仿宋" w:cs="仿宋" w:hint="eastAsia"/>
            <w:lang w:eastAsia="zh-CN"/>
          </w:rPr>
          <w:t>(二)、有机肥料及微生物肥料项目目标</w:t>
        </w:r>
        <w:r>
          <w:tab/>
        </w:r>
        <w:r>
          <w:fldChar w:fldCharType="begin"/>
        </w:r>
        <w:r>
          <w:instrText xml:space="preserve"> PAGEREF _Toc26739 \h </w:instrText>
        </w:r>
        <w:r>
          <w:fldChar w:fldCharType="separate"/>
        </w:r>
        <w:r>
          <w:t>18</w:t>
        </w:r>
        <w:r>
          <w:fldChar w:fldCharType="end"/>
        </w:r>
      </w:hyperlink>
    </w:p>
    <w:p>
      <w:pPr>
        <w:pStyle w:val="TOC2"/>
        <w:tabs>
          <w:tab w:val="right" w:leader="dot" w:pos="8306"/>
        </w:tabs>
      </w:pPr>
      <w:hyperlink w:anchor="_Toc17201" w:history="1">
        <w:r>
          <w:rPr>
            <w:rFonts w:ascii="仿宋" w:eastAsia="仿宋" w:hAnsi="仿宋" w:cs="仿宋" w:hint="eastAsia"/>
            <w:lang w:eastAsia="zh-CN"/>
          </w:rPr>
          <w:t>(三)、有机肥料及微生物肥料项目提出的理由</w:t>
        </w:r>
        <w:r>
          <w:tab/>
        </w:r>
        <w:r>
          <w:fldChar w:fldCharType="begin"/>
        </w:r>
        <w:r>
          <w:instrText xml:space="preserve"> PAGEREF _Toc17201 \h </w:instrText>
        </w:r>
        <w:r>
          <w:fldChar w:fldCharType="separate"/>
        </w:r>
        <w:r>
          <w:t>19</w:t>
        </w:r>
        <w:r>
          <w:fldChar w:fldCharType="end"/>
        </w:r>
      </w:hyperlink>
    </w:p>
    <w:p>
      <w:pPr>
        <w:pStyle w:val="TOC2"/>
        <w:tabs>
          <w:tab w:val="right" w:leader="dot" w:pos="8306"/>
        </w:tabs>
      </w:pPr>
      <w:hyperlink w:anchor="_Toc23318" w:history="1">
        <w:r>
          <w:rPr>
            <w:rFonts w:ascii="仿宋" w:eastAsia="仿宋" w:hAnsi="仿宋" w:cs="仿宋" w:hint="eastAsia"/>
            <w:lang w:eastAsia="zh-CN"/>
          </w:rPr>
          <w:t>(四)、有机肥料及微生物肥料项目意义</w:t>
        </w:r>
        <w:r>
          <w:tab/>
        </w:r>
        <w:r>
          <w:fldChar w:fldCharType="begin"/>
        </w:r>
        <w:r>
          <w:instrText xml:space="preserve"> PAGEREF _Toc23318 \h </w:instrText>
        </w:r>
        <w:r>
          <w:fldChar w:fldCharType="separate"/>
        </w:r>
        <w:r>
          <w:t>20</w:t>
        </w:r>
        <w:r>
          <w:fldChar w:fldCharType="end"/>
        </w:r>
      </w:hyperlink>
    </w:p>
    <w:p>
      <w:pPr>
        <w:pStyle w:val="TOC2"/>
        <w:tabs>
          <w:tab w:val="right" w:leader="dot" w:pos="8306"/>
        </w:tabs>
      </w:pPr>
      <w:hyperlink w:anchor="_Toc6206" w:history="1">
        <w:r>
          <w:rPr>
            <w:rFonts w:ascii="仿宋" w:eastAsia="仿宋" w:hAnsi="仿宋" w:cs="仿宋" w:hint="eastAsia"/>
            <w:lang w:eastAsia="zh-CN"/>
          </w:rPr>
          <w:t>(五)、有机肥料及微生物肥料项目背景</w:t>
        </w:r>
        <w:r>
          <w:tab/>
        </w:r>
        <w:r>
          <w:fldChar w:fldCharType="begin"/>
        </w:r>
        <w:r>
          <w:instrText xml:space="preserve"> PAGEREF _Toc6206 \h </w:instrText>
        </w:r>
        <w:r>
          <w:fldChar w:fldCharType="separate"/>
        </w:r>
        <w:r>
          <w:t>21</w:t>
        </w:r>
        <w:r>
          <w:fldChar w:fldCharType="end"/>
        </w:r>
      </w:hyperlink>
    </w:p>
    <w:p>
      <w:pPr>
        <w:pStyle w:val="TOC1"/>
        <w:tabs>
          <w:tab w:val="right" w:leader="dot" w:pos="8306"/>
        </w:tabs>
      </w:pPr>
      <w:hyperlink w:anchor="_Toc6832" w:history="1">
        <w:r>
          <w:rPr>
            <w:rFonts w:ascii="仿宋" w:eastAsia="仿宋" w:hAnsi="仿宋" w:cs="仿宋" w:hint="eastAsia"/>
            <w:lang w:eastAsia="zh-CN"/>
          </w:rPr>
          <w:t>七、有机肥料及微生物肥料项目人力资源管理</w:t>
        </w:r>
        <w:r>
          <w:tab/>
        </w:r>
        <w:r>
          <w:fldChar w:fldCharType="begin"/>
        </w:r>
        <w:r>
          <w:instrText xml:space="preserve"> PAGEREF _Toc6832 \h </w:instrText>
        </w:r>
        <w:r>
          <w:fldChar w:fldCharType="separate"/>
        </w:r>
        <w:r>
          <w:t>22</w:t>
        </w:r>
        <w:r>
          <w:fldChar w:fldCharType="end"/>
        </w:r>
      </w:hyperlink>
    </w:p>
    <w:p>
      <w:pPr>
        <w:pStyle w:val="TOC2"/>
        <w:tabs>
          <w:tab w:val="right" w:leader="dot" w:pos="8306"/>
        </w:tabs>
      </w:pPr>
      <w:hyperlink w:anchor="_Toc19530" w:history="1">
        <w:r>
          <w:rPr>
            <w:rFonts w:ascii="仿宋" w:eastAsia="仿宋" w:hAnsi="仿宋" w:cs="仿宋" w:hint="eastAsia"/>
            <w:lang w:eastAsia="zh-CN"/>
          </w:rPr>
          <w:t>(一)、建立健全的预算管理制度</w:t>
        </w:r>
        <w:r>
          <w:tab/>
        </w:r>
        <w:r>
          <w:fldChar w:fldCharType="begin"/>
        </w:r>
        <w:r>
          <w:instrText xml:space="preserve"> PAGEREF _Toc19530 \h </w:instrText>
        </w:r>
        <w:r>
          <w:fldChar w:fldCharType="separate"/>
        </w:r>
        <w:r>
          <w:t>22</w:t>
        </w:r>
        <w:r>
          <w:fldChar w:fldCharType="end"/>
        </w:r>
      </w:hyperlink>
    </w:p>
    <w:p>
      <w:pPr>
        <w:pStyle w:val="TOC2"/>
        <w:tabs>
          <w:tab w:val="right" w:leader="dot" w:pos="8306"/>
        </w:tabs>
      </w:pPr>
      <w:hyperlink w:anchor="_Toc6294" w:history="1">
        <w:r>
          <w:rPr>
            <w:rFonts w:ascii="仿宋" w:eastAsia="仿宋" w:hAnsi="仿宋" w:cs="仿宋" w:hint="eastAsia"/>
            <w:lang w:eastAsia="zh-CN"/>
          </w:rPr>
          <w:t>(二)、加强资金流动监控</w:t>
        </w:r>
        <w:r>
          <w:tab/>
        </w:r>
        <w:r>
          <w:fldChar w:fldCharType="begin"/>
        </w:r>
        <w:r>
          <w:instrText xml:space="preserve"> PAGEREF _Toc6294 \h </w:instrText>
        </w:r>
        <w:r>
          <w:fldChar w:fldCharType="separate"/>
        </w:r>
        <w:r>
          <w:t>24</w:t>
        </w:r>
        <w:r>
          <w:fldChar w:fldCharType="end"/>
        </w:r>
      </w:hyperlink>
    </w:p>
    <w:p>
      <w:pPr>
        <w:pStyle w:val="TOC2"/>
        <w:tabs>
          <w:tab w:val="right" w:leader="dot" w:pos="8306"/>
        </w:tabs>
      </w:pPr>
      <w:hyperlink w:anchor="_Toc11416" w:history="1">
        <w:r>
          <w:rPr>
            <w:rFonts w:ascii="仿宋" w:eastAsia="仿宋" w:hAnsi="仿宋" w:cs="仿宋" w:hint="eastAsia"/>
            <w:lang w:eastAsia="zh-CN"/>
          </w:rPr>
          <w:t>(三)、制定完善的风险控制机制</w:t>
        </w:r>
        <w:r>
          <w:tab/>
        </w:r>
        <w:r>
          <w:fldChar w:fldCharType="begin"/>
        </w:r>
        <w:r>
          <w:instrText xml:space="preserve"> PAGEREF _Toc11416 \h </w:instrText>
        </w:r>
        <w:r>
          <w:fldChar w:fldCharType="separate"/>
        </w:r>
        <w:r>
          <w:t>25</w:t>
        </w:r>
        <w:r>
          <w:fldChar w:fldCharType="end"/>
        </w:r>
      </w:hyperlink>
    </w:p>
    <w:p>
      <w:pPr>
        <w:pStyle w:val="TOC2"/>
        <w:tabs>
          <w:tab w:val="right" w:leader="dot" w:pos="8306"/>
        </w:tabs>
      </w:pPr>
      <w:hyperlink w:anchor="_Toc29013" w:history="1">
        <w:r>
          <w:rPr>
            <w:rFonts w:ascii="仿宋" w:eastAsia="仿宋" w:hAnsi="仿宋" w:cs="仿宋" w:hint="eastAsia"/>
            <w:lang w:eastAsia="zh-CN"/>
          </w:rPr>
          <w:t>(四)、优化成本管理</w:t>
        </w:r>
        <w:r>
          <w:tab/>
        </w:r>
        <w:r>
          <w:fldChar w:fldCharType="begin"/>
        </w:r>
        <w:r>
          <w:instrText xml:space="preserve"> PAGEREF _Toc29013 \h </w:instrText>
        </w:r>
        <w:r>
          <w:fldChar w:fldCharType="separate"/>
        </w:r>
        <w:r>
          <w:t>27</w:t>
        </w:r>
        <w:r>
          <w:fldChar w:fldCharType="end"/>
        </w:r>
      </w:hyperlink>
    </w:p>
    <w:p>
      <w:pPr>
        <w:pStyle w:val="TOC1"/>
        <w:tabs>
          <w:tab w:val="right" w:leader="dot" w:pos="8306"/>
        </w:tabs>
      </w:pPr>
      <w:hyperlink w:anchor="_Toc7810" w:history="1">
        <w:r>
          <w:rPr>
            <w:rFonts w:ascii="仿宋" w:eastAsia="仿宋" w:hAnsi="仿宋" w:cs="仿宋" w:hint="eastAsia"/>
            <w:lang w:eastAsia="zh-CN"/>
          </w:rPr>
          <w:t>八、有机肥料及微生物肥料项目财务管理</w:t>
        </w:r>
        <w:r>
          <w:tab/>
        </w:r>
        <w:r>
          <w:fldChar w:fldCharType="begin"/>
        </w:r>
        <w:r>
          <w:instrText xml:space="preserve"> PAGEREF _Toc7810 \h </w:instrText>
        </w:r>
        <w:r>
          <w:fldChar w:fldCharType="separate"/>
        </w:r>
        <w:r>
          <w:t>28</w:t>
        </w:r>
        <w:r>
          <w:fldChar w:fldCharType="end"/>
        </w:r>
      </w:hyperlink>
    </w:p>
    <w:p>
      <w:pPr>
        <w:pStyle w:val="TOC2"/>
        <w:tabs>
          <w:tab w:val="right" w:leader="dot" w:pos="8306"/>
        </w:tabs>
      </w:pPr>
      <w:hyperlink w:anchor="_Toc27580" w:history="1">
        <w:r>
          <w:rPr>
            <w:rFonts w:ascii="仿宋" w:eastAsia="仿宋" w:hAnsi="仿宋" w:cs="仿宋" w:hint="eastAsia"/>
            <w:lang w:eastAsia="zh-CN"/>
          </w:rPr>
          <w:t>(一)、资金需求大</w:t>
        </w:r>
        <w:r>
          <w:tab/>
        </w:r>
        <w:r>
          <w:fldChar w:fldCharType="begin"/>
        </w:r>
        <w:r>
          <w:instrText xml:space="preserve"> PAGEREF _Toc27580 \h </w:instrText>
        </w:r>
        <w:r>
          <w:fldChar w:fldCharType="separate"/>
        </w:r>
        <w:r>
          <w:t>28</w:t>
        </w:r>
        <w:r>
          <w:fldChar w:fldCharType="end"/>
        </w:r>
      </w:hyperlink>
    </w:p>
    <w:p>
      <w:pPr>
        <w:pStyle w:val="TOC2"/>
        <w:tabs>
          <w:tab w:val="right" w:leader="dot" w:pos="8306"/>
        </w:tabs>
      </w:pPr>
      <w:hyperlink w:anchor="_Toc28925" w:history="1">
        <w:r>
          <w:rPr>
            <w:rFonts w:ascii="仿宋" w:eastAsia="仿宋" w:hAnsi="仿宋" w:cs="仿宋" w:hint="eastAsia"/>
            <w:lang w:eastAsia="zh-CN"/>
          </w:rPr>
          <w:t>(二)、研发周期长</w:t>
        </w:r>
        <w:r>
          <w:tab/>
        </w:r>
        <w:r>
          <w:fldChar w:fldCharType="begin"/>
        </w:r>
        <w:r>
          <w:instrText xml:space="preserve"> PAGEREF _Toc28925 \h </w:instrText>
        </w:r>
        <w:r>
          <w:fldChar w:fldCharType="separate"/>
        </w:r>
        <w:r>
          <w:t>30</w:t>
        </w:r>
        <w:r>
          <w:fldChar w:fldCharType="end"/>
        </w:r>
      </w:hyperlink>
    </w:p>
    <w:p>
      <w:pPr>
        <w:pStyle w:val="TOC2"/>
        <w:tabs>
          <w:tab w:val="right" w:leader="dot" w:pos="8306"/>
        </w:tabs>
      </w:pPr>
      <w:hyperlink w:anchor="_Toc6371" w:history="1">
        <w:r>
          <w:rPr>
            <w:rFonts w:ascii="仿宋" w:eastAsia="仿宋" w:hAnsi="仿宋" w:cs="仿宋" w:hint="eastAsia"/>
            <w:lang w:eastAsia="zh-CN"/>
          </w:rPr>
          <w:t>(三)、市场风险大</w:t>
        </w:r>
        <w:r>
          <w:tab/>
        </w:r>
        <w:r>
          <w:fldChar w:fldCharType="begin"/>
        </w:r>
        <w:r>
          <w:instrText xml:space="preserve"> PAGEREF _Toc6371 \h </w:instrText>
        </w:r>
        <w:r>
          <w:fldChar w:fldCharType="separate"/>
        </w:r>
        <w:r>
          <w:t>31</w:t>
        </w:r>
        <w:r>
          <w:fldChar w:fldCharType="end"/>
        </w:r>
      </w:hyperlink>
    </w:p>
    <w:p>
      <w:pPr>
        <w:pStyle w:val="TOC2"/>
        <w:tabs>
          <w:tab w:val="right" w:leader="dot" w:pos="8306"/>
        </w:tabs>
      </w:pPr>
      <w:hyperlink w:anchor="_Toc16100" w:history="1">
        <w:r>
          <w:rPr>
            <w:rFonts w:ascii="仿宋" w:eastAsia="仿宋" w:hAnsi="仿宋" w:cs="仿宋" w:hint="eastAsia"/>
            <w:lang w:eastAsia="zh-CN"/>
          </w:rPr>
          <w:t>(四)、利润率高</w:t>
        </w:r>
        <w:r>
          <w:tab/>
        </w:r>
        <w:r>
          <w:fldChar w:fldCharType="begin"/>
        </w:r>
        <w:r>
          <w:instrText xml:space="preserve"> PAGEREF _Toc16100 \h </w:instrText>
        </w:r>
        <w:r>
          <w:fldChar w:fldCharType="separate"/>
        </w:r>
        <w:r>
          <w:t>34</w:t>
        </w:r>
        <w:r>
          <w:fldChar w:fldCharType="end"/>
        </w:r>
      </w:hyperlink>
    </w:p>
    <w:p>
      <w:pPr>
        <w:pStyle w:val="TOC1"/>
        <w:tabs>
          <w:tab w:val="right" w:leader="dot" w:pos="8306"/>
        </w:tabs>
      </w:pPr>
      <w:hyperlink w:anchor="_Toc26036" w:history="1">
        <w:r>
          <w:rPr>
            <w:rFonts w:ascii="仿宋" w:eastAsia="仿宋" w:hAnsi="仿宋" w:cs="仿宋" w:hint="eastAsia"/>
            <w:lang w:eastAsia="zh-CN"/>
          </w:rPr>
          <w:t>九、有机肥料及微生物肥料项目创新与研发</w:t>
        </w:r>
        <w:r>
          <w:tab/>
        </w:r>
        <w:r>
          <w:fldChar w:fldCharType="begin"/>
        </w:r>
        <w:r>
          <w:instrText xml:space="preserve"> PAGEREF _Toc26036 \h </w:instrText>
        </w:r>
        <w:r>
          <w:fldChar w:fldCharType="separate"/>
        </w:r>
        <w:r>
          <w:t>36</w:t>
        </w:r>
        <w:r>
          <w:fldChar w:fldCharType="end"/>
        </w:r>
      </w:hyperlink>
    </w:p>
    <w:p>
      <w:pPr>
        <w:pStyle w:val="TOC2"/>
        <w:tabs>
          <w:tab w:val="right" w:leader="dot" w:pos="8306"/>
        </w:tabs>
      </w:pPr>
      <w:hyperlink w:anchor="_Toc4343" w:history="1">
        <w:r>
          <w:rPr>
            <w:rFonts w:ascii="仿宋" w:eastAsia="仿宋" w:hAnsi="仿宋" w:cs="仿宋" w:hint="eastAsia"/>
            <w:lang w:eastAsia="zh-CN"/>
          </w:rPr>
          <w:t>(一)、创新策略与方向</w:t>
        </w:r>
        <w:r>
          <w:tab/>
        </w:r>
        <w:r>
          <w:fldChar w:fldCharType="begin"/>
        </w:r>
        <w:r>
          <w:instrText xml:space="preserve"> PAGEREF _Toc4343 \h </w:instrText>
        </w:r>
        <w:r>
          <w:fldChar w:fldCharType="separate"/>
        </w:r>
        <w:r>
          <w:t>36</w:t>
        </w:r>
        <w:r>
          <w:fldChar w:fldCharType="end"/>
        </w:r>
      </w:hyperlink>
    </w:p>
    <w:p>
      <w:pPr>
        <w:pStyle w:val="TOC2"/>
        <w:tabs>
          <w:tab w:val="right" w:leader="dot" w:pos="8306"/>
        </w:tabs>
      </w:pPr>
      <w:hyperlink w:anchor="_Toc12682" w:history="1">
        <w:r>
          <w:rPr>
            <w:rFonts w:ascii="仿宋" w:eastAsia="仿宋" w:hAnsi="仿宋" w:cs="仿宋" w:hint="eastAsia"/>
            <w:lang w:eastAsia="zh-CN"/>
          </w:rPr>
          <w:t>(二)、研发规划与投入</w:t>
        </w:r>
        <w:r>
          <w:tab/>
        </w:r>
        <w:r>
          <w:fldChar w:fldCharType="begin"/>
        </w:r>
        <w:r>
          <w:instrText xml:space="preserve"> PAGEREF _Toc12682 \h </w:instrText>
        </w:r>
        <w:r>
          <w:fldChar w:fldCharType="separate"/>
        </w:r>
        <w:r>
          <w:t>37</w:t>
        </w:r>
        <w:r>
          <w:fldChar w:fldCharType="end"/>
        </w:r>
      </w:hyperlink>
    </w:p>
    <w:p>
      <w:pPr>
        <w:pStyle w:val="TOC1"/>
        <w:tabs>
          <w:tab w:val="right" w:leader="dot" w:pos="8306"/>
        </w:tabs>
      </w:pPr>
      <w:hyperlink w:anchor="_Toc9327" w:history="1">
        <w:r>
          <w:rPr>
            <w:rFonts w:ascii="仿宋" w:eastAsia="仿宋" w:hAnsi="仿宋" w:cs="仿宋" w:hint="eastAsia"/>
            <w:lang w:eastAsia="zh-CN"/>
          </w:rPr>
          <w:t>十、有机肥料及微生物肥料项目人力资源培养与发展</w:t>
        </w:r>
        <w:r>
          <w:tab/>
        </w:r>
        <w:r>
          <w:fldChar w:fldCharType="begin"/>
        </w:r>
        <w:r>
          <w:instrText xml:space="preserve"> PAGEREF _Toc9327 \h </w:instrText>
        </w:r>
        <w:r>
          <w:fldChar w:fldCharType="separate"/>
        </w:r>
        <w:r>
          <w:t>39</w:t>
        </w:r>
        <w:r>
          <w:fldChar w:fldCharType="end"/>
        </w:r>
      </w:hyperlink>
    </w:p>
    <w:p>
      <w:pPr>
        <w:pStyle w:val="TOC2"/>
        <w:tabs>
          <w:tab w:val="right" w:leader="dot" w:pos="8306"/>
        </w:tabs>
      </w:pPr>
      <w:hyperlink w:anchor="_Toc23253" w:history="1">
        <w:r>
          <w:rPr>
            <w:rFonts w:ascii="仿宋" w:eastAsia="仿宋" w:hAnsi="仿宋" w:cs="仿宋" w:hint="eastAsia"/>
            <w:lang w:eastAsia="zh-CN"/>
          </w:rPr>
          <w:t>(一)、人才需求与规划</w:t>
        </w:r>
        <w:r>
          <w:tab/>
        </w:r>
        <w:r>
          <w:fldChar w:fldCharType="begin"/>
        </w:r>
        <w:r>
          <w:instrText xml:space="preserve"> PAGEREF _Toc23253 \h </w:instrText>
        </w:r>
        <w:r>
          <w:fldChar w:fldCharType="separate"/>
        </w:r>
        <w:r>
          <w:t>39</w:t>
        </w:r>
        <w:r>
          <w:fldChar w:fldCharType="end"/>
        </w:r>
      </w:hyperlink>
    </w:p>
    <w:p>
      <w:pPr>
        <w:pStyle w:val="TOC2"/>
        <w:tabs>
          <w:tab w:val="right" w:leader="dot" w:pos="8306"/>
        </w:tabs>
      </w:pPr>
      <w:hyperlink w:anchor="_Toc9109" w:history="1">
        <w:r>
          <w:rPr>
            <w:rFonts w:ascii="仿宋" w:eastAsia="仿宋" w:hAnsi="仿宋" w:cs="仿宋" w:hint="eastAsia"/>
            <w:lang w:eastAsia="zh-CN"/>
          </w:rPr>
          <w:t>(二)、培训与发展计划</w:t>
        </w:r>
        <w:r>
          <w:tab/>
        </w:r>
        <w:r>
          <w:fldChar w:fldCharType="begin"/>
        </w:r>
        <w:r>
          <w:instrText xml:space="preserve"> PAGEREF _Toc9109 \h </w:instrText>
        </w:r>
        <w:r>
          <w:fldChar w:fldCharType="separate"/>
        </w:r>
        <w:r>
          <w:t>40</w:t>
        </w:r>
        <w:r>
          <w:fldChar w:fldCharType="end"/>
        </w:r>
      </w:hyperlink>
    </w:p>
    <w:p>
      <w:pPr>
        <w:pStyle w:val="TOC1"/>
        <w:tabs>
          <w:tab w:val="right" w:leader="dot" w:pos="8306"/>
        </w:tabs>
      </w:pPr>
      <w:hyperlink w:anchor="_Toc31215" w:history="1">
        <w:r>
          <w:rPr>
            <w:rFonts w:ascii="仿宋" w:eastAsia="仿宋" w:hAnsi="仿宋" w:cs="仿宋" w:hint="eastAsia"/>
            <w:lang w:eastAsia="zh-CN"/>
          </w:rPr>
          <w:t>十一、有机肥料及微生物肥料项目投资规划</w:t>
        </w:r>
        <w:r>
          <w:tab/>
        </w:r>
        <w:r>
          <w:fldChar w:fldCharType="begin"/>
        </w:r>
        <w:r>
          <w:instrText xml:space="preserve"> PAGEREF _Toc31215 \h </w:instrText>
        </w:r>
        <w:r>
          <w:fldChar w:fldCharType="separate"/>
        </w:r>
        <w:r>
          <w:t>40</w:t>
        </w:r>
        <w:r>
          <w:fldChar w:fldCharType="end"/>
        </w:r>
      </w:hyperlink>
    </w:p>
    <w:p>
      <w:pPr>
        <w:pStyle w:val="TOC2"/>
        <w:tabs>
          <w:tab w:val="right" w:leader="dot" w:pos="8306"/>
        </w:tabs>
      </w:pPr>
      <w:hyperlink w:anchor="_Toc18374" w:history="1">
        <w:r>
          <w:rPr>
            <w:rFonts w:ascii="仿宋" w:eastAsia="仿宋" w:hAnsi="仿宋" w:cs="仿宋" w:hint="eastAsia"/>
            <w:lang w:eastAsia="zh-CN"/>
          </w:rPr>
          <w:t>(一)、有机肥料及微生物肥料项目总投资估算</w:t>
        </w:r>
        <w:r>
          <w:tab/>
        </w:r>
        <w:r>
          <w:fldChar w:fldCharType="begin"/>
        </w:r>
        <w:r>
          <w:instrText xml:space="preserve"> PAGEREF _Toc18374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7" w:history="1">
        <w:r>
          <w:rPr>
            <w:rFonts w:ascii="仿宋" w:eastAsia="仿宋" w:hAnsi="仿宋" w:cs="仿宋" w:hint="eastAsia"/>
            <w:lang w:eastAsia="zh-CN"/>
          </w:rPr>
          <w:t>(二)、资金筹措</w:t>
        </w:r>
        <w:r>
          <w:tab/>
        </w:r>
        <w:r>
          <w:fldChar w:fldCharType="begin"/>
        </w:r>
        <w:r>
          <w:instrText xml:space="preserve"> PAGEREF _Toc897 \h </w:instrText>
        </w:r>
        <w:r>
          <w:fldChar w:fldCharType="separate"/>
        </w:r>
        <w:r>
          <w:t>42</w:t>
        </w:r>
        <w:r>
          <w:fldChar w:fldCharType="end"/>
        </w:r>
      </w:hyperlink>
    </w:p>
    <w:p>
      <w:pPr>
        <w:pStyle w:val="TOC1"/>
        <w:tabs>
          <w:tab w:val="right" w:leader="dot" w:pos="8306"/>
        </w:tabs>
      </w:pPr>
      <w:hyperlink w:anchor="_Toc22717" w:history="1">
        <w:r>
          <w:rPr>
            <w:rFonts w:ascii="仿宋" w:eastAsia="仿宋" w:hAnsi="仿宋" w:cs="仿宋" w:hint="eastAsia"/>
            <w:lang w:eastAsia="zh-CN"/>
          </w:rPr>
          <w:t>十二、有机肥料及微生物肥料项目风险管理</w:t>
        </w:r>
        <w:r>
          <w:tab/>
        </w:r>
        <w:r>
          <w:fldChar w:fldCharType="begin"/>
        </w:r>
        <w:r>
          <w:instrText xml:space="preserve"> PAGEREF _Toc22717 \h </w:instrText>
        </w:r>
        <w:r>
          <w:fldChar w:fldCharType="separate"/>
        </w:r>
        <w:r>
          <w:t>42</w:t>
        </w:r>
        <w:r>
          <w:fldChar w:fldCharType="end"/>
        </w:r>
      </w:hyperlink>
    </w:p>
    <w:p>
      <w:pPr>
        <w:pStyle w:val="TOC2"/>
        <w:tabs>
          <w:tab w:val="right" w:leader="dot" w:pos="8306"/>
        </w:tabs>
      </w:pPr>
      <w:hyperlink w:anchor="_Toc5932" w:history="1">
        <w:r>
          <w:rPr>
            <w:rFonts w:ascii="仿宋" w:eastAsia="仿宋" w:hAnsi="仿宋" w:cs="仿宋" w:hint="eastAsia"/>
            <w:lang w:eastAsia="zh-CN"/>
          </w:rPr>
          <w:t>(一)、风险识别与评估</w:t>
        </w:r>
        <w:r>
          <w:tab/>
        </w:r>
        <w:r>
          <w:fldChar w:fldCharType="begin"/>
        </w:r>
        <w:r>
          <w:instrText xml:space="preserve"> PAGEREF _Toc5932 \h </w:instrText>
        </w:r>
        <w:r>
          <w:fldChar w:fldCharType="separate"/>
        </w:r>
        <w:r>
          <w:t>42</w:t>
        </w:r>
        <w:r>
          <w:fldChar w:fldCharType="end"/>
        </w:r>
      </w:hyperlink>
    </w:p>
    <w:p>
      <w:pPr>
        <w:pStyle w:val="TOC2"/>
        <w:tabs>
          <w:tab w:val="right" w:leader="dot" w:pos="8306"/>
        </w:tabs>
      </w:pPr>
      <w:hyperlink w:anchor="_Toc23336" w:history="1">
        <w:r>
          <w:rPr>
            <w:rFonts w:ascii="仿宋" w:eastAsia="仿宋" w:hAnsi="仿宋" w:cs="仿宋" w:hint="eastAsia"/>
            <w:lang w:eastAsia="zh-CN"/>
          </w:rPr>
          <w:t>(二)、风险应对策略</w:t>
        </w:r>
        <w:r>
          <w:tab/>
        </w:r>
        <w:r>
          <w:fldChar w:fldCharType="begin"/>
        </w:r>
        <w:r>
          <w:instrText xml:space="preserve"> PAGEREF _Toc23336 \h </w:instrText>
        </w:r>
        <w:r>
          <w:fldChar w:fldCharType="separate"/>
        </w:r>
        <w:r>
          <w:t>43</w:t>
        </w:r>
        <w:r>
          <w:fldChar w:fldCharType="end"/>
        </w:r>
      </w:hyperlink>
    </w:p>
    <w:p>
      <w:pPr>
        <w:pStyle w:val="TOC2"/>
        <w:tabs>
          <w:tab w:val="right" w:leader="dot" w:pos="8306"/>
        </w:tabs>
      </w:pPr>
      <w:hyperlink w:anchor="_Toc9293" w:history="1">
        <w:r>
          <w:rPr>
            <w:rFonts w:ascii="仿宋" w:eastAsia="仿宋" w:hAnsi="仿宋" w:cs="仿宋" w:hint="eastAsia"/>
            <w:lang w:eastAsia="zh-CN"/>
          </w:rPr>
          <w:t>(三)、风险监控与控制</w:t>
        </w:r>
        <w:r>
          <w:tab/>
        </w:r>
        <w:r>
          <w:fldChar w:fldCharType="begin"/>
        </w:r>
        <w:r>
          <w:instrText xml:space="preserve"> PAGEREF _Toc9293 \h </w:instrText>
        </w:r>
        <w:r>
          <w:fldChar w:fldCharType="separate"/>
        </w:r>
        <w:r>
          <w:t>45</w:t>
        </w:r>
        <w:r>
          <w:fldChar w:fldCharType="end"/>
        </w:r>
      </w:hyperlink>
    </w:p>
    <w:p>
      <w:pPr>
        <w:pStyle w:val="TOC1"/>
        <w:tabs>
          <w:tab w:val="right" w:leader="dot" w:pos="8306"/>
        </w:tabs>
      </w:pPr>
      <w:hyperlink w:anchor="_Toc4292" w:history="1">
        <w:r>
          <w:rPr>
            <w:rFonts w:ascii="仿宋" w:eastAsia="仿宋" w:hAnsi="仿宋" w:cs="仿宋" w:hint="eastAsia"/>
            <w:lang w:eastAsia="zh-CN"/>
          </w:rPr>
          <w:t>十三、有机肥料及微生物肥料项目治理与监督</w:t>
        </w:r>
        <w:r>
          <w:tab/>
        </w:r>
        <w:r>
          <w:fldChar w:fldCharType="begin"/>
        </w:r>
        <w:r>
          <w:instrText xml:space="preserve"> PAGEREF _Toc4292 \h </w:instrText>
        </w:r>
        <w:r>
          <w:fldChar w:fldCharType="separate"/>
        </w:r>
        <w:r>
          <w:t>46</w:t>
        </w:r>
        <w:r>
          <w:fldChar w:fldCharType="end"/>
        </w:r>
      </w:hyperlink>
    </w:p>
    <w:p>
      <w:pPr>
        <w:pStyle w:val="TOC2"/>
        <w:tabs>
          <w:tab w:val="right" w:leader="dot" w:pos="8306"/>
        </w:tabs>
      </w:pPr>
      <w:hyperlink w:anchor="_Toc7704" w:history="1">
        <w:r>
          <w:rPr>
            <w:rFonts w:ascii="仿宋" w:eastAsia="仿宋" w:hAnsi="仿宋" w:cs="仿宋" w:hint="eastAsia"/>
            <w:lang w:eastAsia="zh-CN"/>
          </w:rPr>
          <w:t>(一)、有机肥料及微生物肥料项目治理结构</w:t>
        </w:r>
        <w:r>
          <w:tab/>
        </w:r>
        <w:r>
          <w:fldChar w:fldCharType="begin"/>
        </w:r>
        <w:r>
          <w:instrText xml:space="preserve"> PAGEREF _Toc7704 \h </w:instrText>
        </w:r>
        <w:r>
          <w:fldChar w:fldCharType="separate"/>
        </w:r>
        <w:r>
          <w:t>46</w:t>
        </w:r>
        <w:r>
          <w:fldChar w:fldCharType="end"/>
        </w:r>
      </w:hyperlink>
    </w:p>
    <w:p>
      <w:pPr>
        <w:pStyle w:val="TOC2"/>
        <w:tabs>
          <w:tab w:val="right" w:leader="dot" w:pos="8306"/>
        </w:tabs>
      </w:pPr>
      <w:hyperlink w:anchor="_Toc16033" w:history="1">
        <w:r>
          <w:rPr>
            <w:rFonts w:ascii="仿宋" w:eastAsia="仿宋" w:hAnsi="仿宋" w:cs="仿宋" w:hint="eastAsia"/>
            <w:lang w:eastAsia="zh-CN"/>
          </w:rPr>
          <w:t>(二)、监督与审计</w:t>
        </w:r>
        <w:r>
          <w:tab/>
        </w:r>
        <w:r>
          <w:fldChar w:fldCharType="begin"/>
        </w:r>
        <w:r>
          <w:instrText xml:space="preserve"> PAGEREF _Toc16033 \h </w:instrText>
        </w:r>
        <w:r>
          <w:fldChar w:fldCharType="separate"/>
        </w:r>
        <w:r>
          <w:t>48</w:t>
        </w:r>
        <w:r>
          <w:fldChar w:fldCharType="end"/>
        </w:r>
      </w:hyperlink>
    </w:p>
    <w:p>
      <w:pPr>
        <w:pStyle w:val="TOC1"/>
        <w:tabs>
          <w:tab w:val="right" w:leader="dot" w:pos="8306"/>
        </w:tabs>
      </w:pPr>
      <w:hyperlink w:anchor="_Toc354" w:history="1">
        <w:r>
          <w:rPr>
            <w:rFonts w:ascii="仿宋" w:eastAsia="仿宋" w:hAnsi="仿宋" w:cs="仿宋" w:hint="eastAsia"/>
            <w:lang w:eastAsia="zh-CN"/>
          </w:rPr>
          <w:t>十四、营销与推广策略</w:t>
        </w:r>
        <w:r>
          <w:tab/>
        </w:r>
        <w:r>
          <w:fldChar w:fldCharType="begin"/>
        </w:r>
        <w:r>
          <w:instrText xml:space="preserve"> PAGEREF _Toc354 \h </w:instrText>
        </w:r>
        <w:r>
          <w:fldChar w:fldCharType="separate"/>
        </w:r>
        <w:r>
          <w:t>50</w:t>
        </w:r>
        <w:r>
          <w:fldChar w:fldCharType="end"/>
        </w:r>
      </w:hyperlink>
    </w:p>
    <w:p>
      <w:pPr>
        <w:pStyle w:val="TOC2"/>
        <w:tabs>
          <w:tab w:val="right" w:leader="dot" w:pos="8306"/>
        </w:tabs>
      </w:pPr>
      <w:hyperlink w:anchor="_Toc4668" w:history="1">
        <w:r>
          <w:rPr>
            <w:rFonts w:ascii="仿宋" w:eastAsia="仿宋" w:hAnsi="仿宋" w:cs="仿宋" w:hint="eastAsia"/>
            <w:lang w:eastAsia="zh-CN"/>
          </w:rPr>
          <w:t>(一)、产品/服务定位与特点</w:t>
        </w:r>
        <w:r>
          <w:tab/>
        </w:r>
        <w:r>
          <w:fldChar w:fldCharType="begin"/>
        </w:r>
        <w:r>
          <w:instrText xml:space="preserve"> PAGEREF _Toc4668 \h </w:instrText>
        </w:r>
        <w:r>
          <w:fldChar w:fldCharType="separate"/>
        </w:r>
        <w:r>
          <w:t>50</w:t>
        </w:r>
        <w:r>
          <w:fldChar w:fldCharType="end"/>
        </w:r>
      </w:hyperlink>
    </w:p>
    <w:p>
      <w:pPr>
        <w:pStyle w:val="TOC2"/>
        <w:tabs>
          <w:tab w:val="right" w:leader="dot" w:pos="8306"/>
        </w:tabs>
      </w:pPr>
      <w:hyperlink w:anchor="_Toc16842" w:history="1">
        <w:r>
          <w:rPr>
            <w:rFonts w:ascii="仿宋" w:eastAsia="仿宋" w:hAnsi="仿宋" w:cs="仿宋" w:hint="eastAsia"/>
            <w:lang w:eastAsia="zh-CN"/>
          </w:rPr>
          <w:t>(二)、市场定位与竞争分析</w:t>
        </w:r>
        <w:r>
          <w:tab/>
        </w:r>
        <w:r>
          <w:fldChar w:fldCharType="begin"/>
        </w:r>
        <w:r>
          <w:instrText xml:space="preserve"> PAGEREF _Toc16842 \h </w:instrText>
        </w:r>
        <w:r>
          <w:fldChar w:fldCharType="separate"/>
        </w:r>
        <w:r>
          <w:t>51</w:t>
        </w:r>
        <w:r>
          <w:fldChar w:fldCharType="end"/>
        </w:r>
      </w:hyperlink>
    </w:p>
    <w:p>
      <w:pPr>
        <w:pStyle w:val="TOC2"/>
        <w:tabs>
          <w:tab w:val="right" w:leader="dot" w:pos="8306"/>
        </w:tabs>
      </w:pPr>
      <w:hyperlink w:anchor="_Toc1154" w:history="1">
        <w:r>
          <w:rPr>
            <w:rFonts w:ascii="仿宋" w:eastAsia="仿宋" w:hAnsi="仿宋" w:cs="仿宋" w:hint="eastAsia"/>
            <w:lang w:eastAsia="zh-CN"/>
          </w:rPr>
          <w:t>(三)、营销渠道与策略</w:t>
        </w:r>
        <w:r>
          <w:tab/>
        </w:r>
        <w:r>
          <w:fldChar w:fldCharType="begin"/>
        </w:r>
        <w:r>
          <w:instrText xml:space="preserve"> PAGEREF _Toc1154 \h </w:instrText>
        </w:r>
        <w:r>
          <w:fldChar w:fldCharType="separate"/>
        </w:r>
        <w:r>
          <w:t>52</w:t>
        </w:r>
        <w:r>
          <w:fldChar w:fldCharType="end"/>
        </w:r>
      </w:hyperlink>
    </w:p>
    <w:p>
      <w:pPr>
        <w:pStyle w:val="TOC2"/>
        <w:tabs>
          <w:tab w:val="right" w:leader="dot" w:pos="8306"/>
        </w:tabs>
      </w:pPr>
      <w:hyperlink w:anchor="_Toc8484" w:history="1">
        <w:r>
          <w:rPr>
            <w:rFonts w:ascii="仿宋" w:eastAsia="仿宋" w:hAnsi="仿宋" w:cs="仿宋" w:hint="eastAsia"/>
            <w:lang w:eastAsia="zh-CN"/>
          </w:rPr>
          <w:t>(四)、推广与宣传活动</w:t>
        </w:r>
        <w:r>
          <w:tab/>
        </w:r>
        <w:r>
          <w:fldChar w:fldCharType="begin"/>
        </w:r>
        <w:r>
          <w:instrText xml:space="preserve"> PAGEREF _Toc8484 \h </w:instrText>
        </w:r>
        <w:r>
          <w:fldChar w:fldCharType="separate"/>
        </w:r>
        <w:r>
          <w:t>53</w:t>
        </w:r>
        <w:r>
          <w:fldChar w:fldCharType="end"/>
        </w:r>
      </w:hyperlink>
    </w:p>
    <w:p>
      <w:pPr>
        <w:pStyle w:val="TOC1"/>
        <w:tabs>
          <w:tab w:val="right" w:leader="dot" w:pos="8306"/>
        </w:tabs>
      </w:pPr>
      <w:hyperlink w:anchor="_Toc21005" w:history="1">
        <w:r>
          <w:rPr>
            <w:rFonts w:ascii="仿宋" w:eastAsia="仿宋" w:hAnsi="仿宋" w:cs="仿宋" w:hint="eastAsia"/>
            <w:lang w:eastAsia="zh-CN"/>
          </w:rPr>
          <w:t>十五、风险识别与分类</w:t>
        </w:r>
        <w:r>
          <w:tab/>
        </w:r>
        <w:r>
          <w:fldChar w:fldCharType="begin"/>
        </w:r>
        <w:r>
          <w:instrText xml:space="preserve"> PAGEREF _Toc21005 \h </w:instrText>
        </w:r>
        <w:r>
          <w:fldChar w:fldCharType="separate"/>
        </w:r>
        <w:r>
          <w:t>59</w:t>
        </w:r>
        <w:r>
          <w:fldChar w:fldCharType="end"/>
        </w:r>
      </w:hyperlink>
    </w:p>
    <w:p>
      <w:pPr>
        <w:pStyle w:val="TOC2"/>
        <w:tabs>
          <w:tab w:val="right" w:leader="dot" w:pos="8306"/>
        </w:tabs>
      </w:pPr>
      <w:hyperlink w:anchor="_Toc19288" w:history="1">
        <w:r>
          <w:rPr>
            <w:rFonts w:ascii="仿宋" w:eastAsia="仿宋" w:hAnsi="仿宋" w:cs="仿宋" w:hint="eastAsia"/>
            <w:lang w:eastAsia="zh-CN"/>
          </w:rPr>
          <w:t>(一)、风险识别</w:t>
        </w:r>
        <w:r>
          <w:tab/>
        </w:r>
        <w:r>
          <w:fldChar w:fldCharType="begin"/>
        </w:r>
        <w:r>
          <w:instrText xml:space="preserve"> PAGEREF _Toc19288 \h </w:instrText>
        </w:r>
        <w:r>
          <w:fldChar w:fldCharType="separate"/>
        </w:r>
        <w:r>
          <w:t>59</w:t>
        </w:r>
        <w:r>
          <w:fldChar w:fldCharType="end"/>
        </w:r>
      </w:hyperlink>
    </w:p>
    <w:p>
      <w:pPr>
        <w:pStyle w:val="TOC2"/>
        <w:tabs>
          <w:tab w:val="right" w:leader="dot" w:pos="8306"/>
        </w:tabs>
      </w:pPr>
      <w:hyperlink w:anchor="_Toc6672" w:history="1">
        <w:r>
          <w:rPr>
            <w:rFonts w:ascii="仿宋" w:eastAsia="仿宋" w:hAnsi="仿宋" w:cs="仿宋" w:hint="eastAsia"/>
            <w:lang w:eastAsia="zh-CN"/>
          </w:rPr>
          <w:t>(二)、风险分类</w:t>
        </w:r>
        <w:r>
          <w:tab/>
        </w:r>
        <w:r>
          <w:fldChar w:fldCharType="begin"/>
        </w:r>
        <w:r>
          <w:instrText xml:space="preserve"> PAGEREF _Toc6672 \h </w:instrText>
        </w:r>
        <w:r>
          <w:fldChar w:fldCharType="separate"/>
        </w:r>
        <w:r>
          <w:t>60</w:t>
        </w:r>
        <w:r>
          <w:fldChar w:fldCharType="end"/>
        </w:r>
      </w:hyperlink>
    </w:p>
    <w:p>
      <w:pPr>
        <w:pStyle w:val="TOC1"/>
        <w:tabs>
          <w:tab w:val="right" w:leader="dot" w:pos="8306"/>
        </w:tabs>
      </w:pPr>
      <w:hyperlink w:anchor="_Toc8721" w:history="1">
        <w:r>
          <w:rPr>
            <w:rFonts w:ascii="仿宋" w:eastAsia="仿宋" w:hAnsi="仿宋" w:cs="仿宋" w:hint="eastAsia"/>
            <w:lang w:eastAsia="zh-CN"/>
          </w:rPr>
          <w:t>十六、有机肥料及微生物肥料项目变更管理</w:t>
        </w:r>
        <w:r>
          <w:tab/>
        </w:r>
        <w:r>
          <w:fldChar w:fldCharType="begin"/>
        </w:r>
        <w:r>
          <w:instrText xml:space="preserve"> PAGEREF _Toc8721 \h </w:instrText>
        </w:r>
        <w:r>
          <w:fldChar w:fldCharType="separate"/>
        </w:r>
        <w:r>
          <w:t>62</w:t>
        </w:r>
        <w:r>
          <w:fldChar w:fldCharType="end"/>
        </w:r>
      </w:hyperlink>
    </w:p>
    <w:p>
      <w:pPr>
        <w:pStyle w:val="TOC2"/>
        <w:tabs>
          <w:tab w:val="right" w:leader="dot" w:pos="8306"/>
        </w:tabs>
      </w:pPr>
      <w:hyperlink w:anchor="_Toc456" w:history="1">
        <w:r>
          <w:rPr>
            <w:rFonts w:ascii="仿宋" w:eastAsia="仿宋" w:hAnsi="仿宋" w:cs="仿宋" w:hint="eastAsia"/>
            <w:lang w:eastAsia="zh-CN"/>
          </w:rPr>
          <w:t>(一)、变更申请与评估</w:t>
        </w:r>
        <w:r>
          <w:tab/>
        </w:r>
        <w:r>
          <w:fldChar w:fldCharType="begin"/>
        </w:r>
        <w:r>
          <w:instrText xml:space="preserve"> PAGEREF _Toc456 \h </w:instrText>
        </w:r>
        <w:r>
          <w:fldChar w:fldCharType="separate"/>
        </w:r>
        <w:r>
          <w:t>62</w:t>
        </w:r>
        <w:r>
          <w:fldChar w:fldCharType="end"/>
        </w:r>
      </w:hyperlink>
    </w:p>
    <w:p>
      <w:pPr>
        <w:pStyle w:val="TOC2"/>
        <w:tabs>
          <w:tab w:val="right" w:leader="dot" w:pos="8306"/>
        </w:tabs>
      </w:pPr>
      <w:hyperlink w:anchor="_Toc26745" w:history="1">
        <w:r>
          <w:rPr>
            <w:rFonts w:ascii="仿宋" w:eastAsia="仿宋" w:hAnsi="仿宋" w:cs="仿宋" w:hint="eastAsia"/>
            <w:lang w:eastAsia="zh-CN"/>
          </w:rPr>
          <w:t>(二)、变更实施与控制</w:t>
        </w:r>
        <w:r>
          <w:tab/>
        </w:r>
        <w:r>
          <w:fldChar w:fldCharType="begin"/>
        </w:r>
        <w:r>
          <w:instrText xml:space="preserve"> PAGEREF _Toc26745 \h </w:instrText>
        </w:r>
        <w:r>
          <w:fldChar w:fldCharType="separate"/>
        </w:r>
        <w:r>
          <w:t>63</w:t>
        </w:r>
        <w:r>
          <w:fldChar w:fldCharType="end"/>
        </w:r>
      </w:hyperlink>
    </w:p>
    <w:p>
      <w:pPr>
        <w:pStyle w:val="TOC1"/>
        <w:tabs>
          <w:tab w:val="right" w:leader="dot" w:pos="8306"/>
        </w:tabs>
      </w:pPr>
      <w:hyperlink w:anchor="_Toc10219" w:history="1">
        <w:r>
          <w:rPr>
            <w:rFonts w:ascii="仿宋" w:eastAsia="仿宋" w:hAnsi="仿宋" w:cs="仿宋" w:hint="eastAsia"/>
            <w:lang w:eastAsia="zh-CN"/>
          </w:rPr>
          <w:t>十七、供应链管理</w:t>
        </w:r>
        <w:r>
          <w:tab/>
        </w:r>
        <w:r>
          <w:fldChar w:fldCharType="begin"/>
        </w:r>
        <w:r>
          <w:instrText xml:space="preserve"> PAGEREF _Toc10219 \h </w:instrText>
        </w:r>
        <w:r>
          <w:fldChar w:fldCharType="separate"/>
        </w:r>
        <w:r>
          <w:t>63</w:t>
        </w:r>
        <w:r>
          <w:fldChar w:fldCharType="end"/>
        </w:r>
      </w:hyperlink>
    </w:p>
    <w:p>
      <w:pPr>
        <w:pStyle w:val="TOC2"/>
        <w:tabs>
          <w:tab w:val="right" w:leader="dot" w:pos="8306"/>
        </w:tabs>
      </w:pPr>
      <w:hyperlink w:anchor="_Toc22583" w:history="1">
        <w:r>
          <w:rPr>
            <w:rFonts w:ascii="仿宋" w:eastAsia="仿宋" w:hAnsi="仿宋" w:cs="仿宋" w:hint="eastAsia"/>
            <w:lang w:eastAsia="zh-CN"/>
          </w:rPr>
          <w:t>(一)、供应链战略规划</w:t>
        </w:r>
        <w:r>
          <w:tab/>
        </w:r>
        <w:r>
          <w:fldChar w:fldCharType="begin"/>
        </w:r>
        <w:r>
          <w:instrText xml:space="preserve"> PAGEREF _Toc22583 \h </w:instrText>
        </w:r>
        <w:r>
          <w:fldChar w:fldCharType="separate"/>
        </w:r>
        <w:r>
          <w:t>63</w:t>
        </w:r>
        <w:r>
          <w:fldChar w:fldCharType="end"/>
        </w:r>
      </w:hyperlink>
    </w:p>
    <w:p>
      <w:pPr>
        <w:pStyle w:val="TOC2"/>
        <w:tabs>
          <w:tab w:val="right" w:leader="dot" w:pos="8306"/>
        </w:tabs>
      </w:pPr>
      <w:hyperlink w:anchor="_Toc20954" w:history="1">
        <w:r>
          <w:rPr>
            <w:rFonts w:ascii="仿宋" w:eastAsia="仿宋" w:hAnsi="仿宋" w:cs="仿宋" w:hint="eastAsia"/>
            <w:lang w:eastAsia="zh-CN"/>
          </w:rPr>
          <w:t>(二)、供应商选择与合作</w:t>
        </w:r>
        <w:r>
          <w:tab/>
        </w:r>
        <w:r>
          <w:fldChar w:fldCharType="begin"/>
        </w:r>
        <w:r>
          <w:instrText xml:space="preserve"> PAGEREF _Toc20954 \h </w:instrText>
        </w:r>
        <w:r>
          <w:fldChar w:fldCharType="separate"/>
        </w:r>
        <w:r>
          <w:t>65</w:t>
        </w:r>
        <w:r>
          <w:fldChar w:fldCharType="end"/>
        </w:r>
      </w:hyperlink>
    </w:p>
    <w:p>
      <w:pPr>
        <w:pStyle w:val="TOC2"/>
        <w:tabs>
          <w:tab w:val="right" w:leader="dot" w:pos="8306"/>
        </w:tabs>
      </w:pPr>
      <w:hyperlink w:anchor="_Toc524" w:history="1">
        <w:r>
          <w:rPr>
            <w:rFonts w:ascii="仿宋" w:eastAsia="仿宋" w:hAnsi="仿宋" w:cs="仿宋" w:hint="eastAsia"/>
            <w:lang w:eastAsia="zh-CN"/>
          </w:rPr>
          <w:t>(三)、物流与库存管理</w:t>
        </w:r>
        <w:r>
          <w:tab/>
        </w:r>
        <w:r>
          <w:fldChar w:fldCharType="begin"/>
        </w:r>
        <w:r>
          <w:instrText xml:space="preserve"> PAGEREF _Toc524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148"/>
      <w:r>
        <w:rPr>
          <w:rFonts w:ascii="仿宋" w:eastAsia="仿宋" w:hAnsi="仿宋" w:cs="仿宋" w:hint="eastAsia"/>
          <w:sz w:val="28"/>
          <w:lang w:eastAsia="zh-CN"/>
        </w:rPr>
        <w:t>一、有机肥料及微生物肥料项目建设单位说明</w:t>
      </w:r>
      <w:bookmarkEnd w:id="2"/>
    </w:p>
    <w:p>
      <w:pPr>
        <w:pStyle w:val="Heading2"/>
        <w:rPr>
          <w:rFonts w:ascii="仿宋" w:eastAsia="仿宋" w:hAnsi="仿宋" w:cs="仿宋" w:hint="eastAsia"/>
          <w:lang w:eastAsia="zh-CN"/>
        </w:rPr>
      </w:pPr>
      <w:bookmarkStart w:id="3" w:name="_Toc1662"/>
      <w:r>
        <w:rPr>
          <w:rFonts w:ascii="仿宋" w:eastAsia="仿宋" w:hAnsi="仿宋" w:cs="仿宋" w:hint="eastAsia"/>
          <w:lang w:eastAsia="zh-CN"/>
        </w:rPr>
        <w:t>(一)、有机肥料及微生物肥料项目承办单位基本情况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有机肥料及微生物肥料项目承办单位的XXXX，我们着眼于实现可持续的经济效益。通过技术创新和解决方案的提供，公司预计在有机肥料及微生物肥料项目执行期间将获得可观的收入增长。这一收入来源主要包括有机肥料及微生物肥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同时，我们注重成本控制和效率提升，以确保有机肥料及微生物肥料项目的可持续盈利。透过精细的管理和资源优化，公司期望实现有机肥料及微生物肥料项目利润最大化。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有机肥料及微生物肥料项目实施进行全面的投资评估，包括有机肥料及微生物肥料项目启动阶段的资金投入和后续运营成本。通过对有机肥料及微生物肥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有机肥料及微生物肥料项目实施过程中具备足够的资金流动性，公司将进行详尽的现金流分析。这包括资金需求的合理预测、有机肥料及微生物肥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17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9181"/>
      <w:r>
        <w:rPr>
          <w:rFonts w:ascii="仿宋" w:eastAsia="仿宋" w:hAnsi="仿宋" w:cs="仿宋" w:hint="eastAsia"/>
          <w:lang w:eastAsia="zh-CN"/>
        </w:rPr>
        <w:t>(一)、有机肥料及微生物肥料行业分析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行业一直以来都是市场的关注焦点。行业内的发展趋势、竞争态势以及潜在机会都对有机肥料及微生物肥料项目的推进产生深远的影响。通过深入研究行业的整体概貌，我们将更好地理解行业的核心特征，为有机肥料及微生物肥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肥料及微生物肥料行业，技术一直是推动创新和发展的关键因素。我们将对当前技术趋势进行详尽分析，包括但不限于人工智能、大数据应用、先进制造技术等。这有助于有机肥料及微生物肥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机肥料及微生物肥料项目成功的基础。我们将对主要竞争对手进行深入研究，包括其市场份额、产品特点、市场定位等。通过全面了解竞争对手的优势和劣势，有机肥料及微生物肥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7955"/>
      <w:r>
        <w:rPr>
          <w:rFonts w:ascii="仿宋" w:eastAsia="仿宋" w:hAnsi="仿宋" w:cs="仿宋" w:hint="eastAsia"/>
          <w:sz w:val="28"/>
          <w:lang w:eastAsia="zh-CN"/>
        </w:rPr>
        <w:t>(二)、有机肥料及微生物肥料市场分析预测</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机肥料及微生物肥料市场未来的增长趋势。这包括市场的整体规模、各细分领域的发展趋势等。有机肥料及微生物肥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机肥料及微生物肥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有机肥料及微生物肥料项目实施过程中需要充分考虑的因素。我们将对市场风险进行全面评估，包括但不限于政策法规风险、市场竞争风险、技术变革风险等。通过对潜在风险的深入分析，有机肥料及微生物肥料项目可以制定相应的风险缓解策略，降低不确定性对有机肥料及微生物肥料项目的影响。</w:t>
      </w:r>
    </w:p>
    <w:p>
      <w:pPr>
        <w:pStyle w:val="Heading1"/>
        <w:ind w:firstLine="560" w:firstLineChars="200"/>
        <w:rPr>
          <w:rFonts w:ascii="仿宋" w:eastAsia="仿宋" w:hAnsi="仿宋" w:cs="仿宋" w:hint="eastAsia"/>
          <w:sz w:val="28"/>
          <w:lang w:eastAsia="zh-CN"/>
        </w:rPr>
      </w:pPr>
      <w:bookmarkStart w:id="8" w:name="_Toc5964"/>
      <w:r>
        <w:rPr>
          <w:rFonts w:ascii="仿宋" w:eastAsia="仿宋" w:hAnsi="仿宋" w:cs="仿宋" w:hint="eastAsia"/>
          <w:sz w:val="28"/>
          <w:lang w:eastAsia="zh-CN"/>
        </w:rPr>
        <w:t>三、有机肥料及微生物肥料项目文档管理</w:t>
      </w:r>
      <w:bookmarkEnd w:id="8"/>
    </w:p>
    <w:p>
      <w:pPr>
        <w:pStyle w:val="Heading2"/>
        <w:rPr>
          <w:rFonts w:ascii="仿宋" w:eastAsia="仿宋" w:hAnsi="仿宋" w:cs="仿宋" w:hint="eastAsia"/>
          <w:lang w:eastAsia="zh-CN"/>
        </w:rPr>
      </w:pPr>
      <w:bookmarkStart w:id="9" w:name="_Toc2625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有机肥料及微生物肥料项目高度重视文档的质量和准确性，以支持有机肥料及微生物肥料项目的各项活动和决策。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文档的编制始于有机肥料及微生物肥料项目计划的初期，我们制定了详细的文档编制计划，明确了每个文档的内容、格式和编写责任人。在有机肥料及微生物肥料项目启动阶段，我们首先编制了有机肥料及微生物肥料项目章程，明确定义了有机肥料及微生物肥料项目的目标、范围、风险等关键要素。随后，有机肥料及微生物肥料项目团队根据计划陆续编制了需求文档、设计文档、测试文档等各类文档，确保有机肥料及微生物肥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有机肥料及微生物肥料项目管理中的重要环节，旨在确保有机肥料及微生物肥料项目文档符合质量标准和有机肥料及微生物肥料项目需求。在有机肥料及微生物肥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有机肥料及微生物肥料项目相关利益方和专业领域的专家对文档进行独立审查。这有助于获取更全面、客观的反馈，确保有机肥料及微生物肥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在文档编制与审查方面建立了严格的管理机制，通过规范的流程和多维度的审查，确保有机肥料及微生物肥料项目文档的质量、准确性和可靠性，为有机肥料及微生物肥料项目的顺利推进提供了有力支持。</w:t>
      </w:r>
    </w:p>
    <w:p>
      <w:pPr>
        <w:pStyle w:val="Heading2"/>
        <w:ind w:firstLine="560" w:firstLineChars="200"/>
        <w:rPr>
          <w:rFonts w:ascii="仿宋" w:eastAsia="仿宋" w:hAnsi="仿宋" w:cs="仿宋" w:hint="eastAsia"/>
          <w:sz w:val="28"/>
          <w:lang w:eastAsia="zh-CN"/>
        </w:rPr>
      </w:pPr>
      <w:bookmarkStart w:id="10" w:name="_Toc1240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在有机肥料及微生物肥料项目中，我们致力于优化文档发布与分发过程，以确保信息的高效传递和团队间协作的顺畅进行。以下是我们采取的关键优化策略：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我们通过多渠道发布文档，包括电子邮件、有机肥料及微生物肥料项目管理平台、内部网站等，以满足不同团队成员的偏好和需求。多渠道发布确保了信息的全面覆盖。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我们采用了精细的权限控制，确保只有授权人员可以访问敏感信息。这种安全措施保护了有机肥料及微生物肥料项目文档的机密性，防止了未经授权的信息泄露。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761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有机肥料及微生物肥料项目生命周期中一个至关重要的环节，直接关系到有机肥料及微生物肥料项目信息的长期保存和历史记录的完整性。在有机肥料及微生物肥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8094"/>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43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有机肥料及微生物肥料项目的主要产品是XXXX，预计年产值为XXX万元。这一产品在市场中占据着重要的地位，其广泛的应用范围使得该有机肥料及微生物肥料项目的市场前景非常广阔。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有机肥料及微生物肥料项目的xxx产品作为重要的原材料之一，将在多个领域发挥关键作用。其在建筑、交通、能源等方面的广泛应用将为整个产业链提供强大的支持，形成产业协同效应。有机肥料及微生物肥料项目的年产值XXX万XXX万XXX万万元不仅反映了其在市场上的巨大潜力，更预示着它对国民经济的积极贡献。这种关联度高、涉及面广的产业关系，使得该有机肥料及微生物肥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473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总征地面积为XXXX平方米，相当于约XX.XX亩，其中净用地面积为XXXX平方米，红线范围内相当于约XX.XX亩。这一用地规模充分考虑了有机肥料及微生物肥料项目的建设需求，保障了有机肥料及微生物肥料项目在合适的空间内得以充分发展。有机肥料及微生物肥料项目规划的总建筑面积为XXXX平方米，其中主体工程建设占XXXX平方米，计容建筑面积达XXXX平方米。预计建筑工程的投资将达到XXXX万元，为有机肥料及微生物肥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计划购置的设备共计XXXX台（套），设备购置费用为XXXX万元。这一设备购置计划充分考虑到有机肥料及微生物肥料项目的生产需求和技术要求，确保了有机肥料及微生物肥料项目在生产运营中具备先进的技术装备和高效的生产能力。设备的合理配置将为有机肥料及微生物肥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计划总投资为XXXX万元，预计年实现营业收入为XXXX万元。这一产能规模的设定旨在确保有机肥料及微生物肥料项目能够在投资与回报之间取得平衡，实现长期可持续的发展。有机肥料及微生物肥料项目的总投资充分考虑到各个方面的需求，包括用地建设、设备购置等多个环节，以确保有机肥料及微生物肥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5309"/>
      <w:r>
        <w:rPr>
          <w:rFonts w:ascii="仿宋" w:eastAsia="仿宋" w:hAnsi="仿宋" w:cs="仿宋" w:hint="eastAsia"/>
          <w:sz w:val="28"/>
          <w:lang w:eastAsia="zh-CN"/>
        </w:rPr>
        <w:t>五、有机肥料及微生物肥料项目建设背景及必要性分析</w:t>
      </w:r>
      <w:bookmarkEnd w:id="15"/>
    </w:p>
    <w:p>
      <w:pPr>
        <w:pStyle w:val="Heading2"/>
        <w:rPr>
          <w:rFonts w:ascii="仿宋" w:eastAsia="仿宋" w:hAnsi="仿宋" w:cs="仿宋" w:hint="eastAsia"/>
          <w:lang w:eastAsia="zh-CN"/>
        </w:rPr>
      </w:pPr>
      <w:bookmarkStart w:id="16" w:name="_Toc12360"/>
      <w:r>
        <w:rPr>
          <w:rFonts w:ascii="仿宋" w:eastAsia="仿宋" w:hAnsi="仿宋" w:cs="仿宋" w:hint="eastAsia"/>
          <w:lang w:eastAsia="zh-CN"/>
        </w:rPr>
        <w:t>(一)、有机肥料及微生物肥料项目背景分析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有机肥料及微生物肥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有机肥料及微生物肥料项目在这个潮流中的定位。同时，我们将关注行业内涌现的新兴机遇，以便有机肥料及微生物肥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有机肥料及微生物肥料项目提供了强大的发展动力。我们将聚焦于行业内最新的技术发展趋势，包括但不限于人工智能、大数据分析、物联网等领域。通过深度的技术研究，我们将确保有机肥料及微生物肥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有机肥料及微生物肥料项目发展的源泉。我们将投入更多的精力对市场需求进行深入剖析，超越表面的需求，深入挖掘潜在的市场痛点和机遇。通过对市场需求的细致了解，有机肥料及微生物肥料项目将更有针对性地设计解决方案，满足市场的多样化需求，从而更好地促进有机肥料及微生物肥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有机肥料及微生物肥料项目战略至关重要。我们将对竞争态势进行更为深入的分析，包括但不限于市场份额、产品特点、客户满意度等多个维度。通过深度的竞争分析，有机肥料及微生物肥料项目将能够更准确地把握市场脉搏，制定具有竞争力的有机肥料及微生物肥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有机肥料及微生物肥料项目的发展具有直接的影响。我们将进行更为全面的法规和政策分析，了解行业发展中的潜在法律风险和合规挑战。通过充分了解和遵守相关法规，有机肥料及微生物肥料项目将确保在法律框架内合法合规运营，为有机肥料及微生物肥料项目的稳健发展提供有力支持。</w:t>
      </w:r>
    </w:p>
    <w:p>
      <w:pPr>
        <w:pStyle w:val="Heading2"/>
        <w:ind w:firstLine="560" w:firstLineChars="200"/>
        <w:rPr>
          <w:rFonts w:ascii="仿宋" w:eastAsia="仿宋" w:hAnsi="仿宋" w:cs="仿宋" w:hint="eastAsia"/>
          <w:sz w:val="28"/>
          <w:lang w:eastAsia="zh-CN"/>
        </w:rPr>
      </w:pPr>
      <w:bookmarkStart w:id="17" w:name="_Toc13480"/>
      <w:r>
        <w:rPr>
          <w:rFonts w:ascii="仿宋" w:eastAsia="仿宋" w:hAnsi="仿宋" w:cs="仿宋" w:hint="eastAsia"/>
          <w:sz w:val="28"/>
          <w:lang w:eastAsia="zh-CN"/>
        </w:rPr>
        <w:t>(二)、有机肥料及微生物肥料项目建设必要性分析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建设的迫切性源于对行业发展趋势的深刻洞察。我们正处于一个行业变革的时代，科技创新、数字化转型成为企业发展的关键动力。有机肥料及微生物肥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建设不仅仅是为了跟上潮流，更是为了通过技术创新推动企业的持续发展。通过引入先进的技术和解决方案，有机肥料及微生物肥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有机肥料及微生物肥料项目的建设成为必然选择，通过提高产品质量、拓展服务领域，从而在竞争中获得更多的机会。有机肥料及微生物肥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有机肥料及微生物肥料项目建设的必要性体现在对客户需求更精准的满足。通过有机肥料及微生物肥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建设的背后是对企业持续创新的追求。只有通过不断创新，企业才能在竞争中立于不败之地。有机肥料及微生物肥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8325"/>
      <w:r>
        <w:rPr>
          <w:rFonts w:ascii="仿宋" w:eastAsia="仿宋" w:hAnsi="仿宋" w:cs="仿宋" w:hint="eastAsia"/>
          <w:sz w:val="28"/>
          <w:lang w:eastAsia="zh-CN"/>
        </w:rPr>
        <w:t>六、有机肥料及微生物肥料项目概论</w:t>
      </w:r>
      <w:bookmarkEnd w:id="18"/>
    </w:p>
    <w:p>
      <w:pPr>
        <w:pStyle w:val="Heading2"/>
        <w:rPr>
          <w:rFonts w:ascii="仿宋" w:eastAsia="仿宋" w:hAnsi="仿宋" w:cs="仿宋" w:hint="eastAsia"/>
          <w:lang w:eastAsia="zh-CN"/>
        </w:rPr>
      </w:pPr>
      <w:bookmarkStart w:id="19" w:name="_Toc15572"/>
      <w:r>
        <w:rPr>
          <w:rFonts w:ascii="仿宋" w:eastAsia="仿宋" w:hAnsi="仿宋" w:cs="仿宋" w:hint="eastAsia"/>
          <w:lang w:eastAsia="zh-CN"/>
        </w:rPr>
        <w:t>(一)、有机肥料及微生物肥料项目概况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有机肥料及微生物肥料项目的起源追溯至对市场的深入洞察。市场的不断演变与变革为有机肥料及微生物肥料项目提供了难得的机遇。当前市场存在的需求缺口和变革的大环境共同构成了有机肥料及微生物肥料项目的背景。这个有机肥料及微生物肥料项目旨在充分利用市场机遇，填补行业中尚未满足的需求，为客户提供全新的解决方案。市场的变革和需求的增长使得这个有机肥料及微生物肥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有机肥料及微生物肥料项目名称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正式命名为有机肥料及微生物肥料。这个名称不仅仅是一个标识，更代表了有机肥料及微生物肥料项目的核心理念和愿景。它蕴含着有机肥料及微生物肥料项目所要解决问题的关键字，具有强烈的表达和辨识度，为有机肥料及微生物肥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有机肥料及微生物肥料项目目标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的核心目标是提供一种全新、高效的解决方案，满足客户日益增长的需求。有机肥料及微生物肥料项目追求的不仅仅是满足市场需求，更是在市场中获得卓越的竞争优势。通过不断提升产品或服务的质量和创新水平，有机肥料及微生物肥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有机肥料及微生物肥料项目范围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全面涵盖了产品研发、制造、市场推广和售后服务，确保从产品设计到最终用户体验的全方位关注。这一全面的有机肥料及微生物肥料项目范围是为了确保有机肥料及微生物肥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有机肥料及微生物肥料项目时间表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https://d.book118.com/716153010211010031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A53D93"/>
    <w:rsid w:val="2CA53D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15301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2024-01-04T08:48:00Z</dcterms:created>
  <dcterms:modified xsi:type="dcterms:W3CDTF">2024-01-04T08:48:45Z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F30154DD7E8F4477B9201D6C07F648AF_11</vt:lpwstr>
  </property>
  <property fmtid="{D5CDD505-2E9C-101B-9397-08002B2CF9AE}" pid="3" name="KSOProductBuildVer">
    <vt:lpwstr>2052-12.1.0.16120</vt:lpwstr>
  </property>
</Properties>
</file>