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2024年广告代理行业趋势报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9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一、安全与劳动保护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二、广告代理行业财务管理分析</w:t>
        </w:r>
        <w:r>
          <w:tab/>
        </w:r>
        <w:r>
          <w:fldChar w:fldCharType="begin"/>
        </w:r>
        <w:r>
          <w:instrText xml:space="preserve"> PAGEREF _Toc744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(一)、广告代理行业财务管理制度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(二)、广告代理行业经济效益分析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(三)、广告代理行业收入及成本核算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(四)、广告代理行业成本管理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三、环境与社会责任</w:t>
        </w:r>
        <w:r>
          <w:tab/>
        </w:r>
        <w:r>
          <w:fldChar w:fldCharType="begin"/>
        </w:r>
        <w:r>
          <w:instrText xml:space="preserve"> PAGEREF _Toc4510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四、资金筹措与投资分析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五、广告代理行业制度建设与执行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_Toc14639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六、广告代理行业背景及市场分析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(一)、广告代理行业创新驱动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(二)、广告代理行业发展现状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(三)、广告代理行业高质量发展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(四)、广告代理行业产业链分析</w:t>
        </w:r>
        <w:r>
          <w:tab/>
        </w:r>
        <w:r>
          <w:fldChar w:fldCharType="begin"/>
        </w:r>
        <w:r>
          <w:instrText xml:space="preserve"> PAGEREF _Toc4606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(五)、广告代理行业发展方向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(六)、广告代理行业前景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(七)、广告代理行业发展趋势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七、质量与技术管理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八、项目技术流程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_Toc26741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九、制度建设与管理</w:t>
        </w:r>
        <w:r>
          <w:tab/>
        </w:r>
        <w:r>
          <w:fldChar w:fldCharType="begin"/>
        </w:r>
        <w:r>
          <w:instrText xml:space="preserve"> PAGEREF _Toc8112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十、广告代理行业人才招聘与发展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_Toc24840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十二、广告代理行业公司治理与社会责任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_Toc19266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https://d.book118.com/716240002040010040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C581FEB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1624000204001004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