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新型肥料项目规划设计蓝图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95" w:history="1">
        <w:r>
          <w:rPr>
            <w:rFonts w:ascii="仿宋" w:eastAsia="仿宋" w:hAnsi="仿宋" w:cs="仿宋" w:hint="eastAsia"/>
            <w:lang w:eastAsia="zh-CN"/>
          </w:rPr>
          <w:t>概论</w:t>
        </w:r>
        <w:r>
          <w:tab/>
        </w:r>
        <w:r>
          <w:fldChar w:fldCharType="begin"/>
        </w:r>
        <w:r>
          <w:instrText xml:space="preserve"> PAGEREF _Toc7995 \h </w:instrText>
        </w:r>
        <w:r>
          <w:fldChar w:fldCharType="separate"/>
        </w:r>
        <w:r>
          <w:t>3</w:t>
        </w:r>
        <w:r>
          <w:fldChar w:fldCharType="end"/>
        </w:r>
      </w:hyperlink>
    </w:p>
    <w:p>
      <w:pPr>
        <w:pStyle w:val="TOC1"/>
        <w:tabs>
          <w:tab w:val="right" w:leader="dot" w:pos="8306"/>
        </w:tabs>
      </w:pPr>
      <w:hyperlink w:anchor="_Toc3500" w:history="1">
        <w:r>
          <w:rPr>
            <w:rFonts w:ascii="仿宋" w:eastAsia="仿宋" w:hAnsi="仿宋" w:cs="仿宋" w:hint="eastAsia"/>
            <w:lang w:eastAsia="zh-CN"/>
          </w:rPr>
          <w:t>一、新型肥料项目选址可行性分析</w:t>
        </w:r>
        <w:r>
          <w:tab/>
        </w:r>
        <w:r>
          <w:fldChar w:fldCharType="begin"/>
        </w:r>
        <w:r>
          <w:instrText xml:space="preserve"> PAGEREF _Toc3500 \h </w:instrText>
        </w:r>
        <w:r>
          <w:fldChar w:fldCharType="separate"/>
        </w:r>
        <w:r>
          <w:t>3</w:t>
        </w:r>
        <w:r>
          <w:fldChar w:fldCharType="end"/>
        </w:r>
      </w:hyperlink>
    </w:p>
    <w:p>
      <w:pPr>
        <w:pStyle w:val="TOC2"/>
        <w:tabs>
          <w:tab w:val="right" w:leader="dot" w:pos="8306"/>
        </w:tabs>
      </w:pPr>
      <w:hyperlink w:anchor="_Toc10446" w:history="1">
        <w:r>
          <w:rPr>
            <w:rFonts w:ascii="仿宋" w:eastAsia="仿宋" w:hAnsi="仿宋" w:cs="仿宋" w:hint="eastAsia"/>
            <w:lang w:eastAsia="zh-CN"/>
          </w:rPr>
          <w:t>(一)、新型肥料项目选址</w:t>
        </w:r>
        <w:r>
          <w:tab/>
        </w:r>
        <w:r>
          <w:fldChar w:fldCharType="begin"/>
        </w:r>
        <w:r>
          <w:instrText xml:space="preserve"> PAGEREF _Toc10446 \h </w:instrText>
        </w:r>
        <w:r>
          <w:fldChar w:fldCharType="separate"/>
        </w:r>
        <w:r>
          <w:t>3</w:t>
        </w:r>
        <w:r>
          <w:fldChar w:fldCharType="end"/>
        </w:r>
      </w:hyperlink>
    </w:p>
    <w:p>
      <w:pPr>
        <w:pStyle w:val="TOC2"/>
        <w:tabs>
          <w:tab w:val="right" w:leader="dot" w:pos="8306"/>
        </w:tabs>
      </w:pPr>
      <w:hyperlink w:anchor="_Toc15031" w:history="1">
        <w:r>
          <w:rPr>
            <w:rFonts w:ascii="仿宋" w:eastAsia="仿宋" w:hAnsi="仿宋" w:cs="仿宋" w:hint="eastAsia"/>
            <w:lang w:eastAsia="zh-CN"/>
          </w:rPr>
          <w:t>(二)、用地控制指标</w:t>
        </w:r>
        <w:r>
          <w:tab/>
        </w:r>
        <w:r>
          <w:fldChar w:fldCharType="begin"/>
        </w:r>
        <w:r>
          <w:instrText xml:space="preserve"> PAGEREF _Toc15031 \h </w:instrText>
        </w:r>
        <w:r>
          <w:fldChar w:fldCharType="separate"/>
        </w:r>
        <w:r>
          <w:t>3</w:t>
        </w:r>
        <w:r>
          <w:fldChar w:fldCharType="end"/>
        </w:r>
      </w:hyperlink>
    </w:p>
    <w:p>
      <w:pPr>
        <w:pStyle w:val="TOC2"/>
        <w:tabs>
          <w:tab w:val="right" w:leader="dot" w:pos="8306"/>
        </w:tabs>
      </w:pPr>
      <w:hyperlink w:anchor="_Toc22273" w:history="1">
        <w:r>
          <w:rPr>
            <w:rFonts w:ascii="仿宋" w:eastAsia="仿宋" w:hAnsi="仿宋" w:cs="仿宋" w:hint="eastAsia"/>
            <w:lang w:eastAsia="zh-CN"/>
          </w:rPr>
          <w:t>(三)、节约用地措施</w:t>
        </w:r>
        <w:r>
          <w:tab/>
        </w:r>
        <w:r>
          <w:fldChar w:fldCharType="begin"/>
        </w:r>
        <w:r>
          <w:instrText xml:space="preserve"> PAGEREF _Toc22273 \h </w:instrText>
        </w:r>
        <w:r>
          <w:fldChar w:fldCharType="separate"/>
        </w:r>
        <w:r>
          <w:t>5</w:t>
        </w:r>
        <w:r>
          <w:fldChar w:fldCharType="end"/>
        </w:r>
      </w:hyperlink>
    </w:p>
    <w:p>
      <w:pPr>
        <w:pStyle w:val="TOC2"/>
        <w:tabs>
          <w:tab w:val="right" w:leader="dot" w:pos="8306"/>
        </w:tabs>
      </w:pPr>
      <w:hyperlink w:anchor="_Toc22596" w:history="1">
        <w:r>
          <w:rPr>
            <w:rFonts w:ascii="仿宋" w:eastAsia="仿宋" w:hAnsi="仿宋" w:cs="仿宋" w:hint="eastAsia"/>
            <w:lang w:eastAsia="zh-CN"/>
          </w:rPr>
          <w:t>(四)、总图布置方案</w:t>
        </w:r>
        <w:r>
          <w:tab/>
        </w:r>
        <w:r>
          <w:fldChar w:fldCharType="begin"/>
        </w:r>
        <w:r>
          <w:instrText xml:space="preserve"> PAGEREF _Toc22596 \h </w:instrText>
        </w:r>
        <w:r>
          <w:fldChar w:fldCharType="separate"/>
        </w:r>
        <w:r>
          <w:t>6</w:t>
        </w:r>
        <w:r>
          <w:fldChar w:fldCharType="end"/>
        </w:r>
      </w:hyperlink>
    </w:p>
    <w:p>
      <w:pPr>
        <w:pStyle w:val="TOC2"/>
        <w:tabs>
          <w:tab w:val="right" w:leader="dot" w:pos="8306"/>
        </w:tabs>
      </w:pPr>
      <w:hyperlink w:anchor="_Toc11657" w:history="1">
        <w:r>
          <w:rPr>
            <w:rFonts w:ascii="仿宋" w:eastAsia="仿宋" w:hAnsi="仿宋" w:cs="仿宋" w:hint="eastAsia"/>
            <w:lang w:eastAsia="zh-CN"/>
          </w:rPr>
          <w:t>(五)、选址综合评价</w:t>
        </w:r>
        <w:r>
          <w:tab/>
        </w:r>
        <w:r>
          <w:fldChar w:fldCharType="begin"/>
        </w:r>
        <w:r>
          <w:instrText xml:space="preserve"> PAGEREF _Toc11657 \h </w:instrText>
        </w:r>
        <w:r>
          <w:fldChar w:fldCharType="separate"/>
        </w:r>
        <w:r>
          <w:t>7</w:t>
        </w:r>
        <w:r>
          <w:fldChar w:fldCharType="end"/>
        </w:r>
      </w:hyperlink>
    </w:p>
    <w:p>
      <w:pPr>
        <w:pStyle w:val="TOC1"/>
        <w:tabs>
          <w:tab w:val="right" w:leader="dot" w:pos="8306"/>
        </w:tabs>
      </w:pPr>
      <w:hyperlink w:anchor="_Toc20541" w:history="1">
        <w:r>
          <w:rPr>
            <w:rFonts w:ascii="仿宋" w:eastAsia="仿宋" w:hAnsi="仿宋" w:cs="仿宋" w:hint="eastAsia"/>
            <w:lang w:eastAsia="zh-CN"/>
          </w:rPr>
          <w:t>二、新型肥料项目文档管理</w:t>
        </w:r>
        <w:r>
          <w:tab/>
        </w:r>
        <w:r>
          <w:fldChar w:fldCharType="begin"/>
        </w:r>
        <w:r>
          <w:instrText xml:space="preserve"> PAGEREF _Toc20541 \h </w:instrText>
        </w:r>
        <w:r>
          <w:fldChar w:fldCharType="separate"/>
        </w:r>
        <w:r>
          <w:t>8</w:t>
        </w:r>
        <w:r>
          <w:fldChar w:fldCharType="end"/>
        </w:r>
      </w:hyperlink>
    </w:p>
    <w:p>
      <w:pPr>
        <w:pStyle w:val="TOC2"/>
        <w:tabs>
          <w:tab w:val="right" w:leader="dot" w:pos="8306"/>
        </w:tabs>
      </w:pPr>
      <w:hyperlink w:anchor="_Toc14222" w:history="1">
        <w:r>
          <w:rPr>
            <w:rFonts w:ascii="仿宋" w:eastAsia="仿宋" w:hAnsi="仿宋" w:cs="仿宋" w:hint="eastAsia"/>
            <w:lang w:eastAsia="zh-CN"/>
          </w:rPr>
          <w:t>(一)、文档编制与审查</w:t>
        </w:r>
        <w:r>
          <w:tab/>
        </w:r>
        <w:r>
          <w:fldChar w:fldCharType="begin"/>
        </w:r>
        <w:r>
          <w:instrText xml:space="preserve"> PAGEREF _Toc14222 \h </w:instrText>
        </w:r>
        <w:r>
          <w:fldChar w:fldCharType="separate"/>
        </w:r>
        <w:r>
          <w:t>8</w:t>
        </w:r>
        <w:r>
          <w:fldChar w:fldCharType="end"/>
        </w:r>
      </w:hyperlink>
    </w:p>
    <w:p>
      <w:pPr>
        <w:pStyle w:val="TOC2"/>
        <w:tabs>
          <w:tab w:val="right" w:leader="dot" w:pos="8306"/>
        </w:tabs>
      </w:pPr>
      <w:hyperlink w:anchor="_Toc11907" w:history="1">
        <w:r>
          <w:rPr>
            <w:rFonts w:ascii="仿宋" w:eastAsia="仿宋" w:hAnsi="仿宋" w:cs="仿宋" w:hint="eastAsia"/>
            <w:lang w:eastAsia="zh-CN"/>
          </w:rPr>
          <w:t>(二)、文档发布与分发</w:t>
        </w:r>
        <w:r>
          <w:tab/>
        </w:r>
        <w:r>
          <w:fldChar w:fldCharType="begin"/>
        </w:r>
        <w:r>
          <w:instrText xml:space="preserve"> PAGEREF _Toc11907 \h </w:instrText>
        </w:r>
        <w:r>
          <w:fldChar w:fldCharType="separate"/>
        </w:r>
        <w:r>
          <w:t>9</w:t>
        </w:r>
        <w:r>
          <w:fldChar w:fldCharType="end"/>
        </w:r>
      </w:hyperlink>
    </w:p>
    <w:p>
      <w:pPr>
        <w:pStyle w:val="TOC2"/>
        <w:tabs>
          <w:tab w:val="right" w:leader="dot" w:pos="8306"/>
        </w:tabs>
      </w:pPr>
      <w:hyperlink w:anchor="_Toc12632" w:history="1">
        <w:r>
          <w:rPr>
            <w:rFonts w:ascii="仿宋" w:eastAsia="仿宋" w:hAnsi="仿宋" w:cs="仿宋" w:hint="eastAsia"/>
            <w:lang w:eastAsia="zh-CN"/>
          </w:rPr>
          <w:t>(三)、文档存档与归档</w:t>
        </w:r>
        <w:r>
          <w:tab/>
        </w:r>
        <w:r>
          <w:fldChar w:fldCharType="begin"/>
        </w:r>
        <w:r>
          <w:instrText xml:space="preserve"> PAGEREF _Toc12632 \h </w:instrText>
        </w:r>
        <w:r>
          <w:fldChar w:fldCharType="separate"/>
        </w:r>
        <w:r>
          <w:t>10</w:t>
        </w:r>
        <w:r>
          <w:fldChar w:fldCharType="end"/>
        </w:r>
      </w:hyperlink>
    </w:p>
    <w:p>
      <w:pPr>
        <w:pStyle w:val="TOC1"/>
        <w:tabs>
          <w:tab w:val="right" w:leader="dot" w:pos="8306"/>
        </w:tabs>
      </w:pPr>
      <w:hyperlink w:anchor="_Toc26219" w:history="1">
        <w:r>
          <w:rPr>
            <w:rFonts w:ascii="仿宋" w:eastAsia="仿宋" w:hAnsi="仿宋" w:cs="仿宋" w:hint="eastAsia"/>
            <w:lang w:eastAsia="zh-CN"/>
          </w:rPr>
          <w:t>三、新型肥料项目绩效评估</w:t>
        </w:r>
        <w:r>
          <w:tab/>
        </w:r>
        <w:r>
          <w:fldChar w:fldCharType="begin"/>
        </w:r>
        <w:r>
          <w:instrText xml:space="preserve"> PAGEREF _Toc26219 \h </w:instrText>
        </w:r>
        <w:r>
          <w:fldChar w:fldCharType="separate"/>
        </w:r>
        <w:r>
          <w:t>12</w:t>
        </w:r>
        <w:r>
          <w:fldChar w:fldCharType="end"/>
        </w:r>
      </w:hyperlink>
    </w:p>
    <w:p>
      <w:pPr>
        <w:pStyle w:val="TOC2"/>
        <w:tabs>
          <w:tab w:val="right" w:leader="dot" w:pos="8306"/>
        </w:tabs>
      </w:pPr>
      <w:hyperlink w:anchor="_Toc28787" w:history="1">
        <w:r>
          <w:rPr>
            <w:rFonts w:ascii="仿宋" w:eastAsia="仿宋" w:hAnsi="仿宋" w:cs="仿宋" w:hint="eastAsia"/>
            <w:lang w:eastAsia="zh-CN"/>
          </w:rPr>
          <w:t>(一)、绩效评估指标</w:t>
        </w:r>
        <w:r>
          <w:tab/>
        </w:r>
        <w:r>
          <w:fldChar w:fldCharType="begin"/>
        </w:r>
        <w:r>
          <w:instrText xml:space="preserve"> PAGEREF _Toc28787 \h </w:instrText>
        </w:r>
        <w:r>
          <w:fldChar w:fldCharType="separate"/>
        </w:r>
        <w:r>
          <w:t>12</w:t>
        </w:r>
        <w:r>
          <w:fldChar w:fldCharType="end"/>
        </w:r>
      </w:hyperlink>
    </w:p>
    <w:p>
      <w:pPr>
        <w:pStyle w:val="TOC2"/>
        <w:tabs>
          <w:tab w:val="right" w:leader="dot" w:pos="8306"/>
        </w:tabs>
      </w:pPr>
      <w:hyperlink w:anchor="_Toc28872" w:history="1">
        <w:r>
          <w:rPr>
            <w:rFonts w:ascii="仿宋" w:eastAsia="仿宋" w:hAnsi="仿宋" w:cs="仿宋" w:hint="eastAsia"/>
            <w:lang w:eastAsia="zh-CN"/>
          </w:rPr>
          <w:t>(二)、绩效评估方法</w:t>
        </w:r>
        <w:r>
          <w:tab/>
        </w:r>
        <w:r>
          <w:fldChar w:fldCharType="begin"/>
        </w:r>
        <w:r>
          <w:instrText xml:space="preserve"> PAGEREF _Toc28872 \h </w:instrText>
        </w:r>
        <w:r>
          <w:fldChar w:fldCharType="separate"/>
        </w:r>
        <w:r>
          <w:t>13</w:t>
        </w:r>
        <w:r>
          <w:fldChar w:fldCharType="end"/>
        </w:r>
      </w:hyperlink>
    </w:p>
    <w:p>
      <w:pPr>
        <w:pStyle w:val="TOC2"/>
        <w:tabs>
          <w:tab w:val="right" w:leader="dot" w:pos="8306"/>
        </w:tabs>
      </w:pPr>
      <w:hyperlink w:anchor="_Toc1520" w:history="1">
        <w:r>
          <w:rPr>
            <w:rFonts w:ascii="仿宋" w:eastAsia="仿宋" w:hAnsi="仿宋" w:cs="仿宋" w:hint="eastAsia"/>
            <w:lang w:eastAsia="zh-CN"/>
          </w:rPr>
          <w:t>(三)、绩效评估周期</w:t>
        </w:r>
        <w:r>
          <w:tab/>
        </w:r>
        <w:r>
          <w:fldChar w:fldCharType="begin"/>
        </w:r>
        <w:r>
          <w:instrText xml:space="preserve"> PAGEREF _Toc1520 \h </w:instrText>
        </w:r>
        <w:r>
          <w:fldChar w:fldCharType="separate"/>
        </w:r>
        <w:r>
          <w:t>14</w:t>
        </w:r>
        <w:r>
          <w:fldChar w:fldCharType="end"/>
        </w:r>
      </w:hyperlink>
    </w:p>
    <w:p>
      <w:pPr>
        <w:pStyle w:val="TOC1"/>
        <w:tabs>
          <w:tab w:val="right" w:leader="dot" w:pos="8306"/>
        </w:tabs>
      </w:pPr>
      <w:hyperlink w:anchor="_Toc28595" w:history="1">
        <w:r>
          <w:rPr>
            <w:rFonts w:ascii="仿宋" w:eastAsia="仿宋" w:hAnsi="仿宋" w:cs="仿宋" w:hint="eastAsia"/>
            <w:lang w:eastAsia="zh-CN"/>
          </w:rPr>
          <w:t>四、工艺说明</w:t>
        </w:r>
        <w:r>
          <w:tab/>
        </w:r>
        <w:r>
          <w:fldChar w:fldCharType="begin"/>
        </w:r>
        <w:r>
          <w:instrText xml:space="preserve"> PAGEREF _Toc28595 \h </w:instrText>
        </w:r>
        <w:r>
          <w:fldChar w:fldCharType="separate"/>
        </w:r>
        <w:r>
          <w:t>15</w:t>
        </w:r>
        <w:r>
          <w:fldChar w:fldCharType="end"/>
        </w:r>
      </w:hyperlink>
    </w:p>
    <w:p>
      <w:pPr>
        <w:pStyle w:val="TOC2"/>
        <w:tabs>
          <w:tab w:val="right" w:leader="dot" w:pos="8306"/>
        </w:tabs>
      </w:pPr>
      <w:hyperlink w:anchor="_Toc13225" w:history="1">
        <w:r>
          <w:rPr>
            <w:rFonts w:ascii="仿宋" w:eastAsia="仿宋" w:hAnsi="仿宋" w:cs="仿宋" w:hint="eastAsia"/>
            <w:lang w:eastAsia="zh-CN"/>
          </w:rPr>
          <w:t>(一)、技术管理特点</w:t>
        </w:r>
        <w:r>
          <w:tab/>
        </w:r>
        <w:r>
          <w:fldChar w:fldCharType="begin"/>
        </w:r>
        <w:r>
          <w:instrText xml:space="preserve"> PAGEREF _Toc13225 \h </w:instrText>
        </w:r>
        <w:r>
          <w:fldChar w:fldCharType="separate"/>
        </w:r>
        <w:r>
          <w:t>15</w:t>
        </w:r>
        <w:r>
          <w:fldChar w:fldCharType="end"/>
        </w:r>
      </w:hyperlink>
    </w:p>
    <w:p>
      <w:pPr>
        <w:pStyle w:val="TOC2"/>
        <w:tabs>
          <w:tab w:val="right" w:leader="dot" w:pos="8306"/>
        </w:tabs>
      </w:pPr>
      <w:hyperlink w:anchor="_Toc11572" w:history="1">
        <w:r>
          <w:rPr>
            <w:rFonts w:ascii="仿宋" w:eastAsia="仿宋" w:hAnsi="仿宋" w:cs="仿宋" w:hint="eastAsia"/>
            <w:lang w:eastAsia="zh-CN"/>
          </w:rPr>
          <w:t>(二)、新型肥料项目工艺技术设计方案</w:t>
        </w:r>
        <w:r>
          <w:tab/>
        </w:r>
        <w:r>
          <w:fldChar w:fldCharType="begin"/>
        </w:r>
        <w:r>
          <w:instrText xml:space="preserve"> PAGEREF _Toc11572 \h </w:instrText>
        </w:r>
        <w:r>
          <w:fldChar w:fldCharType="separate"/>
        </w:r>
        <w:r>
          <w:t>16</w:t>
        </w:r>
        <w:r>
          <w:fldChar w:fldCharType="end"/>
        </w:r>
      </w:hyperlink>
    </w:p>
    <w:p>
      <w:pPr>
        <w:pStyle w:val="TOC2"/>
        <w:tabs>
          <w:tab w:val="right" w:leader="dot" w:pos="8306"/>
        </w:tabs>
      </w:pPr>
      <w:hyperlink w:anchor="_Toc21688" w:history="1">
        <w:r>
          <w:rPr>
            <w:rFonts w:ascii="仿宋" w:eastAsia="仿宋" w:hAnsi="仿宋" w:cs="仿宋" w:hint="eastAsia"/>
            <w:lang w:eastAsia="zh-CN"/>
          </w:rPr>
          <w:t>(三)、设备选型方案</w:t>
        </w:r>
        <w:r>
          <w:tab/>
        </w:r>
        <w:r>
          <w:fldChar w:fldCharType="begin"/>
        </w:r>
        <w:r>
          <w:instrText xml:space="preserve"> PAGEREF _Toc21688 \h </w:instrText>
        </w:r>
        <w:r>
          <w:fldChar w:fldCharType="separate"/>
        </w:r>
        <w:r>
          <w:t>17</w:t>
        </w:r>
        <w:r>
          <w:fldChar w:fldCharType="end"/>
        </w:r>
      </w:hyperlink>
    </w:p>
    <w:p>
      <w:pPr>
        <w:pStyle w:val="TOC1"/>
        <w:tabs>
          <w:tab w:val="right" w:leader="dot" w:pos="8306"/>
        </w:tabs>
      </w:pPr>
      <w:hyperlink w:anchor="_Toc13422" w:history="1">
        <w:r>
          <w:rPr>
            <w:rFonts w:ascii="仿宋" w:eastAsia="仿宋" w:hAnsi="仿宋" w:cs="仿宋" w:hint="eastAsia"/>
            <w:lang w:eastAsia="zh-CN"/>
          </w:rPr>
          <w:t>五、新型肥料项目土建工程</w:t>
        </w:r>
        <w:r>
          <w:tab/>
        </w:r>
        <w:r>
          <w:fldChar w:fldCharType="begin"/>
        </w:r>
        <w:r>
          <w:instrText xml:space="preserve"> PAGEREF _Toc13422 \h </w:instrText>
        </w:r>
        <w:r>
          <w:fldChar w:fldCharType="separate"/>
        </w:r>
        <w:r>
          <w:t>18</w:t>
        </w:r>
        <w:r>
          <w:fldChar w:fldCharType="end"/>
        </w:r>
      </w:hyperlink>
    </w:p>
    <w:p>
      <w:pPr>
        <w:pStyle w:val="TOC2"/>
        <w:tabs>
          <w:tab w:val="right" w:leader="dot" w:pos="8306"/>
        </w:tabs>
      </w:pPr>
      <w:hyperlink w:anchor="_Toc6777" w:history="1">
        <w:r>
          <w:rPr>
            <w:rFonts w:ascii="仿宋" w:eastAsia="仿宋" w:hAnsi="仿宋" w:cs="仿宋" w:hint="eastAsia"/>
            <w:lang w:eastAsia="zh-CN"/>
          </w:rPr>
          <w:t>(一)、建筑工程设计原则</w:t>
        </w:r>
        <w:r>
          <w:tab/>
        </w:r>
        <w:r>
          <w:fldChar w:fldCharType="begin"/>
        </w:r>
        <w:r>
          <w:instrText xml:space="preserve"> PAGEREF _Toc6777 \h </w:instrText>
        </w:r>
        <w:r>
          <w:fldChar w:fldCharType="separate"/>
        </w:r>
        <w:r>
          <w:t>18</w:t>
        </w:r>
        <w:r>
          <w:fldChar w:fldCharType="end"/>
        </w:r>
      </w:hyperlink>
    </w:p>
    <w:p>
      <w:pPr>
        <w:pStyle w:val="TOC2"/>
        <w:tabs>
          <w:tab w:val="right" w:leader="dot" w:pos="8306"/>
        </w:tabs>
      </w:pPr>
      <w:hyperlink w:anchor="_Toc260" w:history="1">
        <w:r>
          <w:rPr>
            <w:rFonts w:ascii="仿宋" w:eastAsia="仿宋" w:hAnsi="仿宋" w:cs="仿宋" w:hint="eastAsia"/>
            <w:lang w:eastAsia="zh-CN"/>
          </w:rPr>
          <w:t>(二)、土建工程设计年限及安全等级</w:t>
        </w:r>
        <w:r>
          <w:tab/>
        </w:r>
        <w:r>
          <w:fldChar w:fldCharType="begin"/>
        </w:r>
        <w:r>
          <w:instrText xml:space="preserve"> PAGEREF _Toc260 \h </w:instrText>
        </w:r>
        <w:r>
          <w:fldChar w:fldCharType="separate"/>
        </w:r>
        <w:r>
          <w:t>20</w:t>
        </w:r>
        <w:r>
          <w:fldChar w:fldCharType="end"/>
        </w:r>
      </w:hyperlink>
    </w:p>
    <w:p>
      <w:pPr>
        <w:pStyle w:val="TOC2"/>
        <w:tabs>
          <w:tab w:val="right" w:leader="dot" w:pos="8306"/>
        </w:tabs>
      </w:pPr>
      <w:hyperlink w:anchor="_Toc19153" w:history="1">
        <w:r>
          <w:rPr>
            <w:rFonts w:ascii="仿宋" w:eastAsia="仿宋" w:hAnsi="仿宋" w:cs="仿宋" w:hint="eastAsia"/>
            <w:lang w:eastAsia="zh-CN"/>
          </w:rPr>
          <w:t>(三)、建筑工程设计总体要求</w:t>
        </w:r>
        <w:r>
          <w:tab/>
        </w:r>
        <w:r>
          <w:fldChar w:fldCharType="begin"/>
        </w:r>
        <w:r>
          <w:instrText xml:space="preserve"> PAGEREF _Toc19153 \h </w:instrText>
        </w:r>
        <w:r>
          <w:fldChar w:fldCharType="separate"/>
        </w:r>
        <w:r>
          <w:t>21</w:t>
        </w:r>
        <w:r>
          <w:fldChar w:fldCharType="end"/>
        </w:r>
      </w:hyperlink>
    </w:p>
    <w:p>
      <w:pPr>
        <w:pStyle w:val="TOC2"/>
        <w:tabs>
          <w:tab w:val="right" w:leader="dot" w:pos="8306"/>
        </w:tabs>
      </w:pPr>
      <w:hyperlink w:anchor="_Toc24271" w:history="1">
        <w:r>
          <w:rPr>
            <w:rFonts w:ascii="仿宋" w:eastAsia="仿宋" w:hAnsi="仿宋" w:cs="仿宋" w:hint="eastAsia"/>
            <w:lang w:eastAsia="zh-CN"/>
          </w:rPr>
          <w:t>(四)、土建工程建设指标</w:t>
        </w:r>
        <w:r>
          <w:tab/>
        </w:r>
        <w:r>
          <w:fldChar w:fldCharType="begin"/>
        </w:r>
        <w:r>
          <w:instrText xml:space="preserve"> PAGEREF _Toc24271 \h </w:instrText>
        </w:r>
        <w:r>
          <w:fldChar w:fldCharType="separate"/>
        </w:r>
        <w:r>
          <w:t>21</w:t>
        </w:r>
        <w:r>
          <w:fldChar w:fldCharType="end"/>
        </w:r>
      </w:hyperlink>
    </w:p>
    <w:p>
      <w:pPr>
        <w:pStyle w:val="TOC1"/>
        <w:tabs>
          <w:tab w:val="right" w:leader="dot" w:pos="8306"/>
        </w:tabs>
      </w:pPr>
      <w:hyperlink w:anchor="_Toc20889" w:history="1">
        <w:r>
          <w:rPr>
            <w:rFonts w:ascii="仿宋" w:eastAsia="仿宋" w:hAnsi="仿宋" w:cs="仿宋" w:hint="eastAsia"/>
            <w:lang w:eastAsia="zh-CN"/>
          </w:rPr>
          <w:t>六、产品规划分析</w:t>
        </w:r>
        <w:r>
          <w:tab/>
        </w:r>
        <w:r>
          <w:fldChar w:fldCharType="begin"/>
        </w:r>
        <w:r>
          <w:instrText xml:space="preserve"> PAGEREF _Toc20889 \h </w:instrText>
        </w:r>
        <w:r>
          <w:fldChar w:fldCharType="separate"/>
        </w:r>
        <w:r>
          <w:t>22</w:t>
        </w:r>
        <w:r>
          <w:fldChar w:fldCharType="end"/>
        </w:r>
      </w:hyperlink>
    </w:p>
    <w:p>
      <w:pPr>
        <w:pStyle w:val="TOC2"/>
        <w:tabs>
          <w:tab w:val="right" w:leader="dot" w:pos="8306"/>
        </w:tabs>
      </w:pPr>
      <w:hyperlink w:anchor="_Toc9246" w:history="1">
        <w:r>
          <w:rPr>
            <w:rFonts w:ascii="仿宋" w:eastAsia="仿宋" w:hAnsi="仿宋" w:cs="仿宋" w:hint="eastAsia"/>
            <w:lang w:eastAsia="zh-CN"/>
          </w:rPr>
          <w:t>(一)、产品规划</w:t>
        </w:r>
        <w:r>
          <w:tab/>
        </w:r>
        <w:r>
          <w:fldChar w:fldCharType="begin"/>
        </w:r>
        <w:r>
          <w:instrText xml:space="preserve"> PAGEREF _Toc9246 \h </w:instrText>
        </w:r>
        <w:r>
          <w:fldChar w:fldCharType="separate"/>
        </w:r>
        <w:r>
          <w:t>22</w:t>
        </w:r>
        <w:r>
          <w:fldChar w:fldCharType="end"/>
        </w:r>
      </w:hyperlink>
    </w:p>
    <w:p>
      <w:pPr>
        <w:pStyle w:val="TOC2"/>
        <w:tabs>
          <w:tab w:val="right" w:leader="dot" w:pos="8306"/>
        </w:tabs>
      </w:pPr>
      <w:hyperlink w:anchor="_Toc18004" w:history="1">
        <w:r>
          <w:rPr>
            <w:rFonts w:ascii="仿宋" w:eastAsia="仿宋" w:hAnsi="仿宋" w:cs="仿宋" w:hint="eastAsia"/>
            <w:lang w:eastAsia="zh-CN"/>
          </w:rPr>
          <w:t>(二)、建设规模</w:t>
        </w:r>
        <w:r>
          <w:tab/>
        </w:r>
        <w:r>
          <w:fldChar w:fldCharType="begin"/>
        </w:r>
        <w:r>
          <w:instrText xml:space="preserve"> PAGEREF _Toc18004 \h </w:instrText>
        </w:r>
        <w:r>
          <w:fldChar w:fldCharType="separate"/>
        </w:r>
        <w:r>
          <w:t>23</w:t>
        </w:r>
        <w:r>
          <w:fldChar w:fldCharType="end"/>
        </w:r>
      </w:hyperlink>
    </w:p>
    <w:p>
      <w:pPr>
        <w:pStyle w:val="TOC1"/>
        <w:tabs>
          <w:tab w:val="right" w:leader="dot" w:pos="8306"/>
        </w:tabs>
      </w:pPr>
      <w:hyperlink w:anchor="_Toc789" w:history="1">
        <w:r>
          <w:rPr>
            <w:rFonts w:ascii="仿宋" w:eastAsia="仿宋" w:hAnsi="仿宋" w:cs="仿宋" w:hint="eastAsia"/>
            <w:lang w:eastAsia="zh-CN"/>
          </w:rPr>
          <w:t>七、生产安全保护</w:t>
        </w:r>
        <w:r>
          <w:tab/>
        </w:r>
        <w:r>
          <w:fldChar w:fldCharType="begin"/>
        </w:r>
        <w:r>
          <w:instrText xml:space="preserve"> PAGEREF _Toc789 \h </w:instrText>
        </w:r>
        <w:r>
          <w:fldChar w:fldCharType="separate"/>
        </w:r>
        <w:r>
          <w:t>24</w:t>
        </w:r>
        <w:r>
          <w:fldChar w:fldCharType="end"/>
        </w:r>
      </w:hyperlink>
    </w:p>
    <w:p>
      <w:pPr>
        <w:pStyle w:val="TOC2"/>
        <w:tabs>
          <w:tab w:val="right" w:leader="dot" w:pos="8306"/>
        </w:tabs>
      </w:pPr>
      <w:hyperlink w:anchor="_Toc20632" w:history="1">
        <w:r>
          <w:rPr>
            <w:rFonts w:ascii="仿宋" w:eastAsia="仿宋" w:hAnsi="仿宋" w:cs="仿宋" w:hint="eastAsia"/>
            <w:lang w:eastAsia="zh-CN"/>
          </w:rPr>
          <w:t>(一)、消防安全</w:t>
        </w:r>
        <w:r>
          <w:tab/>
        </w:r>
        <w:r>
          <w:fldChar w:fldCharType="begin"/>
        </w:r>
        <w:r>
          <w:instrText xml:space="preserve"> PAGEREF _Toc20632 \h </w:instrText>
        </w:r>
        <w:r>
          <w:fldChar w:fldCharType="separate"/>
        </w:r>
        <w:r>
          <w:t>24</w:t>
        </w:r>
        <w:r>
          <w:fldChar w:fldCharType="end"/>
        </w:r>
      </w:hyperlink>
    </w:p>
    <w:p>
      <w:pPr>
        <w:pStyle w:val="TOC2"/>
        <w:tabs>
          <w:tab w:val="right" w:leader="dot" w:pos="8306"/>
        </w:tabs>
      </w:pPr>
      <w:hyperlink w:anchor="_Toc21225" w:history="1">
        <w:r>
          <w:rPr>
            <w:rFonts w:ascii="仿宋" w:eastAsia="仿宋" w:hAnsi="仿宋" w:cs="仿宋" w:hint="eastAsia"/>
            <w:lang w:eastAsia="zh-CN"/>
          </w:rPr>
          <w:t>(二)、防火防爆总图布置措施</w:t>
        </w:r>
        <w:r>
          <w:tab/>
        </w:r>
        <w:r>
          <w:fldChar w:fldCharType="begin"/>
        </w:r>
        <w:r>
          <w:instrText xml:space="preserve"> PAGEREF _Toc21225 \h </w:instrText>
        </w:r>
        <w:r>
          <w:fldChar w:fldCharType="separate"/>
        </w:r>
        <w:r>
          <w:t>25</w:t>
        </w:r>
        <w:r>
          <w:fldChar w:fldCharType="end"/>
        </w:r>
      </w:hyperlink>
    </w:p>
    <w:p>
      <w:pPr>
        <w:pStyle w:val="TOC2"/>
        <w:tabs>
          <w:tab w:val="right" w:leader="dot" w:pos="8306"/>
        </w:tabs>
      </w:pPr>
      <w:hyperlink w:anchor="_Toc26842" w:history="1">
        <w:r>
          <w:rPr>
            <w:rFonts w:ascii="仿宋" w:eastAsia="仿宋" w:hAnsi="仿宋" w:cs="仿宋" w:hint="eastAsia"/>
            <w:lang w:eastAsia="zh-CN"/>
          </w:rPr>
          <w:t>(三)、自然灾害防范措施</w:t>
        </w:r>
        <w:r>
          <w:tab/>
        </w:r>
        <w:r>
          <w:fldChar w:fldCharType="begin"/>
        </w:r>
        <w:r>
          <w:instrText xml:space="preserve"> PAGEREF _Toc26842 \h </w:instrText>
        </w:r>
        <w:r>
          <w:fldChar w:fldCharType="separate"/>
        </w:r>
        <w:r>
          <w:t>26</w:t>
        </w:r>
        <w:r>
          <w:fldChar w:fldCharType="end"/>
        </w:r>
      </w:hyperlink>
    </w:p>
    <w:p>
      <w:pPr>
        <w:pStyle w:val="TOC2"/>
        <w:tabs>
          <w:tab w:val="right" w:leader="dot" w:pos="8306"/>
        </w:tabs>
      </w:pPr>
      <w:hyperlink w:anchor="_Toc30725" w:history="1">
        <w:r>
          <w:rPr>
            <w:rFonts w:ascii="仿宋" w:eastAsia="仿宋" w:hAnsi="仿宋" w:cs="仿宋" w:hint="eastAsia"/>
            <w:lang w:eastAsia="zh-CN"/>
          </w:rPr>
          <w:t>(四)、安全色及安全标志使用要求</w:t>
        </w:r>
        <w:r>
          <w:tab/>
        </w:r>
        <w:r>
          <w:fldChar w:fldCharType="begin"/>
        </w:r>
        <w:r>
          <w:instrText xml:space="preserve"> PAGEREF _Toc30725 \h </w:instrText>
        </w:r>
        <w:r>
          <w:fldChar w:fldCharType="separate"/>
        </w:r>
        <w:r>
          <w:t>27</w:t>
        </w:r>
        <w:r>
          <w:fldChar w:fldCharType="end"/>
        </w:r>
      </w:hyperlink>
    </w:p>
    <w:p>
      <w:pPr>
        <w:pStyle w:val="TOC2"/>
        <w:tabs>
          <w:tab w:val="right" w:leader="dot" w:pos="8306"/>
        </w:tabs>
      </w:pPr>
      <w:hyperlink w:anchor="_Toc8315" w:history="1">
        <w:r>
          <w:rPr>
            <w:rFonts w:ascii="仿宋" w:eastAsia="仿宋" w:hAnsi="仿宋" w:cs="仿宋" w:hint="eastAsia"/>
            <w:lang w:eastAsia="zh-CN"/>
          </w:rPr>
          <w:t>(五)、防尘防毒措施</w:t>
        </w:r>
        <w:r>
          <w:tab/>
        </w:r>
        <w:r>
          <w:fldChar w:fldCharType="begin"/>
        </w:r>
        <w:r>
          <w:instrText xml:space="preserve"> PAGEREF _Toc8315 \h </w:instrText>
        </w:r>
        <w:r>
          <w:fldChar w:fldCharType="separate"/>
        </w:r>
        <w:r>
          <w:t>28</w:t>
        </w:r>
        <w:r>
          <w:fldChar w:fldCharType="end"/>
        </w:r>
      </w:hyperlink>
    </w:p>
    <w:p>
      <w:pPr>
        <w:pStyle w:val="TOC2"/>
        <w:tabs>
          <w:tab w:val="right" w:leader="dot" w:pos="8306"/>
        </w:tabs>
      </w:pPr>
      <w:hyperlink w:anchor="_Toc2658" w:history="1">
        <w:r>
          <w:rPr>
            <w:rFonts w:ascii="仿宋" w:eastAsia="仿宋" w:hAnsi="仿宋" w:cs="仿宋" w:hint="eastAsia"/>
            <w:lang w:eastAsia="zh-CN"/>
          </w:rPr>
          <w:t>(六)、防静电、触电防护及防雷措施</w:t>
        </w:r>
        <w:r>
          <w:tab/>
        </w:r>
        <w:r>
          <w:fldChar w:fldCharType="begin"/>
        </w:r>
        <w:r>
          <w:instrText xml:space="preserve"> PAGEREF _Toc2658 \h </w:instrText>
        </w:r>
        <w:r>
          <w:fldChar w:fldCharType="separate"/>
        </w:r>
        <w:r>
          <w:t>29</w:t>
        </w:r>
        <w:r>
          <w:fldChar w:fldCharType="end"/>
        </w:r>
      </w:hyperlink>
    </w:p>
    <w:p>
      <w:pPr>
        <w:pStyle w:val="TOC2"/>
        <w:tabs>
          <w:tab w:val="right" w:leader="dot" w:pos="8306"/>
        </w:tabs>
      </w:pPr>
      <w:hyperlink w:anchor="_Toc13122" w:history="1">
        <w:r>
          <w:rPr>
            <w:rFonts w:ascii="仿宋" w:eastAsia="仿宋" w:hAnsi="仿宋" w:cs="仿宋" w:hint="eastAsia"/>
            <w:lang w:eastAsia="zh-CN"/>
          </w:rPr>
          <w:t>(七)、机械设备安全保障措施</w:t>
        </w:r>
        <w:r>
          <w:tab/>
        </w:r>
        <w:r>
          <w:fldChar w:fldCharType="begin"/>
        </w:r>
        <w:r>
          <w:instrText xml:space="preserve"> PAGEREF _Toc13122 \h </w:instrText>
        </w:r>
        <w:r>
          <w:fldChar w:fldCharType="separate"/>
        </w:r>
        <w:r>
          <w:t>30</w:t>
        </w:r>
        <w:r>
          <w:fldChar w:fldCharType="end"/>
        </w:r>
      </w:hyperlink>
    </w:p>
    <w:p>
      <w:pPr>
        <w:pStyle w:val="TOC1"/>
        <w:tabs>
          <w:tab w:val="right" w:leader="dot" w:pos="8306"/>
        </w:tabs>
      </w:pPr>
      <w:hyperlink w:anchor="_Toc5016" w:history="1">
        <w:r>
          <w:rPr>
            <w:rFonts w:ascii="仿宋" w:eastAsia="仿宋" w:hAnsi="仿宋" w:cs="仿宋" w:hint="eastAsia"/>
            <w:lang w:eastAsia="zh-CN"/>
          </w:rPr>
          <w:t>八、新型肥料项目财务管理</w:t>
        </w:r>
        <w:r>
          <w:tab/>
        </w:r>
        <w:r>
          <w:fldChar w:fldCharType="begin"/>
        </w:r>
        <w:r>
          <w:instrText xml:space="preserve"> PAGEREF _Toc5016 \h </w:instrText>
        </w:r>
        <w:r>
          <w:fldChar w:fldCharType="separate"/>
        </w:r>
        <w:r>
          <w:t>31</w:t>
        </w:r>
        <w:r>
          <w:fldChar w:fldCharType="end"/>
        </w:r>
      </w:hyperlink>
    </w:p>
    <w:p>
      <w:pPr>
        <w:pStyle w:val="TOC2"/>
        <w:tabs>
          <w:tab w:val="right" w:leader="dot" w:pos="8306"/>
        </w:tabs>
      </w:pPr>
      <w:hyperlink w:anchor="_Toc30121" w:history="1">
        <w:r>
          <w:rPr>
            <w:rFonts w:ascii="仿宋" w:eastAsia="仿宋" w:hAnsi="仿宋" w:cs="仿宋" w:hint="eastAsia"/>
            <w:lang w:eastAsia="zh-CN"/>
          </w:rPr>
          <w:t>(一)、资金需求大</w:t>
        </w:r>
        <w:r>
          <w:tab/>
        </w:r>
        <w:r>
          <w:fldChar w:fldCharType="begin"/>
        </w:r>
        <w:r>
          <w:instrText xml:space="preserve"> PAGEREF _Toc30121 \h </w:instrText>
        </w:r>
        <w:r>
          <w:fldChar w:fldCharType="separate"/>
        </w:r>
        <w:r>
          <w:t>31</w:t>
        </w:r>
        <w:r>
          <w:fldChar w:fldCharType="end"/>
        </w:r>
      </w:hyperlink>
    </w:p>
    <w:p>
      <w:pPr>
        <w:pStyle w:val="TOC2"/>
        <w:tabs>
          <w:tab w:val="right" w:leader="dot" w:pos="8306"/>
        </w:tabs>
      </w:pPr>
      <w:hyperlink w:anchor="_Toc19053" w:history="1">
        <w:r>
          <w:rPr>
            <w:rFonts w:ascii="仿宋" w:eastAsia="仿宋" w:hAnsi="仿宋" w:cs="仿宋" w:hint="eastAsia"/>
            <w:lang w:eastAsia="zh-CN"/>
          </w:rPr>
          <w:t>(二)、研发周期长</w:t>
        </w:r>
        <w:r>
          <w:tab/>
        </w:r>
        <w:r>
          <w:fldChar w:fldCharType="begin"/>
        </w:r>
        <w:r>
          <w:instrText xml:space="preserve"> PAGEREF _Toc19053 \h </w:instrText>
        </w:r>
        <w:r>
          <w:fldChar w:fldCharType="separate"/>
        </w:r>
        <w:r>
          <w:t>33</w:t>
        </w:r>
        <w:r>
          <w:fldChar w:fldCharType="end"/>
        </w:r>
      </w:hyperlink>
    </w:p>
    <w:p>
      <w:pPr>
        <w:pStyle w:val="TOC2"/>
        <w:tabs>
          <w:tab w:val="right" w:leader="dot" w:pos="8306"/>
        </w:tabs>
      </w:pPr>
      <w:hyperlink w:anchor="_Toc3758" w:history="1">
        <w:r>
          <w:rPr>
            <w:rFonts w:ascii="仿宋" w:eastAsia="仿宋" w:hAnsi="仿宋" w:cs="仿宋" w:hint="eastAsia"/>
            <w:lang w:eastAsia="zh-CN"/>
          </w:rPr>
          <w:t>(三)、市场风险大</w:t>
        </w:r>
        <w:r>
          <w:tab/>
        </w:r>
        <w:r>
          <w:fldChar w:fldCharType="begin"/>
        </w:r>
        <w:r>
          <w:instrText xml:space="preserve"> PAGEREF _Toc3758 \h </w:instrText>
        </w:r>
        <w:r>
          <w:fldChar w:fldCharType="separate"/>
        </w:r>
        <w:r>
          <w:t>34</w:t>
        </w:r>
        <w:r>
          <w:fldChar w:fldCharType="end"/>
        </w:r>
      </w:hyperlink>
    </w:p>
    <w:p>
      <w:pPr>
        <w:pStyle w:val="TOC2"/>
        <w:tabs>
          <w:tab w:val="right" w:leader="dot" w:pos="8306"/>
        </w:tabs>
      </w:pPr>
      <w:hyperlink w:anchor="_Toc8177" w:history="1">
        <w:r>
          <w:rPr>
            <w:rFonts w:ascii="仿宋" w:eastAsia="仿宋" w:hAnsi="仿宋" w:cs="仿宋" w:hint="eastAsia"/>
            <w:lang w:eastAsia="zh-CN"/>
          </w:rPr>
          <w:t>(四)、利润率高</w:t>
        </w:r>
        <w:r>
          <w:tab/>
        </w:r>
        <w:r>
          <w:fldChar w:fldCharType="begin"/>
        </w:r>
        <w:r>
          <w:instrText xml:space="preserve"> PAGEREF _Toc8177 \h </w:instrText>
        </w:r>
        <w:r>
          <w:fldChar w:fldCharType="separate"/>
        </w:r>
        <w:r>
          <w:t>36</w:t>
        </w:r>
        <w:r>
          <w:fldChar w:fldCharType="end"/>
        </w:r>
      </w:hyperlink>
    </w:p>
    <w:p>
      <w:pPr>
        <w:pStyle w:val="TOC1"/>
        <w:tabs>
          <w:tab w:val="right" w:leader="dot" w:pos="8306"/>
        </w:tabs>
      </w:pPr>
      <w:hyperlink w:anchor="_Toc8452" w:history="1">
        <w:r>
          <w:rPr>
            <w:rFonts w:ascii="仿宋" w:eastAsia="仿宋" w:hAnsi="仿宋" w:cs="仿宋" w:hint="eastAsia"/>
            <w:lang w:eastAsia="zh-CN"/>
          </w:rPr>
          <w:t>九、新型肥料项目技术管理</w:t>
        </w:r>
        <w:r>
          <w:tab/>
        </w:r>
        <w:r>
          <w:fldChar w:fldCharType="begin"/>
        </w:r>
        <w:r>
          <w:instrText xml:space="preserve"> PAGEREF _Toc8452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96" w:history="1">
        <w:r>
          <w:rPr>
            <w:rFonts w:ascii="仿宋" w:eastAsia="仿宋" w:hAnsi="仿宋" w:cs="仿宋" w:hint="eastAsia"/>
            <w:lang w:eastAsia="zh-CN"/>
          </w:rPr>
          <w:t>(一)、技术方案选用方向</w:t>
        </w:r>
        <w:r>
          <w:tab/>
        </w:r>
        <w:r>
          <w:fldChar w:fldCharType="begin"/>
        </w:r>
        <w:r>
          <w:instrText xml:space="preserve"> PAGEREF _Toc21096 \h </w:instrText>
        </w:r>
        <w:r>
          <w:fldChar w:fldCharType="separate"/>
        </w:r>
        <w:r>
          <w:t>38</w:t>
        </w:r>
        <w:r>
          <w:fldChar w:fldCharType="end"/>
        </w:r>
      </w:hyperlink>
    </w:p>
    <w:p>
      <w:pPr>
        <w:pStyle w:val="TOC2"/>
        <w:tabs>
          <w:tab w:val="right" w:leader="dot" w:pos="8306"/>
        </w:tabs>
      </w:pPr>
      <w:hyperlink w:anchor="_Toc26319" w:history="1">
        <w:r>
          <w:rPr>
            <w:rFonts w:ascii="仿宋" w:eastAsia="仿宋" w:hAnsi="仿宋" w:cs="仿宋" w:hint="eastAsia"/>
            <w:lang w:eastAsia="zh-CN"/>
          </w:rPr>
          <w:t>(二)、工艺技术方案选用原则</w:t>
        </w:r>
        <w:r>
          <w:tab/>
        </w:r>
        <w:r>
          <w:fldChar w:fldCharType="begin"/>
        </w:r>
        <w:r>
          <w:instrText xml:space="preserve"> PAGEREF _Toc26319 \h </w:instrText>
        </w:r>
        <w:r>
          <w:fldChar w:fldCharType="separate"/>
        </w:r>
        <w:r>
          <w:t>40</w:t>
        </w:r>
        <w:r>
          <w:fldChar w:fldCharType="end"/>
        </w:r>
      </w:hyperlink>
    </w:p>
    <w:p>
      <w:pPr>
        <w:pStyle w:val="TOC2"/>
        <w:tabs>
          <w:tab w:val="right" w:leader="dot" w:pos="8306"/>
        </w:tabs>
      </w:pPr>
      <w:hyperlink w:anchor="_Toc7313" w:history="1">
        <w:r>
          <w:rPr>
            <w:rFonts w:ascii="仿宋" w:eastAsia="仿宋" w:hAnsi="仿宋" w:cs="仿宋" w:hint="eastAsia"/>
            <w:lang w:eastAsia="zh-CN"/>
          </w:rPr>
          <w:t>(三)、工艺技术方案要求</w:t>
        </w:r>
        <w:r>
          <w:tab/>
        </w:r>
        <w:r>
          <w:fldChar w:fldCharType="begin"/>
        </w:r>
        <w:r>
          <w:instrText xml:space="preserve"> PAGEREF _Toc7313 \h </w:instrText>
        </w:r>
        <w:r>
          <w:fldChar w:fldCharType="separate"/>
        </w:r>
        <w:r>
          <w:t>42</w:t>
        </w:r>
        <w:r>
          <w:fldChar w:fldCharType="end"/>
        </w:r>
      </w:hyperlink>
    </w:p>
    <w:p>
      <w:pPr>
        <w:pStyle w:val="TOC1"/>
        <w:tabs>
          <w:tab w:val="right" w:leader="dot" w:pos="8306"/>
        </w:tabs>
      </w:pPr>
      <w:hyperlink w:anchor="_Toc7257" w:history="1">
        <w:r>
          <w:rPr>
            <w:rFonts w:ascii="仿宋" w:eastAsia="仿宋" w:hAnsi="仿宋" w:cs="仿宋" w:hint="eastAsia"/>
            <w:lang w:eastAsia="zh-CN"/>
          </w:rPr>
          <w:t>十、新型肥料项目投资规划</w:t>
        </w:r>
        <w:r>
          <w:tab/>
        </w:r>
        <w:r>
          <w:fldChar w:fldCharType="begin"/>
        </w:r>
        <w:r>
          <w:instrText xml:space="preserve"> PAGEREF _Toc7257 \h </w:instrText>
        </w:r>
        <w:r>
          <w:fldChar w:fldCharType="separate"/>
        </w:r>
        <w:r>
          <w:t>45</w:t>
        </w:r>
        <w:r>
          <w:fldChar w:fldCharType="end"/>
        </w:r>
      </w:hyperlink>
    </w:p>
    <w:p>
      <w:pPr>
        <w:pStyle w:val="TOC2"/>
        <w:tabs>
          <w:tab w:val="right" w:leader="dot" w:pos="8306"/>
        </w:tabs>
      </w:pPr>
      <w:hyperlink w:anchor="_Toc3078" w:history="1">
        <w:r>
          <w:rPr>
            <w:rFonts w:ascii="仿宋" w:eastAsia="仿宋" w:hAnsi="仿宋" w:cs="仿宋" w:hint="eastAsia"/>
            <w:lang w:eastAsia="zh-CN"/>
          </w:rPr>
          <w:t>(一)、新型肥料项目总投资估算</w:t>
        </w:r>
        <w:r>
          <w:tab/>
        </w:r>
        <w:r>
          <w:fldChar w:fldCharType="begin"/>
        </w:r>
        <w:r>
          <w:instrText xml:space="preserve"> PAGEREF _Toc3078 \h </w:instrText>
        </w:r>
        <w:r>
          <w:fldChar w:fldCharType="separate"/>
        </w:r>
        <w:r>
          <w:t>45</w:t>
        </w:r>
        <w:r>
          <w:fldChar w:fldCharType="end"/>
        </w:r>
      </w:hyperlink>
    </w:p>
    <w:p>
      <w:pPr>
        <w:pStyle w:val="TOC2"/>
        <w:tabs>
          <w:tab w:val="right" w:leader="dot" w:pos="8306"/>
        </w:tabs>
      </w:pPr>
      <w:hyperlink w:anchor="_Toc14691" w:history="1">
        <w:r>
          <w:rPr>
            <w:rFonts w:ascii="仿宋" w:eastAsia="仿宋" w:hAnsi="仿宋" w:cs="仿宋" w:hint="eastAsia"/>
            <w:lang w:eastAsia="zh-CN"/>
          </w:rPr>
          <w:t>(二)、资金筹措</w:t>
        </w:r>
        <w:r>
          <w:tab/>
        </w:r>
        <w:r>
          <w:fldChar w:fldCharType="begin"/>
        </w:r>
        <w:r>
          <w:instrText xml:space="preserve"> PAGEREF _Toc14691 \h </w:instrText>
        </w:r>
        <w:r>
          <w:fldChar w:fldCharType="separate"/>
        </w:r>
        <w:r>
          <w:t>46</w:t>
        </w:r>
        <w:r>
          <w:fldChar w:fldCharType="end"/>
        </w:r>
      </w:hyperlink>
    </w:p>
    <w:p>
      <w:pPr>
        <w:pStyle w:val="TOC1"/>
        <w:tabs>
          <w:tab w:val="right" w:leader="dot" w:pos="8306"/>
        </w:tabs>
      </w:pPr>
      <w:hyperlink w:anchor="_Toc8142" w:history="1">
        <w:r>
          <w:rPr>
            <w:rFonts w:ascii="仿宋" w:eastAsia="仿宋" w:hAnsi="仿宋" w:cs="仿宋" w:hint="eastAsia"/>
            <w:lang w:eastAsia="zh-CN"/>
          </w:rPr>
          <w:t>十一、新型肥料项目社会影响</w:t>
        </w:r>
        <w:r>
          <w:tab/>
        </w:r>
        <w:r>
          <w:fldChar w:fldCharType="begin"/>
        </w:r>
        <w:r>
          <w:instrText xml:space="preserve"> PAGEREF _Toc8142 \h </w:instrText>
        </w:r>
        <w:r>
          <w:fldChar w:fldCharType="separate"/>
        </w:r>
        <w:r>
          <w:t>47</w:t>
        </w:r>
        <w:r>
          <w:fldChar w:fldCharType="end"/>
        </w:r>
      </w:hyperlink>
    </w:p>
    <w:p>
      <w:pPr>
        <w:pStyle w:val="TOC2"/>
        <w:tabs>
          <w:tab w:val="right" w:leader="dot" w:pos="8306"/>
        </w:tabs>
      </w:pPr>
      <w:hyperlink w:anchor="_Toc13818" w:history="1">
        <w:r>
          <w:rPr>
            <w:rFonts w:ascii="仿宋" w:eastAsia="仿宋" w:hAnsi="仿宋" w:cs="仿宋" w:hint="eastAsia"/>
            <w:lang w:eastAsia="zh-CN"/>
          </w:rPr>
          <w:t>(一)、社会责任与义务</w:t>
        </w:r>
        <w:r>
          <w:tab/>
        </w:r>
        <w:r>
          <w:fldChar w:fldCharType="begin"/>
        </w:r>
        <w:r>
          <w:instrText xml:space="preserve"> PAGEREF _Toc13818 \h </w:instrText>
        </w:r>
        <w:r>
          <w:fldChar w:fldCharType="separate"/>
        </w:r>
        <w:r>
          <w:t>47</w:t>
        </w:r>
        <w:r>
          <w:fldChar w:fldCharType="end"/>
        </w:r>
      </w:hyperlink>
    </w:p>
    <w:p>
      <w:pPr>
        <w:pStyle w:val="TOC2"/>
        <w:tabs>
          <w:tab w:val="right" w:leader="dot" w:pos="8306"/>
        </w:tabs>
      </w:pPr>
      <w:hyperlink w:anchor="_Toc6235" w:history="1">
        <w:r>
          <w:rPr>
            <w:rFonts w:ascii="仿宋" w:eastAsia="仿宋" w:hAnsi="仿宋" w:cs="仿宋" w:hint="eastAsia"/>
            <w:lang w:eastAsia="zh-CN"/>
          </w:rPr>
          <w:t>(二)、社会参与与沟通</w:t>
        </w:r>
        <w:r>
          <w:tab/>
        </w:r>
        <w:r>
          <w:fldChar w:fldCharType="begin"/>
        </w:r>
        <w:r>
          <w:instrText xml:space="preserve"> PAGEREF _Toc6235 \h </w:instrText>
        </w:r>
        <w:r>
          <w:fldChar w:fldCharType="separate"/>
        </w:r>
        <w:r>
          <w:t>47</w:t>
        </w:r>
        <w:r>
          <w:fldChar w:fldCharType="end"/>
        </w:r>
      </w:hyperlink>
    </w:p>
    <w:p>
      <w:pPr>
        <w:pStyle w:val="TOC1"/>
        <w:tabs>
          <w:tab w:val="right" w:leader="dot" w:pos="8306"/>
        </w:tabs>
      </w:pPr>
      <w:hyperlink w:anchor="_Toc16123" w:history="1">
        <w:r>
          <w:rPr>
            <w:rFonts w:ascii="仿宋" w:eastAsia="仿宋" w:hAnsi="仿宋" w:cs="仿宋" w:hint="eastAsia"/>
            <w:lang w:eastAsia="zh-CN"/>
          </w:rPr>
          <w:t>十二、新型肥料项目人力资源培养与发展</w:t>
        </w:r>
        <w:r>
          <w:tab/>
        </w:r>
        <w:r>
          <w:fldChar w:fldCharType="begin"/>
        </w:r>
        <w:r>
          <w:instrText xml:space="preserve"> PAGEREF _Toc16123 \h </w:instrText>
        </w:r>
        <w:r>
          <w:fldChar w:fldCharType="separate"/>
        </w:r>
        <w:r>
          <w:t>48</w:t>
        </w:r>
        <w:r>
          <w:fldChar w:fldCharType="end"/>
        </w:r>
      </w:hyperlink>
    </w:p>
    <w:p>
      <w:pPr>
        <w:pStyle w:val="TOC2"/>
        <w:tabs>
          <w:tab w:val="right" w:leader="dot" w:pos="8306"/>
        </w:tabs>
      </w:pPr>
      <w:hyperlink w:anchor="_Toc27777" w:history="1">
        <w:r>
          <w:rPr>
            <w:rFonts w:ascii="仿宋" w:eastAsia="仿宋" w:hAnsi="仿宋" w:cs="仿宋" w:hint="eastAsia"/>
            <w:lang w:eastAsia="zh-CN"/>
          </w:rPr>
          <w:t>(一)、人才需求与规划</w:t>
        </w:r>
        <w:r>
          <w:tab/>
        </w:r>
        <w:r>
          <w:fldChar w:fldCharType="begin"/>
        </w:r>
        <w:r>
          <w:instrText xml:space="preserve"> PAGEREF _Toc27777 \h </w:instrText>
        </w:r>
        <w:r>
          <w:fldChar w:fldCharType="separate"/>
        </w:r>
        <w:r>
          <w:t>48</w:t>
        </w:r>
        <w:r>
          <w:fldChar w:fldCharType="end"/>
        </w:r>
      </w:hyperlink>
    </w:p>
    <w:p>
      <w:pPr>
        <w:pStyle w:val="TOC2"/>
        <w:tabs>
          <w:tab w:val="right" w:leader="dot" w:pos="8306"/>
        </w:tabs>
      </w:pPr>
      <w:hyperlink w:anchor="_Toc8105" w:history="1">
        <w:r>
          <w:rPr>
            <w:rFonts w:ascii="仿宋" w:eastAsia="仿宋" w:hAnsi="仿宋" w:cs="仿宋" w:hint="eastAsia"/>
            <w:lang w:eastAsia="zh-CN"/>
          </w:rPr>
          <w:t>(二)、培训与发展计划</w:t>
        </w:r>
        <w:r>
          <w:tab/>
        </w:r>
        <w:r>
          <w:fldChar w:fldCharType="begin"/>
        </w:r>
        <w:r>
          <w:instrText xml:space="preserve"> PAGEREF _Toc8105 \h </w:instrText>
        </w:r>
        <w:r>
          <w:fldChar w:fldCharType="separate"/>
        </w:r>
        <w:r>
          <w:t>49</w:t>
        </w:r>
        <w:r>
          <w:fldChar w:fldCharType="end"/>
        </w:r>
      </w:hyperlink>
    </w:p>
    <w:p>
      <w:pPr>
        <w:pStyle w:val="TOC1"/>
        <w:tabs>
          <w:tab w:val="right" w:leader="dot" w:pos="8306"/>
        </w:tabs>
      </w:pPr>
      <w:hyperlink w:anchor="_Toc13107" w:history="1">
        <w:r>
          <w:rPr>
            <w:rFonts w:ascii="仿宋" w:eastAsia="仿宋" w:hAnsi="仿宋" w:cs="仿宋" w:hint="eastAsia"/>
            <w:lang w:eastAsia="zh-CN"/>
          </w:rPr>
          <w:t>十三、利益相关者分析与沟通计划</w:t>
        </w:r>
        <w:r>
          <w:tab/>
        </w:r>
        <w:r>
          <w:fldChar w:fldCharType="begin"/>
        </w:r>
        <w:r>
          <w:instrText xml:space="preserve"> PAGEREF _Toc13107 \h </w:instrText>
        </w:r>
        <w:r>
          <w:fldChar w:fldCharType="separate"/>
        </w:r>
        <w:r>
          <w:t>49</w:t>
        </w:r>
        <w:r>
          <w:fldChar w:fldCharType="end"/>
        </w:r>
      </w:hyperlink>
    </w:p>
    <w:p>
      <w:pPr>
        <w:pStyle w:val="TOC2"/>
        <w:tabs>
          <w:tab w:val="right" w:leader="dot" w:pos="8306"/>
        </w:tabs>
      </w:pPr>
      <w:hyperlink w:anchor="_Toc4354" w:history="1">
        <w:r>
          <w:rPr>
            <w:rFonts w:ascii="仿宋" w:eastAsia="仿宋" w:hAnsi="仿宋" w:cs="仿宋" w:hint="eastAsia"/>
            <w:lang w:eastAsia="zh-CN"/>
          </w:rPr>
          <w:t>(一)、利益相关者分析</w:t>
        </w:r>
        <w:r>
          <w:tab/>
        </w:r>
        <w:r>
          <w:fldChar w:fldCharType="begin"/>
        </w:r>
        <w:r>
          <w:instrText xml:space="preserve"> PAGEREF _Toc4354 \h </w:instrText>
        </w:r>
        <w:r>
          <w:fldChar w:fldCharType="separate"/>
        </w:r>
        <w:r>
          <w:t>49</w:t>
        </w:r>
        <w:r>
          <w:fldChar w:fldCharType="end"/>
        </w:r>
      </w:hyperlink>
    </w:p>
    <w:p>
      <w:pPr>
        <w:pStyle w:val="TOC2"/>
        <w:tabs>
          <w:tab w:val="right" w:leader="dot" w:pos="8306"/>
        </w:tabs>
      </w:pPr>
      <w:hyperlink w:anchor="_Toc4096" w:history="1">
        <w:r>
          <w:rPr>
            <w:rFonts w:ascii="仿宋" w:eastAsia="仿宋" w:hAnsi="仿宋" w:cs="仿宋" w:hint="eastAsia"/>
            <w:lang w:eastAsia="zh-CN"/>
          </w:rPr>
          <w:t>(二)、沟通计划</w:t>
        </w:r>
        <w:r>
          <w:tab/>
        </w:r>
        <w:r>
          <w:fldChar w:fldCharType="begin"/>
        </w:r>
        <w:r>
          <w:instrText xml:space="preserve"> PAGEREF _Toc4096 \h </w:instrText>
        </w:r>
        <w:r>
          <w:fldChar w:fldCharType="separate"/>
        </w:r>
        <w:r>
          <w:t>51</w:t>
        </w:r>
        <w:r>
          <w:fldChar w:fldCharType="end"/>
        </w:r>
      </w:hyperlink>
    </w:p>
    <w:p>
      <w:pPr>
        <w:pStyle w:val="TOC1"/>
        <w:tabs>
          <w:tab w:val="right" w:leader="dot" w:pos="8306"/>
        </w:tabs>
      </w:pPr>
      <w:hyperlink w:anchor="_Toc25784" w:history="1">
        <w:r>
          <w:rPr>
            <w:rFonts w:ascii="仿宋" w:eastAsia="仿宋" w:hAnsi="仿宋" w:cs="仿宋" w:hint="eastAsia"/>
            <w:lang w:eastAsia="zh-CN"/>
          </w:rPr>
          <w:t>十四、风险识别与分类</w:t>
        </w:r>
        <w:r>
          <w:tab/>
        </w:r>
        <w:r>
          <w:fldChar w:fldCharType="begin"/>
        </w:r>
        <w:r>
          <w:instrText xml:space="preserve"> PAGEREF _Toc25784 \h </w:instrText>
        </w:r>
        <w:r>
          <w:fldChar w:fldCharType="separate"/>
        </w:r>
        <w:r>
          <w:t>52</w:t>
        </w:r>
        <w:r>
          <w:fldChar w:fldCharType="end"/>
        </w:r>
      </w:hyperlink>
    </w:p>
    <w:p>
      <w:pPr>
        <w:pStyle w:val="TOC2"/>
        <w:tabs>
          <w:tab w:val="right" w:leader="dot" w:pos="8306"/>
        </w:tabs>
      </w:pPr>
      <w:hyperlink w:anchor="_Toc24744" w:history="1">
        <w:r>
          <w:rPr>
            <w:rFonts w:ascii="仿宋" w:eastAsia="仿宋" w:hAnsi="仿宋" w:cs="仿宋" w:hint="eastAsia"/>
            <w:lang w:eastAsia="zh-CN"/>
          </w:rPr>
          <w:t>(一)、风险识别</w:t>
        </w:r>
        <w:r>
          <w:tab/>
        </w:r>
        <w:r>
          <w:fldChar w:fldCharType="begin"/>
        </w:r>
        <w:r>
          <w:instrText xml:space="preserve"> PAGEREF _Toc24744 \h </w:instrText>
        </w:r>
        <w:r>
          <w:fldChar w:fldCharType="separate"/>
        </w:r>
        <w:r>
          <w:t>52</w:t>
        </w:r>
        <w:r>
          <w:fldChar w:fldCharType="end"/>
        </w:r>
      </w:hyperlink>
    </w:p>
    <w:p>
      <w:pPr>
        <w:pStyle w:val="TOC2"/>
        <w:tabs>
          <w:tab w:val="right" w:leader="dot" w:pos="8306"/>
        </w:tabs>
      </w:pPr>
      <w:hyperlink w:anchor="_Toc28923" w:history="1">
        <w:r>
          <w:rPr>
            <w:rFonts w:ascii="仿宋" w:eastAsia="仿宋" w:hAnsi="仿宋" w:cs="仿宋" w:hint="eastAsia"/>
            <w:lang w:eastAsia="zh-CN"/>
          </w:rPr>
          <w:t>(二)、风险分类</w:t>
        </w:r>
        <w:r>
          <w:tab/>
        </w:r>
        <w:r>
          <w:fldChar w:fldCharType="begin"/>
        </w:r>
        <w:r>
          <w:instrText xml:space="preserve"> PAGEREF _Toc28923 \h </w:instrText>
        </w:r>
        <w:r>
          <w:fldChar w:fldCharType="separate"/>
        </w:r>
        <w:r>
          <w:t>53</w:t>
        </w:r>
        <w:r>
          <w:fldChar w:fldCharType="end"/>
        </w:r>
      </w:hyperlink>
    </w:p>
    <w:p>
      <w:pPr>
        <w:pStyle w:val="TOC1"/>
        <w:tabs>
          <w:tab w:val="right" w:leader="dot" w:pos="8306"/>
        </w:tabs>
      </w:pPr>
      <w:hyperlink w:anchor="_Toc7244" w:history="1">
        <w:r>
          <w:rPr>
            <w:rFonts w:ascii="仿宋" w:eastAsia="仿宋" w:hAnsi="仿宋" w:cs="仿宋" w:hint="eastAsia"/>
            <w:lang w:eastAsia="zh-CN"/>
          </w:rPr>
          <w:t>十五、新型肥料项目治理与监督</w:t>
        </w:r>
        <w:r>
          <w:tab/>
        </w:r>
        <w:r>
          <w:fldChar w:fldCharType="begin"/>
        </w:r>
        <w:r>
          <w:instrText xml:space="preserve"> PAGEREF _Toc7244 \h </w:instrText>
        </w:r>
        <w:r>
          <w:fldChar w:fldCharType="separate"/>
        </w:r>
        <w:r>
          <w:t>55</w:t>
        </w:r>
        <w:r>
          <w:fldChar w:fldCharType="end"/>
        </w:r>
      </w:hyperlink>
    </w:p>
    <w:p>
      <w:pPr>
        <w:pStyle w:val="TOC2"/>
        <w:tabs>
          <w:tab w:val="right" w:leader="dot" w:pos="8306"/>
        </w:tabs>
      </w:pPr>
      <w:hyperlink w:anchor="_Toc2927" w:history="1">
        <w:r>
          <w:rPr>
            <w:rFonts w:ascii="仿宋" w:eastAsia="仿宋" w:hAnsi="仿宋" w:cs="仿宋" w:hint="eastAsia"/>
            <w:lang w:eastAsia="zh-CN"/>
          </w:rPr>
          <w:t>(一)、新型肥料项目治理结构</w:t>
        </w:r>
        <w:r>
          <w:tab/>
        </w:r>
        <w:r>
          <w:fldChar w:fldCharType="begin"/>
        </w:r>
        <w:r>
          <w:instrText xml:space="preserve"> PAGEREF _Toc2927 \h </w:instrText>
        </w:r>
        <w:r>
          <w:fldChar w:fldCharType="separate"/>
        </w:r>
        <w:r>
          <w:t>55</w:t>
        </w:r>
        <w:r>
          <w:fldChar w:fldCharType="end"/>
        </w:r>
      </w:hyperlink>
    </w:p>
    <w:p>
      <w:pPr>
        <w:pStyle w:val="TOC2"/>
        <w:tabs>
          <w:tab w:val="right" w:leader="dot" w:pos="8306"/>
        </w:tabs>
      </w:pPr>
      <w:hyperlink w:anchor="_Toc6388" w:history="1">
        <w:r>
          <w:rPr>
            <w:rFonts w:ascii="仿宋" w:eastAsia="仿宋" w:hAnsi="仿宋" w:cs="仿宋" w:hint="eastAsia"/>
            <w:lang w:eastAsia="zh-CN"/>
          </w:rPr>
          <w:t>(二)、监督与审计</w:t>
        </w:r>
        <w:r>
          <w:tab/>
        </w:r>
        <w:r>
          <w:fldChar w:fldCharType="begin"/>
        </w:r>
        <w:r>
          <w:instrText xml:space="preserve"> PAGEREF _Toc6388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500"/>
      <w:r>
        <w:rPr>
          <w:rFonts w:ascii="仿宋" w:eastAsia="仿宋" w:hAnsi="仿宋" w:cs="仿宋" w:hint="eastAsia"/>
          <w:sz w:val="28"/>
          <w:lang w:eastAsia="zh-CN"/>
        </w:rPr>
        <w:t>一、新型肥料项目选址可行性分析</w:t>
      </w:r>
      <w:bookmarkEnd w:id="2"/>
    </w:p>
    <w:p>
      <w:pPr>
        <w:pStyle w:val="Heading2"/>
        <w:rPr>
          <w:rFonts w:ascii="仿宋" w:eastAsia="仿宋" w:hAnsi="仿宋" w:cs="仿宋" w:hint="eastAsia"/>
          <w:lang w:eastAsia="zh-CN"/>
        </w:rPr>
      </w:pPr>
      <w:bookmarkStart w:id="3" w:name="_Toc10446"/>
      <w:r>
        <w:rPr>
          <w:rFonts w:ascii="仿宋" w:eastAsia="仿宋" w:hAnsi="仿宋" w:cs="仿宋" w:hint="eastAsia"/>
          <w:lang w:eastAsia="zh-CN"/>
        </w:rPr>
        <w:t>(一)、新型肥料项目选址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该新型肥料项目选址位于XX省XX市XX区XXX街道</w:t>
      </w:r>
    </w:p>
    <w:p>
      <w:pPr>
        <w:pStyle w:val="Heading2"/>
        <w:ind w:firstLine="560" w:firstLineChars="200"/>
        <w:rPr>
          <w:rFonts w:ascii="仿宋" w:eastAsia="仿宋" w:hAnsi="仿宋" w:cs="仿宋" w:hint="eastAsia"/>
          <w:sz w:val="28"/>
          <w:lang w:eastAsia="zh-CN"/>
        </w:rPr>
      </w:pPr>
      <w:bookmarkStart w:id="4" w:name="_Toc1503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新型肥料项目的征地面积将根据新型肥料项目的实际规模和需求进行精确规划。具体面积XXX平方米，旨在确保新型肥料项目不仅能够满足当前的发展需求，还能够预留空间以适应未来的扩展。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净用地面积是在征地面积基础上去除不可利用面积后的实际可开发用地。具体面积XXX平方米，考虑到环保、交通、安全等多方面因素，以确保新型肥料项目在整体利用效率上达到最优。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新型肥料项目计划建设的建筑总规模具体面积XXX平方米。这一规模的确定综合考虑了新型肥料项目的性质、规模，以及城市规划的相关要求，确保建筑布局与周边环境协调一致。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绿地率是新型肥料项目用地中被规划为绿地的比例。具体面积XXX平方米，旨在通过合理规划绿地，改善新型肥料项目周边环境，提升居民生活质量，并符合城市整体绿化规划。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容积率是用地上可以建设的建筑总体积与用地面积之比。具体面积XXX，通过合理的容积率规划，确保新型肥料项目建筑规模与周边环境和谐共生。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确保新型肥料项目选址与当地城市规划相一致，具体面积XXX平方米。通过与城市规划部门深入沟通，确保新型肥料项目不仅符合城市的整体发展方向，还能够融入城市的发展布局，为城市的长远发展贡献力量。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型肥料项目选址符合当地产业政策，具体面积XXX平方米。这包括新型肥料项目对当地经济的促进作用，以及对相关产业的带动效应，确保新型肥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用地总体要求必须符合环保和可持续发展的原则，具体面积XXX平方米。通过采用绿色建筑设计、节能减排等措施，确保新型肥料项目在建设和运营过程中对环境的影响最小化，达到可持续发展的要求。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确保新型肥料项目选址具备必要的公共设施配套，具体面积XXX平方米。这包括交通便利性、教育、医疗等基础设施，以提高居民生活品质，使得新型肥料项目选址更具吸引力。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考虑用地总体要求对当地社会稳定性的影响，具体面积XXX平方米。通过深入了解当地社区反馈，确保新型肥料项目的选址和建设过程对当地社会和谐稳定产生积极作用。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型肥料项目选址不仅符合法规和规划，还在实际操作中具有可行性。这一全面规划将为新型肥料项目的成功实施提供坚实的基础，确保新型肥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27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肥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肥料项目的设备规划和空间设计中，我们将采取灵活设备布局的措施。设备布局将根据实际需求进行灵活设计，避免不必要的浪费。通过合理规划设备摆放位置，我们将提高设备的利用率，减少设备间距，以确保新型肥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型肥料项目内部引入共享设施的概念，例如共享会议室、办公区等。通过这种方式，我们可以减少对资源的重复建设，提高资源共享效率，从而减小新型肥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59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型肥料项目的总图布置中，我们将不同功能区域进行明确的规划，以最大程度满足新型肥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65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型肥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新型肥料项目对环境的影响是综合评价的重要因素之一。我们将详细考虑选址周边的自然环境、生态保护区、水源地等情况，确保新型肥料项目的建设和运营对环境影响最小化，并符合当地的环保法规标准。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对选址的评价还需充分考虑当地政府的产业政策和法规。我们将详细了解新型肥料项目所在地的相关政策，确保新型肥料项目的规划和运营与当地法规相符，降低不必要的法律风险。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考虑到社会稳定性对企业运营的重要性，我们将评估选址地区的社会安全情况、劳工关系、社区反馈等方面，以确保新型肥料项目的建设和运营不会受到社会稳定性的负面影响。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最后，我们将综合考虑用地成本，包括土地购置费用、土地开发成本等。通过对用地成本的详细评估，我们能够做出更为精确的经济效益分析，为新型肥料项目的投资决策提供有力支持。</w:t>
      </w:r>
    </w:p>
    <w:p>
      <w:pPr>
        <w:pStyle w:val="Heading1"/>
        <w:ind w:firstLine="560" w:firstLineChars="200"/>
        <w:rPr>
          <w:rFonts w:ascii="仿宋" w:eastAsia="仿宋" w:hAnsi="仿宋" w:cs="仿宋" w:hint="eastAsia"/>
          <w:sz w:val="28"/>
          <w:lang w:eastAsia="zh-CN"/>
        </w:rPr>
      </w:pPr>
      <w:bookmarkStart w:id="8" w:name="_Toc20541"/>
      <w:r>
        <w:rPr>
          <w:rFonts w:ascii="仿宋" w:eastAsia="仿宋" w:hAnsi="仿宋" w:cs="仿宋" w:hint="eastAsia"/>
          <w:sz w:val="28"/>
          <w:lang w:eastAsia="zh-CN"/>
        </w:rPr>
        <w:t>二、新型肥料项目文档管理</w:t>
      </w:r>
      <w:bookmarkEnd w:id="8"/>
    </w:p>
    <w:p>
      <w:pPr>
        <w:pStyle w:val="Heading2"/>
        <w:rPr>
          <w:rFonts w:ascii="仿宋" w:eastAsia="仿宋" w:hAnsi="仿宋" w:cs="仿宋" w:hint="eastAsia"/>
          <w:lang w:eastAsia="zh-CN"/>
        </w:rPr>
      </w:pPr>
      <w:bookmarkStart w:id="9" w:name="_Toc1422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新型肥料项目高度重视文档的质量和准确性，以支持新型肥料项目的各项活动和决策。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肥料项目文档的编制始于新型肥料项目计划的初期，我们制定了详细的文档编制计划，明确了每个文档的内容、格式和编写责任人。在新型肥料项目启动阶段，我们首先编制了新型肥料项目章程，明确定义了新型肥料项目的目标、范围、风险等关键要素。随后，新型肥料项目团队根据计划陆续编制了需求文档、设计文档、测试文档等各类文档，确保新型肥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肥料项目管理中的重要环节，旨在确保新型肥料项目文档符合质量标准和新型肥料项目需求。在新型肥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除了内部审查，我们还进行了外部审查，邀请新型肥料项目相关利益方和专业领域的专家对文档进行独立审查。这有助于获取更全面、客观的反馈，确保新型肥料项目文档不仅符合内部标准，也满足外部需求。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新型肥料项目在文档编制与审查方面建立了严格的管理机制，通过规范的流程和多维度的审查，确保新型肥料项目文档的质量、准确性和可靠性，为新型肥料项目的顺利推进提供了有力支持。</w:t>
      </w:r>
    </w:p>
    <w:p>
      <w:pPr>
        <w:pStyle w:val="Heading2"/>
        <w:ind w:firstLine="560" w:firstLineChars="200"/>
        <w:rPr>
          <w:rFonts w:ascii="仿宋" w:eastAsia="仿宋" w:hAnsi="仿宋" w:cs="仿宋" w:hint="eastAsia"/>
          <w:sz w:val="28"/>
          <w:lang w:eastAsia="zh-CN"/>
        </w:rPr>
      </w:pPr>
      <w:bookmarkStart w:id="10" w:name="_Toc1190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在新型肥料项目中，我们致力于优化文档发布与分发过程，以确保信息的高效传递和团队间协作的顺畅进行。以下是我们采取的关键优化策略：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我们通过多渠道发布文档，包括电子邮件、新型肥料项目管理平台、内部网站等，以满足不同团队成员的偏好和需求。多渠道发布确保了信息的全面覆盖。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我们采用了精细的权限控制，确保只有授权人员可以访问敏感信息。这种安全措施保护了新型肥料项目文档的机密性，防止了未经授权的信息泄露。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263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文档存档与归档是新型肥料项目生命周期中一个至关重要的环节，直接关系到新型肥料项目信息的长期保存和历史记录的完整性。在新型肥料项目中，我们实施了一系列有效的文档存档与归档管理策略：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6219"/>
      <w:r>
        <w:rPr>
          <w:rFonts w:ascii="仿宋" w:eastAsia="仿宋" w:hAnsi="仿宋" w:cs="仿宋" w:hint="eastAsia"/>
          <w:sz w:val="28"/>
          <w:lang w:eastAsia="zh-CN"/>
        </w:rPr>
        <w:t>三、新型肥料项目绩效评估</w:t>
      </w:r>
      <w:bookmarkEnd w:id="12"/>
    </w:p>
    <w:p>
      <w:pPr>
        <w:pStyle w:val="Heading2"/>
        <w:rPr>
          <w:rFonts w:ascii="仿宋" w:eastAsia="仿宋" w:hAnsi="仿宋" w:cs="仿宋" w:hint="eastAsia"/>
          <w:lang w:eastAsia="zh-CN"/>
        </w:rPr>
      </w:pPr>
      <w:bookmarkStart w:id="13" w:name="_Toc2878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肥料项目中，我们设计了一套全面的绩效评估指标，以确保新型肥料项目的可控和成功交付。这些指标跨足新型肥料项目目标、成本、进度和质量等多个维度，为我们提供了全面洞察新型肥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肥料项目目标达成率是我们关注的首要指标。我们设定了明确的目标，并通过定期监测和评估，迅速发现并应对潜在的目标偏差。这为新型肥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成本绩效是另一个核心关注点。通过实际成本与预算成本的对比分析，我们深入了解成本差异的原因，及时调整资源分配，保持新型肥料项目在经济效益方面的合理水平。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肥料项目进度作为关键的绩效指标之一，得到了精心的关注。我们制定了详细的新型肥料项目进度计划，并设立了进度符合度指标，确保实际进度与计划进度保持一致。这使我们能够快速发现和解决潜在的进度问题，保持新型肥料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型肥料项目绩效的不可或缺的一环。我们引入了一系列的质量标准和客户满意度指标，以确保新型肥料项目交付的成果在质量上达到或超越预期水平。通过持续监测这些指标，我们努力提升新型肥料项目整体质量水平，为新型肥料项目的成功交付提供有力保障。通过这些科学且全面的绩效评估，我们能够更好地引导新型肥料项目的持续改进，确保新型肥料项目目标的顺利达成。</w:t>
      </w:r>
    </w:p>
    <w:p>
      <w:pPr>
        <w:pStyle w:val="Heading2"/>
        <w:ind w:firstLine="560" w:firstLineChars="200"/>
        <w:rPr>
          <w:rFonts w:ascii="仿宋" w:eastAsia="仿宋" w:hAnsi="仿宋" w:cs="仿宋" w:hint="eastAsia"/>
          <w:sz w:val="28"/>
          <w:lang w:eastAsia="zh-CN"/>
        </w:rPr>
      </w:pPr>
      <w:bookmarkStart w:id="14" w:name="_Toc2887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绩效评估是新型肥料项目中的关键环节，为确保新型肥料项目达到预期目标，我们采用了多层次、多维度的绩效评估方法。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型肥料项目的战略目标对齐，确保每个决策和行动都与新型肥料项目整体目标保持一致。团队会定期召开战略对齐会议，审视当前工作与新型肥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型肥料项目进度、质量、成本和风险等方面。这些指标通过数据收集和分析，为新型肥料项目管理团队提供了客观的评估依据。例如，我们通过新型肥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绩效评估不仅仅停留在新型肥料项目内部，还考虑了新型肥料项目对外部环境的影响。我们定期进行干系人满意度调查，以了解各利益相关方对新型肥料项目的期望和满意度，并及时做出调整。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这种多层次、多角度的绩效评估方法，使得我们能够全面了解新型肥料项目的运行状态，及时做出调整，确保新型肥料项目在不断变化的环境中保持稳健前行。</w:t>
      </w:r>
    </w:p>
    <w:p>
      <w:pPr>
        <w:pStyle w:val="Heading2"/>
        <w:ind w:firstLine="560" w:firstLineChars="200"/>
        <w:rPr>
          <w:rFonts w:ascii="仿宋" w:eastAsia="仿宋" w:hAnsi="仿宋" w:cs="仿宋" w:hint="eastAsia"/>
          <w:sz w:val="28"/>
          <w:lang w:eastAsia="zh-CN"/>
        </w:rPr>
      </w:pPr>
      <w:bookmarkStart w:id="15" w:name="_Toc152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为了确保新型肥料项目的有效管理和不断优化，我们采用了精心设计的绩效评估周期。这个周期旨在实现灵活、实时和全面的评估，以适应新型肥料项目执行中的各种挑战。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型肥料项目的不同需求，分为短期、中期和长期。短期评估关注每个迭代或工作周期，以及时发现和解决当前任务中的问题。中期评估涵盖几个迭代，深入了解整体新型肥料项目的趋势和性能。长期评估则着眼于整个新型肥料项目阶段，确保新型肥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型肥料项目管理工具和协作平台，团队成员能够随时更新和分享新型肥料项目数据。这种实时性的反馈机制使我们能够及时察觉潜在问题，快速调整，保持新型肥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型肥料项目的决策制定密不可分。每个周期的新型肥料项目回顾会议成为集体总结经验、识别问题深层次原因并找到创新解决方案的平台。这种定期的反思与调整机制使新型肥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8595"/>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322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新型肥料项目的技术管理特点体现在其创新导向。通过引入最先进的技术趋势和解决方案，新型肥料项目致力于提升科技含量、提高质量和效率水平。这意味着我们将采用最新的工具和方法，确保新型肥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肥料项目技术管理的显著特征。通过整合不同领域的技术资源，我们实现了跨学科的协同工作。这有助于优化技术架构，提高整体效能。此外，整合性策略还促进了不同技术团队之间的紧密沟通和高效合作，确保新型肥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肥料项目所采用的技术。通过不断优化技术方案，新型肥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肥料项目团队将在新型肥料项目初期识别可能的技术风险，并采取相应的预防和应对措施。通过建立健全的风险评估机制，新型肥料项目能够在实施过程中及时发现并解决潜在的技术问题，保障新型肥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肥料项目中，技术将成为新型肥料项目成功的有力支持。这一深度剖析揭示了技术管理在新型肥料项目实施中的关键作用，为新型肥料项目的技术基础奠定了坚实的基础。</w:t>
      </w:r>
    </w:p>
    <w:p>
      <w:pPr>
        <w:pStyle w:val="Heading2"/>
        <w:ind w:firstLine="560" w:firstLineChars="200"/>
        <w:rPr>
          <w:rFonts w:ascii="仿宋" w:eastAsia="仿宋" w:hAnsi="仿宋" w:cs="仿宋" w:hint="eastAsia"/>
          <w:sz w:val="28"/>
          <w:lang w:eastAsia="zh-CN"/>
        </w:rPr>
      </w:pPr>
      <w:bookmarkStart w:id="18" w:name="_Toc11572"/>
      <w:r>
        <w:rPr>
          <w:rFonts w:ascii="仿宋" w:eastAsia="仿宋" w:hAnsi="仿宋" w:cs="仿宋" w:hint="eastAsia"/>
          <w:sz w:val="28"/>
          <w:lang w:eastAsia="zh-CN"/>
        </w:rPr>
        <w:t>(二)、新型肥料项目工艺技术设计方案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肥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肥料项目将严格按照相关行业规范要求进行组织。通过有效控制产品质量，新型肥料项目将致力于为顾客提供优质的新型肥料项目产品和良好的服务。这体现了新型肥料项目对于生产活动合规性和质量标准的高度重视，为新型肥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https://d.book118.com/717064026145006026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新型肥料项目规划设计蓝图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新型肥料项目规划设计蓝图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新型肥料项目规划设计蓝图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新型肥料项目规划设计蓝图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新型肥料项目规划设计蓝图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新型肥料项目规划设计蓝图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新型肥料项目规划设计蓝图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新型肥料项目规划设计蓝图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新型肥料项目规划设计蓝图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新型肥料项目规划设计蓝图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新型肥料项目规划设计蓝图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新型肥料项目规划设计蓝图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新型肥料项目规划设计蓝图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新型肥料项目规划设计蓝图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新型肥料项目规划设计蓝图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新型肥料项目规划设计蓝图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新型肥料项目规划设计蓝图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F444C5"/>
    <w:rsid w:val="79F444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06402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2024-01-07T12:13:00Z</dcterms:created>
  <dcterms:modified xsi:type="dcterms:W3CDTF">2024-01-07T12:13:38Z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EC247D1916CC491598FE45C9161F30BA_11</vt:lpwstr>
  </property>
  <property fmtid="{D5CDD505-2E9C-101B-9397-08002B2CF9AE}" pid="3" name="KSOProductBuildVer">
    <vt:lpwstr>2052-12.1.0.16120</vt:lpwstr>
  </property>
</Properties>
</file>