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394F80" w:rsidP="00394F80" w14:paraId="21DF7F3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394F80">
        <w:rPr>
          <w:rFonts w:ascii="华文中宋" w:eastAsia="华文中宋" w:hAnsi="华文中宋"/>
          <w:b/>
          <w:sz w:val="30"/>
        </w:rPr>
        <w:t>2024</w:t>
      </w:r>
      <w:r w:rsidRPr="00394F80">
        <w:rPr>
          <w:rFonts w:ascii="华文中宋" w:eastAsia="华文中宋" w:hAnsi="华文中宋"/>
          <w:b/>
          <w:sz w:val="30"/>
        </w:rPr>
        <w:t>云南红河州元阳县人民政府办公室招聘公益岗人员（</w:t>
      </w:r>
      <w:r w:rsidRPr="00394F80">
        <w:rPr>
          <w:rFonts w:ascii="华文中宋" w:eastAsia="华文中宋" w:hAnsi="华文中宋"/>
          <w:b/>
          <w:sz w:val="30"/>
        </w:rPr>
        <w:t>4</w:t>
      </w:r>
      <w:r w:rsidRPr="00394F80">
        <w:rPr>
          <w:rFonts w:ascii="华文中宋" w:eastAsia="华文中宋" w:hAnsi="华文中宋"/>
          <w:b/>
          <w:sz w:val="30"/>
        </w:rPr>
        <w:t>人）考试备考题库及答案解析</w:t>
      </w:r>
    </w:p>
    <w:p w:rsidR="00A77B3E" w14:paraId="1620B88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054C2F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AD1216" w14:paraId="4EC7DA4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1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《党政机关公文处理工作条例》规定，公文办理包括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640E25F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、发文办理、收文办理、整理归档</w:t>
      </w:r>
    </w:p>
    <w:p w:rsidR="00AD1216" w14:paraId="0DD28DB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、起草、审核、签发</w:t>
      </w:r>
    </w:p>
    <w:p w:rsidR="00AD1216" w14:paraId="6193159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、交拟、拟议、签发</w:t>
      </w:r>
    </w:p>
    <w:p w:rsidR="00AD1216" w14:paraId="62B054F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、登记、承办、分发</w:t>
      </w:r>
    </w:p>
    <w:p w:rsidR="00AD1216" w14:paraId="21B76A8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A</w:t>
      </w:r>
    </w:p>
    <w:p w:rsidR="00AD1216" w14:paraId="147EBA1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公文办理包括收文办理、发文办理和整理归档。故选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CB630F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2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一切影响沟通的消极、负面、阻碍因素，在管理学中称为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48246E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、沟通失真</w:t>
      </w:r>
    </w:p>
    <w:p w:rsidR="00AD1216" w14:paraId="24E7FD5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、沟通损耗</w:t>
      </w:r>
    </w:p>
    <w:p w:rsidR="00AD1216" w14:paraId="72EDD2A1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、沟通噪音</w:t>
      </w:r>
    </w:p>
    <w:p w:rsidR="00AD1216" w14:paraId="28B67243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、背景噪音</w:t>
      </w:r>
    </w:p>
    <w:p w:rsidR="00AD1216" w14:paraId="7A4A2CE8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0AA9C5C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噪音是影响沟通的一切消极、负面因素。通常可以把沟通噪音定义为妨碍资讯沟通的任何因素。它存在于沟通过程的各个环节，并有可能造成资讯损耗或失真。典型的噪音主要包括发送噪音、传输噪音、接受噪音、系统噪音、环境噪音和背景噪音及数量噪音七大噪音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E163DB0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3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我国现行立法采取的是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立法观点。</w:t>
      </w:r>
    </w:p>
    <w:p w:rsidR="00AD1216" w14:paraId="2649583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、民商分立</w:t>
      </w:r>
    </w:p>
    <w:p w:rsidR="00AD1216" w14:paraId="66C9F03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、民商合一</w:t>
      </w:r>
    </w:p>
    <w:p w:rsidR="00AD1216" w14:paraId="6C10B389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、民法优先</w:t>
      </w:r>
    </w:p>
    <w:p w:rsidR="00AD1216" w14:paraId="57C474E5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、商事优先</w:t>
      </w:r>
    </w:p>
    <w:p w:rsidR="00AD1216" w14:paraId="26C56536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B</w:t>
      </w:r>
    </w:p>
    <w:p w:rsidR="00AD1216" w14:paraId="7DC8914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项错误，民商分立是指在民法典之外，另行制定商法典，民法典与商法典并存。采用民商分立的国家主要有法国、德国、日本以及以它们为模板的许多大陆法系国家。我国并未采取民商分立的立法观点。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项正确，民商合一是指民事和商事统一立法，将商事方面的内容编入民法典中，或以单行法规的形式出现。我国采取</w:t>
      </w:r>
      <w:r w:rsidRPr="00AD1216">
        <w:rPr>
          <w:rFonts w:ascii="微软雅黑" w:eastAsia="微软雅黑" w:cs="微软雅黑"/>
          <w:szCs w:val="14"/>
        </w:rPr>
        <w:t>“</w:t>
      </w:r>
      <w:r w:rsidRPr="00AD1216">
        <w:rPr>
          <w:rFonts w:ascii="微软雅黑" w:eastAsia="微软雅黑" w:cs="微软雅黑"/>
          <w:szCs w:val="14"/>
        </w:rPr>
        <w:t>民商合一</w:t>
      </w:r>
      <w:r w:rsidRPr="00AD1216">
        <w:rPr>
          <w:rFonts w:ascii="微软雅黑" w:eastAsia="微软雅黑" w:cs="微软雅黑"/>
          <w:szCs w:val="14"/>
        </w:rPr>
        <w:t>”</w:t>
      </w:r>
      <w:r w:rsidRPr="00AD1216">
        <w:rPr>
          <w:rFonts w:ascii="微软雅黑" w:eastAsia="微软雅黑" w:cs="微软雅黑"/>
          <w:szCs w:val="14"/>
        </w:rPr>
        <w:t>的立法形式，其理由在于：</w:t>
      </w:r>
      <w:r w:rsidRPr="00AD1216">
        <w:rPr>
          <w:rFonts w:ascii="微软雅黑" w:eastAsia="微软雅黑" w:cs="微软雅黑"/>
          <w:szCs w:val="14"/>
        </w:rPr>
        <w:t>1.</w:t>
      </w:r>
      <w:r w:rsidRPr="00AD1216">
        <w:rPr>
          <w:rFonts w:ascii="微软雅黑" w:eastAsia="微软雅黑" w:cs="微软雅黑"/>
          <w:szCs w:val="14"/>
        </w:rPr>
        <w:t>由于民法的商事化和商法的民事化，已经使得民商法的关系愈加密切</w:t>
      </w:r>
      <w:r w:rsidRPr="00AD1216">
        <w:rPr>
          <w:rFonts w:ascii="微软雅黑" w:eastAsia="微软雅黑" w:cs="微软雅黑"/>
          <w:szCs w:val="14"/>
        </w:rPr>
        <w:t>;2.</w:t>
      </w:r>
      <w:r w:rsidRPr="00AD1216">
        <w:rPr>
          <w:rFonts w:ascii="微软雅黑" w:eastAsia="微软雅黑" w:cs="微软雅黑"/>
          <w:szCs w:val="14"/>
        </w:rPr>
        <w:t>世界和中国的立法实践证明民商合一是可行的</w:t>
      </w:r>
      <w:r w:rsidRPr="00AD1216">
        <w:rPr>
          <w:rFonts w:ascii="微软雅黑" w:eastAsia="微软雅黑" w:cs="微软雅黑"/>
          <w:szCs w:val="14"/>
        </w:rPr>
        <w:t>;3.</w:t>
      </w:r>
      <w:r w:rsidRPr="00AD1216">
        <w:rPr>
          <w:rFonts w:ascii="微软雅黑" w:eastAsia="微软雅黑" w:cs="微软雅黑"/>
          <w:szCs w:val="14"/>
        </w:rPr>
        <w:t>建立社会主义市场经济法律体系的需要。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项、</w:t>
      </w: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项错误，一般法系中都不存在民法优先和商事优先观点。目前的主流观点为民商分立和民商合一两种。故选</w:t>
      </w: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27AF1C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4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在我国，十六周岁以上的未成年人以自己的劳动收入为主要生活来源的，应视为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119AC2D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、限制行为能力人</w:t>
      </w:r>
    </w:p>
    <w:p w:rsidR="00AD1216" w14:paraId="7931F152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、无行为能力人</w:t>
      </w:r>
    </w:p>
    <w:p w:rsidR="00AD1216" w14:paraId="0C03C59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、完全行为能力人</w:t>
      </w:r>
    </w:p>
    <w:p w:rsidR="00AD1216" w14:paraId="07C0BE07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、部分限制行为能力人</w:t>
      </w:r>
    </w:p>
    <w:p w:rsidR="00AD1216" w14:paraId="0846C98B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</w:p>
    <w:p w:rsidR="00AD1216" w14:paraId="1EAE996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AD1216">
        <w:rPr>
          <w:rFonts w:ascii="微软雅黑" w:eastAsia="微软雅黑" w:cs="微软雅黑"/>
          <w:color w:val="228B22"/>
          <w:szCs w:val="14"/>
        </w:rPr>
        <w:t>解析：</w:t>
      </w:r>
      <w:r w:rsidRPr="00AD1216">
        <w:rPr>
          <w:rFonts w:ascii="微软雅黑" w:eastAsia="微软雅黑" w:cs="微软雅黑"/>
          <w:szCs w:val="14"/>
        </w:rPr>
        <w:t>《民法典》第十八条第二款规定：十六周岁以上的未成年人，以自己的劳动收入为主要生活来源的，视为完全民事行为能力人。故选</w:t>
      </w: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2B4028A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0000FF"/>
          <w:szCs w:val="14"/>
        </w:rPr>
        <w:t>5</w:t>
      </w:r>
      <w:r w:rsidRPr="00AD1216">
        <w:rPr>
          <w:rFonts w:ascii="微软雅黑" w:eastAsia="微软雅黑" w:cs="微软雅黑"/>
          <w:color w:val="0000FF"/>
          <w:szCs w:val="14"/>
        </w:rPr>
        <w:t>．</w:t>
      </w:r>
      <w:r w:rsidRPr="00AD1216">
        <w:rPr>
          <w:rFonts w:ascii="微软雅黑" w:eastAsia="微软雅黑" w:cs="微软雅黑"/>
          <w:szCs w:val="14"/>
        </w:rPr>
        <w:t>王芳将自己所有的一套房子卖给陆七，但王芳由于孩子上学还想再住一段时间，遂又与陆七达成协议，暂时租住两个月，陆七表示应允，陆七取得该房子所有权的交付方法为</w:t>
      </w:r>
      <w:r w:rsidRPr="00AD1216">
        <w:rPr>
          <w:rFonts w:ascii="微软雅黑" w:eastAsia="微软雅黑" w:cs="微软雅黑"/>
          <w:szCs w:val="14"/>
        </w:rPr>
        <w:t>()</w:t>
      </w:r>
      <w:r w:rsidRPr="00AD1216">
        <w:rPr>
          <w:rFonts w:ascii="微软雅黑" w:eastAsia="微软雅黑" w:cs="微软雅黑"/>
          <w:szCs w:val="14"/>
        </w:rPr>
        <w:t>。</w:t>
      </w:r>
    </w:p>
    <w:p w:rsidR="00AD1216" w14:paraId="5764BB3A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A</w:t>
      </w:r>
      <w:r w:rsidRPr="00AD1216">
        <w:rPr>
          <w:rFonts w:ascii="微软雅黑" w:eastAsia="微软雅黑" w:cs="微软雅黑"/>
          <w:szCs w:val="14"/>
        </w:rPr>
        <w:t>、简易交付</w:t>
      </w:r>
    </w:p>
    <w:p w:rsidR="00AD1216" w14:paraId="4E6F861F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B</w:t>
      </w:r>
      <w:r w:rsidRPr="00AD1216">
        <w:rPr>
          <w:rFonts w:ascii="微软雅黑" w:eastAsia="微软雅黑" w:cs="微软雅黑"/>
          <w:szCs w:val="14"/>
        </w:rPr>
        <w:t>、指示交付</w:t>
      </w:r>
    </w:p>
    <w:p w:rsidR="00AD1216" w14:paraId="27793C3D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C</w:t>
      </w:r>
      <w:r w:rsidRPr="00AD1216">
        <w:rPr>
          <w:rFonts w:ascii="微软雅黑" w:eastAsia="微软雅黑" w:cs="微软雅黑"/>
          <w:szCs w:val="14"/>
        </w:rPr>
        <w:t>、占有改定</w:t>
      </w:r>
    </w:p>
    <w:p w:rsidR="00AD1216" w14:paraId="7108B5FE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szCs w:val="14"/>
        </w:rPr>
        <w:t>D</w:t>
      </w:r>
      <w:r w:rsidRPr="00AD1216">
        <w:rPr>
          <w:rFonts w:ascii="微软雅黑" w:eastAsia="微软雅黑" w:cs="微软雅黑"/>
          <w:szCs w:val="14"/>
        </w:rPr>
        <w:t>、拟制交付</w:t>
      </w:r>
    </w:p>
    <w:p w:rsidR="00AD1216" w14:paraId="763AB633" w14:textId="77777777">
      <w:pPr>
        <w:pStyle w:val="NormalWeb"/>
        <w:widowControl/>
        <w:spacing w:beforeAutospacing="0" w:after="260" w:afterAutospacing="0" w:line="360" w:lineRule="auto"/>
      </w:pPr>
      <w:r w:rsidRPr="00AD1216">
        <w:rPr>
          <w:rFonts w:ascii="微软雅黑" w:eastAsia="微软雅黑" w:cs="微软雅黑"/>
          <w:color w:val="228B22"/>
          <w:szCs w:val="14"/>
        </w:rPr>
        <w:t>答案：</w:t>
      </w:r>
      <w:r w:rsidRPr="00AD1216">
        <w:rPr>
          <w:rFonts w:ascii="微软雅黑" w:eastAsia="微软雅黑" w:cs="微软雅黑"/>
          <w:szCs w:val="14"/>
        </w:rPr>
        <w:t>C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https://d.book118.com/717066031061006040</w:t>
        </w:r>
      </w:hyperlink>
    </w:p>
    <w:p w:rsidR="00AD1216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paraId="21EC07B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F80" w14:paraId="72380A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paraId="76F04FC4" w14:textId="4C61E5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94F80" w14:paraId="1A23A47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paraId="070CB21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F8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textId="4C61E5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94F8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4F8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:rsidP="00966D7E" w14:textId="4C61E5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94F8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paraId="25E0B9D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paraId="3C74A21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paraId="4BCAD78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4F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94F80"/>
    <w:rsid w:val="00966D7E"/>
    <w:rsid w:val="00A77B3E"/>
    <w:rsid w:val="00AD1216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F1236A"/>
  <w15:docId w15:val="{024CF05B-A864-4ADC-8E7B-BD4F86C2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AD1216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AD121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394F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394F80"/>
    <w:rPr>
      <w:sz w:val="18"/>
      <w:szCs w:val="18"/>
    </w:rPr>
  </w:style>
  <w:style w:type="paragraph" w:styleId="Footer">
    <w:name w:val="footer"/>
    <w:basedOn w:val="Normal"/>
    <w:link w:val="a0"/>
    <w:rsid w:val="00394F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394F80"/>
    <w:rPr>
      <w:sz w:val="18"/>
      <w:szCs w:val="18"/>
    </w:rPr>
  </w:style>
  <w:style w:type="character" w:styleId="PageNumber">
    <w:name w:val="page number"/>
    <w:basedOn w:val="DefaultParagraphFont"/>
    <w:rsid w:val="0039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17066031061006040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3370</Words>
  <Characters>19213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2024-02-06T13:33:00Z</dcterms:created>
  <dcterms:modified xsi:type="dcterms:W3CDTF">2024-02-06T13:33:00Z</dcterms:modified>
</cp:coreProperties>
</file>