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数控加工中心相关行业公司成立方案及可行性研究报告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(七)、数控加工中心项目建设必要性分析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二、数控加工中心项目概况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(二)、数控加工中心项目提出的理由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(三)、数控加工中心项目选址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(六)、数控加工中心项目投资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(七)、数控加工中心项目进度规划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(九)、数控加工中心项目综合评价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_Toc27517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_Toc4305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_Toc21584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5" w:history="1">
        <w:r>
          <w:rPr>
            <w:rFonts w:ascii="仿宋" w:eastAsia="仿宋" w:hAnsi="仿宋" w:cs="仿宋" w:hint="eastAsia"/>
            <w:lang w:eastAsia="zh-CN"/>
          </w:rPr>
          <w:t>(一)、数控加工中心项目进度安排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(二)、数控加工中心项目实施保障措施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(五)、数控加工中心项目总投资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7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3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2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https://d.book118.com/717101114160006042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数控加工中心相关行业公司成立方案及可行性研究报告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数控加工中心相关行业公司成立方案及可行性研究报告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数控加工中心相关行业公司成立方案及可行性研究报告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数控加工中心相关行业公司成立方案及可行性研究报告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数控加工中心相关行业公司成立方案及可行性研究报告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710111416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2024-02-06T06:41:00Z</dcterms:created>
  <dcterms:modified xsi:type="dcterms:W3CDTF">2024-02-06T06:41:39Z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9ACD445711704D61B60991058ECCC6F7_11</vt:lpwstr>
  </property>
  <property fmtid="{D5CDD505-2E9C-101B-9397-08002B2CF9AE}" pid="3" name="KSOProductBuildVer">
    <vt:lpwstr>2052-12.1.0.16250</vt:lpwstr>
  </property>
</Properties>
</file>