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DC" w:rsidP="00D817DC">
      <w:pPr>
        <w:pStyle w:val="Heading1"/>
        <w:shd w:val="clear" w:color="auto" w:fill="FFFFFF"/>
        <w:spacing w:before="0" w:beforeAutospacing="0" w:after="0" w:afterAutospacing="0" w:line="489" w:lineRule="atLeast"/>
        <w:rPr>
          <w:rFonts w:ascii="微软雅黑" w:eastAsia="微软雅黑" w:hAnsi="微软雅黑"/>
          <w:color w:val="323232"/>
          <w:spacing w:val="-14"/>
          <w:sz w:val="41"/>
          <w:szCs w:val="41"/>
        </w:rPr>
      </w:pPr>
      <w:r>
        <w:rPr>
          <w:rFonts w:ascii="微软雅黑" w:eastAsia="微软雅黑" w:hAnsi="微软雅黑" w:hint="eastAsia"/>
          <w:color w:val="323232"/>
          <w:spacing w:val="-14"/>
          <w:sz w:val="41"/>
          <w:szCs w:val="41"/>
        </w:rPr>
        <w:t>今存卷本《琴操》伪书考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今存《琴操》之书归结起来有两种：清王谟《汉魏遗书钞》辑本（以下简称“王谟本”）和卷本。前者不分卷，后者分卷上、卷下和补。卷本卷上列二十七题，有具体条目文字二十六题（其中两题示有缺文），有目无录一题；卷下列条目二十四题，有具体条目文字二十二题（其中一题示有缺文），有目无录两题；补，因版本不同，或有五题，或有九题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相较王谟本只有一个版本，卷本有九个本子，分校本和未校本两个系统。其中校本六种，孙星衍《平津馆丛书》本（以下简称“孙校本”）、严可均《蔡中郎集》本（同孙校本）、黄奭《汉学堂丛书》本（孙校本增校本）、杨宗稷《琴学丛书》本（孙校本删校本）、商务印书馆《丛书集成初编》本（同孙校本）和吉联抗《〈琴操〉两种》本（同孙校本）；未校本三种，顾修《读画斋丛书》本（以下简称“顾刊本”）、阮元《宛委别藏》本和徐干《邵武徐氏丛书初刻》本（顾刊本附四库未收书提要）。卷本版本归结起来实际是三种：孙校本、顾刊本和《宛委别藏》本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经学者比勘考证，对卷本性质提出如下看法。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其一，认为卷本是《琴操》传本（以下简称“传本说”）。此观点由清马瑞辰《〈琴操〉校本序》明确提出，其曰：“《唐志》载《琴操》一卷，视隋已亡二卷。《中兴书目》言琴调周诗五篇、古操引共五十篇，视《崇文总目》总五十九章，又亡其四。若《宋艺文志》载孔衍《琴操引》三卷，盖仅据《隋志》存其目，非真有全书也。陈氏书录所载周诗五篇、操引二十一篇，与今本合，是今本所传即直斋所见之本。”</w:t>
      </w:r>
      <w:r>
        <w:rPr>
          <w:rFonts w:hint="eastAsia"/>
          <w:color w:val="323232"/>
          <w:sz w:val="22"/>
          <w:szCs w:val="22"/>
        </w:rPr>
        <w:t>①</w:t>
      </w:r>
      <w:r>
        <w:rPr>
          <w:rFonts w:ascii="Arial" w:hAnsi="Arial" w:cs="Arial"/>
          <w:color w:val="323232"/>
          <w:sz w:val="22"/>
          <w:szCs w:val="22"/>
        </w:rPr>
        <w:t>（清）孙星衍《〈琴操〉校本》（《平津馆丛书》本），载《续修四库全书》（第1092 册），上海古籍出版社2002年版，第145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其二，推测卷本为王谟本的整理本（以下简称“整理本说”）。此观点见于吉联抗《〈琴操〉考异》，其曰：“所谓《琴操》，原来是一八〇〇年以前王谟《汉魏遗书钞》里的一种辑佚本，在以后三五年间，有人在此基础上加工润色，改头换面，到一八〇五年以前作为《读画斋丛书》中的一种时，就换成另一种面貌了。一八〇五年收入《平津馆丛书》时，孙星衍又做了些校勘，加上些校注，便俨然成为一种原本古籍。”</w:t>
      </w:r>
      <w:r>
        <w:rPr>
          <w:rFonts w:hint="eastAsia"/>
          <w:color w:val="323232"/>
          <w:sz w:val="22"/>
          <w:szCs w:val="22"/>
        </w:rPr>
        <w:t>②</w:t>
      </w:r>
      <w:r>
        <w:rPr>
          <w:rFonts w:ascii="Arial" w:hAnsi="Arial" w:cs="Arial"/>
          <w:color w:val="323232"/>
          <w:sz w:val="22"/>
          <w:szCs w:val="22"/>
        </w:rPr>
        <w:t>吉联抗《〈琴操〉考异》，《音乐研究》1982 年第2 期，第62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其三，认为卷本是《琴操》的后世辑本（以下简称“辑本说”）。此观点见于马萌《〈琴操〉版本考辨》</w:t>
      </w:r>
      <w:r>
        <w:rPr>
          <w:rFonts w:hint="eastAsia"/>
          <w:color w:val="323232"/>
          <w:sz w:val="22"/>
          <w:szCs w:val="22"/>
        </w:rPr>
        <w:t>③</w:t>
      </w:r>
      <w:r>
        <w:rPr>
          <w:rFonts w:ascii="Arial" w:hAnsi="Arial" w:cs="Arial"/>
          <w:color w:val="323232"/>
          <w:sz w:val="22"/>
          <w:szCs w:val="22"/>
        </w:rPr>
        <w:t>马萌《〈琴操〉版本考辨》，《许昌学院学报》2010 年第4 期。，王小盾、余作胜《从〈琴操〉版本论音乐古籍辑佚学》</w:t>
      </w:r>
      <w:r>
        <w:rPr>
          <w:rFonts w:hint="eastAsia"/>
          <w:color w:val="323232"/>
          <w:sz w:val="22"/>
          <w:szCs w:val="22"/>
        </w:rPr>
        <w:t>④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王小盾、余作胜《从〈琴操〉版本论音乐古籍辑佚学》，《音乐研究》2011</w:t>
      </w:r>
      <w:r>
        <w:rPr>
          <w:rFonts w:ascii="Arial" w:hAnsi="Arial" w:cs="Arial"/>
          <w:color w:val="323232"/>
          <w:sz w:val="22"/>
          <w:szCs w:val="22"/>
        </w:rPr>
        <w:t xml:space="preserve"> 年第3</w:t>
      </w:r>
      <w:r>
        <w:rPr>
          <w:rFonts w:ascii="Arial" w:hAnsi="Arial" w:cs="Arial"/>
          <w:color w:val="323232"/>
          <w:sz w:val="22"/>
          <w:szCs w:val="22"/>
        </w:rPr>
        <w:t xml:space="preserve"> 期。，邓安生《〈琴操〉的版本与作者》</w:t>
      </w:r>
      <w:r>
        <w:rPr>
          <w:rFonts w:hint="eastAsia"/>
          <w:color w:val="323232"/>
          <w:sz w:val="22"/>
          <w:szCs w:val="22"/>
        </w:rPr>
        <w:t>⑤</w:t>
      </w:r>
      <w:r>
        <w:rPr>
          <w:rFonts w:ascii="Arial" w:hAnsi="Arial" w:cs="Arial"/>
          <w:color w:val="323232"/>
          <w:sz w:val="22"/>
          <w:szCs w:val="22"/>
        </w:rPr>
        <w:t>邓安生《〈琴操〉的版本与作者》，《民族文学研究》2014 年第5 期。。其中，王小盾、余作胜之文论述比较详细，该文在驳斥了“传本说”和“整理本说”后，提出“读画斋本既然不是原本，又不是遗书钞本的整理本，那么，它的性质其实就明朗了，它只是一种辑本。”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笔者以为，此书是《琴操》亡佚后于清初出现的，并非原书（故谈不上残书），而是后人辑合之书，但也不是《琴操》的辑佚本，因为其内容来源远不止《琴操》佚文。因此，卷本《琴操》整体上来说是伪书，详考如下。来源也未交代。该本比孙校本刊刻早七年，与孙氏底本比较，除个别字用法不同，没有任何区别。可见，孙氏底本同于顾刊本，甚至就是顾刊本，马瑞辰《〈琴操校本〉序》曰“今《读画斋丛书》所传本”</w:t>
      </w:r>
      <w:r>
        <w:rPr>
          <w:rFonts w:hint="eastAsia"/>
          <w:color w:val="323232"/>
          <w:sz w:val="22"/>
          <w:szCs w:val="22"/>
        </w:rPr>
        <w:t>⑥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①</w:t>
      </w:r>
      <w:r>
        <w:rPr>
          <w:rFonts w:ascii="Arial" w:hAnsi="Arial" w:cs="Arial"/>
          <w:color w:val="323232"/>
          <w:sz w:val="22"/>
          <w:szCs w:val="22"/>
        </w:rPr>
        <w:t>。似乎就是这个意思。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《宛委别藏》本，阮元所献，是阮元任浙江学政、巡抚期间所获。其卷数、文字与顾刊本、孙氏底本比较，除个别字用法不同，还有一个重大区别，即表示夷、狄、匈奴之类的文字，《宛委别藏》本一概作空字或者用它字代替。计有：顾刊本卷上《岐山操》“狄”“狄”“狄戎”三处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《琴操》（《读画斋丛书》本），载清华大学图书馆藏《读画斋丛书·己集》，第7 页。，卷本空字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《琴操》（《宛委别藏》本），江苏古籍出版社1988年版，第12—13 页。；又有“不能化夷狄”</w:t>
      </w:r>
      <w:r>
        <w:rPr>
          <w:rFonts w:hint="eastAsia"/>
          <w:color w:val="323232"/>
          <w:sz w:val="22"/>
          <w:szCs w:val="22"/>
        </w:rPr>
        <w:t>⑨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。之“夷狄”，卷本作“边裔”</w:t>
      </w:r>
      <w:r>
        <w:rPr>
          <w:rFonts w:hint="eastAsia"/>
          <w:color w:val="323232"/>
          <w:sz w:val="22"/>
          <w:szCs w:val="22"/>
        </w:rPr>
        <w:t>⑩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页。。顾刊本卷下《河间杂歌·怨旷思惟歌》“匈奴”“胡”“西羌”“胡”“胡”“胡”六处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⑪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，第15 页。，卷本空字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⑫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，第50—51 页。。顾刊本卷下《河间杂歌·霍将军歌》“匈奴”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⑬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，第13 页。，卷本空字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⑭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，第48 页。。</w:t>
      </w:r>
    </w:p>
    <w:p w:rsidR="00200699" w:rsidP="00200699">
      <w:pPr>
        <w:pStyle w:val="Heading2"/>
        <w:shd w:val="clear" w:color="auto" w:fill="FFFFFF"/>
        <w:spacing w:before="0" w:after="0"/>
        <w:rPr>
          <w:rFonts w:cs="Arial"/>
          <w:color w:val="323232"/>
          <w:sz w:val="36"/>
          <w:szCs w:val="36"/>
        </w:rPr>
      </w:pPr>
      <w:r>
        <w:rPr>
          <w:rFonts w:cs="Arial"/>
          <w:color w:val="323232"/>
        </w:rPr>
        <w:t>一、卷本《琴操》是清康熙、雍正年间才出现的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卷本《琴操》最常见的是孙校本。孙星衍作《〈琴操〉校本》，于嘉庆十一年付梓，收入《平津馆丛书》，题作“嘉庆丙寅春二月平津馆刊藏”。此校本在刊印时未交代底本来源。剔除校语，就是底本。该底本暂称为“孙氏底本”。据所附马瑞辰序，此底本不晚于嘉庆十年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顾刊本，刊于嘉庆四年，无序无跋，顾刊本卷下《河间杂歌·周太伯》“夷狄”“戎狄”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⑮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，第11—12 页。二处，卷本作“边裔”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⑯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，第28 页。。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与顾刊本、孙氏底本未交代来源不同，阮元在《四库未收书提要·〈琴操〉二卷提要》交代该本是他“从征士惠栋手钞本过录”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⑰</w:t>
      </w:r>
      <w:r>
        <w:rPr>
          <w:rFonts w:ascii="Arial" w:hAnsi="Arial" w:cs="Arial"/>
          <w:color w:val="323232"/>
          <w:sz w:val="22"/>
          <w:szCs w:val="22"/>
        </w:rPr>
        <w:t>（清）阮元《揅经室外集》（阮氏选楼刻本），载《清代诗文集汇编》（第477</w:t>
      </w:r>
      <w:r>
        <w:rPr>
          <w:rFonts w:ascii="Arial" w:hAnsi="Arial" w:cs="Arial"/>
          <w:color w:val="323232"/>
          <w:sz w:val="22"/>
          <w:szCs w:val="22"/>
        </w:rPr>
        <w:t xml:space="preserve"> 册），上海古籍出版社2010</w:t>
      </w:r>
      <w:r>
        <w:rPr>
          <w:rFonts w:ascii="Arial" w:hAnsi="Arial" w:cs="Arial"/>
          <w:color w:val="323232"/>
          <w:sz w:val="22"/>
          <w:szCs w:val="22"/>
        </w:rPr>
        <w:t xml:space="preserve"> 年影印版，第816</w:t>
      </w:r>
      <w:r>
        <w:rPr>
          <w:rFonts w:ascii="Arial" w:hAnsi="Arial" w:cs="Arial"/>
          <w:color w:val="323232"/>
          <w:sz w:val="22"/>
          <w:szCs w:val="22"/>
        </w:rPr>
        <w:t xml:space="preserve"> 页。。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惠栋生年为康熙三十六年至乾隆二十三年，惠栋手钞本也应出现在这一时期。这是可信的，因为上述空字和易字情况，是清初文人间流传的避讳现象，到雍正后期才被禁止。陈垣《史讳举例》曰：“清初书籍避‘胡’‘虏’‘夷’‘狄’。”引雍正十一年皇帝谕内阁曰：“朕览本朝人刊写书籍，凡遇‘胡’‘虏’‘夷’‘狄’等字，每作空白，又或改易形声……揣其意盖为本朝忌讳，避之以明其敬慎，不知此固背理犯义不敬之甚者也。……嗣后临文作字及刊刻书籍，如仍蹈前辙，将此等字样空白及更换者，照大不敬律罪。其从前书籍，若一概责令填补更换，恐卷帙繁多，或有遗漏，着一并晓谕，有情愿填补更换者，听其自为之。”又引乾隆四十二年皇帝谕，针对康熙年刊刻之书，敕与雍正帝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⑱</w:t>
      </w:r>
      <w:r>
        <w:rPr>
          <w:rFonts w:ascii="Arial" w:hAnsi="Arial" w:cs="Arial"/>
          <w:color w:val="323232"/>
          <w:sz w:val="22"/>
          <w:szCs w:val="22"/>
        </w:rPr>
        <w:t>陈垣《史讳举例》，中华书局2004 年版，第28 页。阮元生于乾隆朝，阮元录本不可能是自造的，因为雍正、乾隆已明谕禁止这种避讳现象。因此，从今天所见文本的避讳现象来看，卷本《琴操》最早出现的时间应是清初。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至于阮元录本空字和易字，并非阮元敢违背禁令。此本是惠栋手钞本之誊录本，不属于雍正所说的“临文作字”，也不是“刊刻书籍”，陈垣《史讳举例》引乾隆四十二年修《四库全书》谕曰：“在誊录等草野无知，照本抄誊，不足深责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⑲</w:t>
      </w:r>
      <w:r>
        <w:rPr>
          <w:rFonts w:ascii="Arial" w:hAnsi="Arial" w:cs="Arial"/>
          <w:color w:val="323232"/>
          <w:sz w:val="22"/>
          <w:szCs w:val="22"/>
        </w:rPr>
        <w:t>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⑱</w:t>
      </w:r>
      <w:r>
        <w:rPr>
          <w:rFonts w:ascii="Arial" w:hAnsi="Arial" w:cs="Arial"/>
          <w:color w:val="323232"/>
          <w:sz w:val="22"/>
          <w:szCs w:val="22"/>
        </w:rPr>
        <w:t>，第29 页。因此，此本保持惠栋手钞本原貌，“不足深责”。而顾刊本和孙校本是以刊刻面目出现，按圣谕，若不将避讳字自行填补或更换，会照大不敬律罪论。因此，今见顾刊本和孙校本无论如何得来，都已失去康熙、雍正时的原貌。从这个意义上说，此三种本子只有阮元录本才最接近原本。实际上，阮元于乾隆六十年任浙江学政，嘉庆十年去浙江巡抚职。期间正与孙星衍、鲍廷博等人交游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⑳</w:t>
      </w:r>
      <w:r>
        <w:rPr>
          <w:rFonts w:ascii="Arial" w:hAnsi="Arial" w:cs="Arial"/>
          <w:color w:val="323232"/>
          <w:sz w:val="22"/>
          <w:szCs w:val="22"/>
        </w:rPr>
        <w:t>参见（清）阮亨《瀛舟笔谈》卷10（嘉庆十六年刊本）；（清）张鉴《雷塘庵主弟子记》卷2，载《阮元年谱》，中华书局1995 年版，第41 页。而顾修与鲍廷博交往甚多，《读画斋丛书》正是选编自鲍廷博《知不足斋丛书》未收书。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㉑㉑</w:t>
      </w:r>
      <w:r>
        <w:rPr>
          <w:rFonts w:ascii="Arial" w:hAnsi="Arial" w:cs="Arial"/>
          <w:color w:val="323232"/>
          <w:sz w:val="22"/>
          <w:szCs w:val="22"/>
        </w:rPr>
        <w:t xml:space="preserve"> 参见（清）孙志祖《读画斋丛书序》，载清华大学图书馆藏《读画斋丛书·甲集》（嘉庆四年刻本）。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㉒</w:t>
      </w:r>
      <w:r>
        <w:rPr>
          <w:rFonts w:ascii="Arial" w:hAnsi="Arial" w:cs="Arial"/>
          <w:color w:val="323232"/>
          <w:sz w:val="22"/>
          <w:szCs w:val="22"/>
        </w:rPr>
        <w:t xml:space="preserve"> （明）冯班《钝吟杂录》，载文渊阁《四库全书》（第886 册），台湾商务印书馆1986 年版，第556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㉓</w:t>
      </w:r>
      <w:r>
        <w:rPr>
          <w:rFonts w:ascii="Arial" w:hAnsi="Arial" w:cs="Arial"/>
          <w:color w:val="323232"/>
          <w:sz w:val="22"/>
          <w:szCs w:val="22"/>
        </w:rPr>
        <w:t xml:space="preserve"> （清）马骕《绎史》，载文渊阁《四库全书》（第365 册），第3 页。顾刊本和孙氏底本，或者源自阮元录本，或者源自惠栋手钞本。</w:t>
      </w:r>
    </w:p>
    <w:p w:rsidR="00200699" w:rsidP="00200699">
      <w:pPr>
        <w:pStyle w:val="Heading2"/>
        <w:shd w:val="clear" w:color="auto" w:fill="FFFFFF"/>
        <w:spacing w:before="0" w:after="0"/>
        <w:rPr>
          <w:rFonts w:cs="Arial"/>
          <w:color w:val="323232"/>
          <w:sz w:val="36"/>
          <w:szCs w:val="36"/>
        </w:rPr>
      </w:pPr>
      <w:r>
        <w:rPr>
          <w:rFonts w:cs="Arial"/>
          <w:color w:val="323232"/>
        </w:rPr>
        <w:t>二、卷本《琴操》与文献所记录《琴操》不合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明末清初，《琴操》已佚。出现于清康、雍年间的卷本《琴操》与文献所记录《琴操》不合。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1.明、清人文献直接指出《琴操》已亡佚。明末清初冯班《钝吟杂录》卷五《严氏纠谬》曰：“《琴操》今此书虽亡，然《乐府诗集》所载可见。”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㉒㉑</w:t>
      </w:r>
      <w:r>
        <w:rPr>
          <w:rFonts w:ascii="Arial" w:hAnsi="Arial" w:cs="Arial"/>
          <w:color w:val="323232"/>
          <w:sz w:val="22"/>
          <w:szCs w:val="22"/>
        </w:rPr>
        <w:t xml:space="preserve"> 参见（清）孙志祖《读画斋丛书序》，载清华大学图书馆藏《读画斋丛书·甲集》（嘉庆四年刻本）。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㉒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（明）冯班《钝吟杂录》，载文渊阁《四库全书》（第88</w:t>
      </w:r>
      <w:r>
        <w:rPr>
          <w:rFonts w:ascii="Arial" w:hAnsi="Arial" w:cs="Arial"/>
          <w:color w:val="323232"/>
          <w:sz w:val="22"/>
          <w:szCs w:val="22"/>
        </w:rPr>
        <w:t>6</w:t>
      </w:r>
      <w:r>
        <w:rPr>
          <w:rFonts w:ascii="Arial" w:hAnsi="Arial" w:cs="Arial"/>
          <w:color w:val="323232"/>
          <w:sz w:val="22"/>
          <w:szCs w:val="22"/>
        </w:rPr>
        <w:t xml:space="preserve"> 册），台湾商务印书馆1986</w:t>
      </w:r>
      <w:r>
        <w:rPr>
          <w:rFonts w:ascii="Arial" w:hAnsi="Arial" w:cs="Arial"/>
          <w:color w:val="323232"/>
          <w:sz w:val="22"/>
          <w:szCs w:val="22"/>
        </w:rPr>
        <w:t xml:space="preserve"> 年版，第556</w:t>
      </w:r>
      <w:r>
        <w:rPr>
          <w:rFonts w:ascii="Arial" w:hAnsi="Arial" w:cs="Arial"/>
          <w:color w:val="323232"/>
          <w:sz w:val="22"/>
          <w:szCs w:val="22"/>
        </w:rPr>
        <w:t xml:space="preserve">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㉓</w:t>
      </w:r>
      <w:r>
        <w:rPr>
          <w:rFonts w:ascii="Arial" w:hAnsi="Arial" w:cs="Arial"/>
          <w:color w:val="323232"/>
          <w:sz w:val="22"/>
          <w:szCs w:val="22"/>
        </w:rPr>
        <w:t xml:space="preserve"> （清）马骕《绎史》，载文渊阁《四库全书》（第365 册），第3 页。又清初马骕《绎史·征言》“若乃全书阙轶其名仅见”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㉓㉑</w:t>
      </w:r>
      <w:r>
        <w:rPr>
          <w:rFonts w:ascii="Arial" w:hAnsi="Arial" w:cs="Arial"/>
          <w:color w:val="323232"/>
          <w:sz w:val="22"/>
          <w:szCs w:val="22"/>
        </w:rPr>
        <w:t xml:space="preserve"> 参见（清）孙志祖《读画斋丛书序》，载清华大学图书馆藏《读画斋丛书·甲集》（嘉庆四年刻本）。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㉒</w:t>
      </w:r>
      <w:r>
        <w:rPr>
          <w:rFonts w:ascii="Arial" w:hAnsi="Arial" w:cs="Arial"/>
          <w:color w:val="323232"/>
          <w:sz w:val="22"/>
          <w:szCs w:val="22"/>
        </w:rPr>
        <w:t xml:space="preserve"> （明）冯班《钝吟杂录》，载文渊阁《四库全书》（第886 册），台湾商务印书馆1986 年版，第556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㉓</w:t>
      </w:r>
      <w:r>
        <w:rPr>
          <w:rFonts w:ascii="Arial" w:hAnsi="Arial" w:cs="Arial"/>
          <w:color w:val="323232"/>
          <w:sz w:val="22"/>
          <w:szCs w:val="22"/>
        </w:rPr>
        <w:t xml:space="preserve"> （清）马骕《绎史》，载文渊阁《四库全书》（第365 册），第3 页。所列就有《琴操》。乾隆年编《四库全书》亦认为《琴操》已佚，乾隆《再题〈乐律全书〉》曰：“古《琴操》乃晋孔衍所编，其书今亡，唯见于诸家类书所引。”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㉔㉔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</w:t>
      </w:r>
      <w:r>
        <w:rPr>
          <w:rFonts w:ascii="Arial" w:hAnsi="Arial" w:cs="Arial"/>
          <w:color w:val="323232"/>
          <w:sz w:val="22"/>
          <w:szCs w:val="22"/>
        </w:rPr>
        <w:t>倩《乐府诗集》，中华书局1979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页。王谟于乾隆时辑《琴操》，也是认为《琴操》已佚。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2.卷本卷数、篇目数、解题文字与南宋时《琴操》残卷的情况不合。南宋《直斋书录解题》卷一四《音乐类》曰：“《琴操》一卷。不著名氏。《中兴书目》云：‘晋广陵守孔衍，以琴调周《诗》五篇、古操、引共五十篇。述所以命题之意。’今周《诗》篇同而操引财二十一篇，似非全书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卷本卷上就是歌《诗》五曲、十二操、九引解题，似乎符合《中兴书目》和《直斋书录解题》。但是，南宋后期《琴操》只剩一卷，卷本却有两卷（补卷是在两卷之外另辑的），而且卷本卷下还有二十四个篇目及二十二篇解题，远远超出南宋残书范围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3.卷本关于《河间杂歌》内容与古文献载记情况几乎完全不合。关于《河间杂歌》曲目数，《初学记》卷一六《乐部·琴·序事》引《琴操》曰：“古琴曲……又有河间杂歌二十一章。”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页。卷本卷上《序首》亦曰：“又有河间杂歌二十一章。”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但卷本卷下《河间杂歌》实录曲目不止二十一章，逯钦立先生《先秦汉魏晋南北朝诗·汉诗》卷十一《琴曲歌辞》亦曰：“《河间杂歌》二十一章，今本（案：指卷本）所载实为二十四则，合补遗计之且已三十。越出二十一章之数矣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关于《河间杂歌》具体曲目，只见载于《乐府诗集》卷五八《琴曲歌辞·双燕离》：“《琴集》曰：‘《独处吟》《流凘咽》《双燕离》《处女吟》四曲，其词俱亡。’《琴历》曰：‘《河间新歌》二十一章，此其四曲也。’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年版，第842</w:t>
      </w:r>
      <w:r>
        <w:rPr>
          <w:rFonts w:ascii="Arial" w:hAnsi="Arial" w:cs="Arial"/>
          <w:color w:val="323232"/>
          <w:sz w:val="22"/>
          <w:szCs w:val="22"/>
        </w:rPr>
        <w:t xml:space="preserve">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页。也就是说，北宋所能知道的《河间杂歌》二十一章内容也仅是这四曲名。但是，卷本所载《河间杂歌》除这四曲名，还有二十个曲名，且二十四曲有二十一曲解题完整，远超过宋人所知。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4.卷本与《琴操》佚文有不合的情况。其一，体例不合。卷本卷上“歌《诗》五曲”部分的《鹿鸣》《伐檀》《驺虞》《白驹》解题均在曲名后加了“操”字，据《初学记》卷十六《乐部·琴》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</w:t>
      </w:r>
      <w:r>
        <w:rPr>
          <w:rFonts w:ascii="Arial" w:hAnsi="Arial" w:cs="Arial"/>
          <w:color w:val="323232"/>
          <w:sz w:val="22"/>
          <w:szCs w:val="22"/>
        </w:rPr>
        <w:t>宋）李昉《太平御览》，载文渊阁《四库全书》（第898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页。、《太平御览》卷五七八《乐部·琴》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页。等引《琴操》概说类佚文，“歌《诗》五曲”曲名后均无“操”字，而且“歌《诗》五曲”与“十二操”属于不同曲体，卷本“歌《诗》五曲”解题违反了《琴操》体例。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其二，内容不合。如，卷本卷上《伯姬引》曰：“伯姬引者，伯姬保母所作。”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</w:t>
      </w:r>
      <w:r>
        <w:rPr>
          <w:rFonts w:ascii="Arial" w:hAnsi="Arial" w:cs="Arial"/>
          <w:color w:val="323232"/>
          <w:sz w:val="22"/>
          <w:szCs w:val="22"/>
        </w:rPr>
        <w:t xml:space="preserve"> 册），第</w:t>
      </w:r>
      <w:r>
        <w:rPr>
          <w:rFonts w:ascii="Arial" w:hAnsi="Arial" w:cs="Arial"/>
          <w:color w:val="323232"/>
          <w:sz w:val="22"/>
          <w:szCs w:val="22"/>
        </w:rPr>
        <w:t xml:space="preserve"> 51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 xml:space="preserve"> 页。而《初学记》卷一六《乐部·琴》引《琴操》曰：“伯妃引（鲁伯妃所作）。”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㉝㉔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</w:t>
      </w:r>
      <w:r>
        <w:rPr>
          <w:rFonts w:ascii="Arial" w:hAnsi="Arial" w:cs="Arial"/>
          <w:color w:val="323232"/>
          <w:sz w:val="22"/>
          <w:szCs w:val="22"/>
        </w:rPr>
        <w:t>中华书局1979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页。《白孔六帖》卷六〇二《琴·白》“九引”，注曰：“二伯飞，鲁伯飞作。”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892 册），第 51 页。《太平御览》卷五七八《乐部·琴》引《琴操》曰：“伯姬引，鲁伯姬所作。”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㉟㉔</w:t>
      </w:r>
      <w:r>
        <w:rPr>
          <w:rFonts w:hint="eastAsia"/>
          <w:color w:val="323232"/>
          <w:sz w:val="22"/>
          <w:szCs w:val="22"/>
        </w:rPr>
        <w:t>（明）朱载堉《乐律全书》，载文渊阁《四库全书》</w:t>
      </w:r>
      <w:r>
        <w:rPr>
          <w:rFonts w:ascii="Arial" w:hAnsi="Arial" w:cs="Arial"/>
          <w:color w:val="323232"/>
          <w:sz w:val="22"/>
          <w:szCs w:val="22"/>
        </w:rPr>
        <w:t>（第213 册），第6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㉕</w:t>
      </w:r>
      <w:r>
        <w:rPr>
          <w:rFonts w:hint="eastAsia"/>
          <w:color w:val="323232"/>
          <w:sz w:val="22"/>
          <w:szCs w:val="22"/>
        </w:rPr>
        <w:t>（宋）陈振孙《直斋书录解题》，载文渊阁《四库全书》（第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674 册），第764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（唐）徐坚《初学记》，中华书局</w:t>
      </w:r>
      <w:r>
        <w:rPr>
          <w:rFonts w:ascii="Arial" w:hAnsi="Arial" w:cs="Arial"/>
          <w:color w:val="323232"/>
          <w:sz w:val="22"/>
          <w:szCs w:val="22"/>
        </w:rPr>
        <w:t>20</w:t>
      </w:r>
      <w:r>
        <w:rPr>
          <w:rFonts w:ascii="Arial" w:hAnsi="Arial" w:cs="Arial"/>
          <w:color w:val="323232"/>
          <w:sz w:val="22"/>
          <w:szCs w:val="22"/>
        </w:rPr>
        <w:t>04 年版，第386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㉗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㉘</w:t>
      </w:r>
      <w:r>
        <w:rPr>
          <w:rFonts w:ascii="Arial" w:hAnsi="Arial" w:cs="Arial"/>
          <w:color w:val="323232"/>
          <w:sz w:val="22"/>
          <w:szCs w:val="22"/>
        </w:rPr>
        <w:t xml:space="preserve"> 逯钦立编《先秦汉魏晋南北朝诗》，中华书局1983 年版，第307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（宋）郭茂倩《乐府诗集》，中华书局</w:t>
      </w:r>
      <w:r>
        <w:rPr>
          <w:rFonts w:ascii="Arial" w:hAnsi="Arial" w:cs="Arial"/>
          <w:color w:val="323232"/>
          <w:sz w:val="22"/>
          <w:szCs w:val="22"/>
        </w:rPr>
        <w:t>1979 年版，第842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㉚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㉛</w:t>
      </w:r>
      <w:r>
        <w:rPr>
          <w:rFonts w:hint="eastAsia"/>
          <w:color w:val="323232"/>
          <w:sz w:val="22"/>
          <w:szCs w:val="22"/>
        </w:rPr>
        <w:t>（宋）李昉《太平御览》，载文渊阁《四库全书》（第</w:t>
      </w:r>
      <w:r>
        <w:rPr>
          <w:rFonts w:ascii="Arial" w:hAnsi="Arial" w:cs="Arial"/>
          <w:color w:val="323232"/>
          <w:sz w:val="22"/>
          <w:szCs w:val="22"/>
        </w:rPr>
        <w:t>898 册），第370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㉜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，第18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（唐）白居易、（宋）孔传《白孔六帖》，载文渊阁《四库全书》（</w:t>
      </w:r>
      <w:r>
        <w:rPr>
          <w:rFonts w:ascii="Arial" w:hAnsi="Arial" w:cs="Arial"/>
          <w:color w:val="323232"/>
          <w:sz w:val="22"/>
          <w:szCs w:val="22"/>
        </w:rPr>
        <w:t>第892 册），第 51 页。《玉海》卷一百十《古琴五曲十二操九引》引《琴操》曰：“伯妃引（鲁伯妃）。”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㊱㊱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页。又如，卷本卷上《岐山操》曰：“岐山操者，周太王之所作也。”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页。《初学记》卷十六《乐部·琴·叙事》引《琴操》曰：“《岐山操》（周人为文王所作）。”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页。《乐府诗集》卷五十七《琴曲歌辞·岐山操》载《琴操》曰：“《岐山操》，周公为大王作也。”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其三，表述不合。卷本卷下《河间杂歌·龙蛇歌》曰：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>龙蛇歌者，介子绥所作也。晋文公重耳与子绥俱亡，子绥割其腕股以饵（一作“啖”）重耳。重耳复国，舅犯、赵衰俱蒙厚赏，子绥独无所得。绥甚怨恨，乃作龙蛇之歌以感之。其章曰：“有龙矫矫，遭天谴怒；卷排角甲，来遁于下。志愿不与，蛇得同伍。龙蛇俱行，身辨山墅。龙得升天，安厥房户；蛇独抑摧，沈滞泥土。仰天怨望，绸缪悲苦。非乐龙伍，惔不眄顾。”文公惊悟，即遣使者奉节迎之，终不肯出。文公令燔山求之。子绥遂抱木而烧死。文公哀之流涕，令民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5"/>
          <w:attr w:name="Year" w:val="2024"/>
        </w:smartTagPr>
        <w:r>
          <w:rPr>
            <w:rFonts w:ascii="Arial" w:hAnsi="Arial" w:cs="Arial"/>
            <w:color w:val="323232"/>
            <w:sz w:val="22"/>
            <w:szCs w:val="22"/>
          </w:rPr>
          <w:t>五月五日</w:t>
        </w:r>
      </w:smartTag>
      <w:r>
        <w:rPr>
          <w:rFonts w:ascii="Arial" w:hAnsi="Arial" w:cs="Arial"/>
          <w:color w:val="323232"/>
          <w:sz w:val="22"/>
          <w:szCs w:val="22"/>
        </w:rPr>
        <w:t>不得举发火。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</w:t>
      </w:r>
      <w:r>
        <w:rPr>
          <w:rFonts w:ascii="Arial" w:hAnsi="Arial" w:cs="Arial"/>
          <w:color w:val="323232"/>
          <w:sz w:val="22"/>
          <w:szCs w:val="22"/>
        </w:rPr>
        <w:t>5</w:t>
      </w:r>
      <w:r>
        <w:rPr>
          <w:rFonts w:ascii="Arial" w:hAnsi="Arial" w:cs="Arial"/>
          <w:color w:val="323232"/>
          <w:sz w:val="22"/>
          <w:szCs w:val="22"/>
        </w:rPr>
        <w:t xml:space="preserve"> 册），第31—32</w:t>
      </w:r>
      <w:r>
        <w:rPr>
          <w:rFonts w:ascii="Arial" w:hAnsi="Arial" w:cs="Arial"/>
          <w:color w:val="323232"/>
          <w:sz w:val="22"/>
          <w:szCs w:val="22"/>
        </w:rPr>
        <w:t xml:space="preserve">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隋杜台卿《玉烛宝典》卷二引《琴操》曰：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晋重耳与介子绥（“推”“绥”声相近也）俱遁山野，重耳大有饥色，绥割其腓股以啖重耳。重耳复国，子绥独无所得，甚怨恨，乃作龙蛇之歌以感动之，曰：“有龙矫矫，遭天谴怒，惓逃鳞甲，来道于下。志愿不得，与蛇同伍。龙蛇俱行，周徧山野。龙遭饥饿，蛇割腓股。龙行升天，安其房户。蛇独抑摧，沉天怨望。惆怅悲苦，非乐龙位。恠不眄顾。”文公惊悟，即遣追，求得于荆山之中，使者奉节还之，终不肯听。文公曰：“燔左右，木热当自出。”乃燔之。子绥遂抱木而烧死。文公流涕交颈，令民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5"/>
          <w:attr w:name="Year" w:val="2024"/>
        </w:smartTagPr>
        <w:r>
          <w:rPr>
            <w:rFonts w:ascii="Arial" w:hAnsi="Arial" w:cs="Arial"/>
            <w:color w:val="323232"/>
            <w:sz w:val="22"/>
            <w:szCs w:val="22"/>
          </w:rPr>
          <w:t>五月五日</w:t>
        </w:r>
      </w:smartTag>
      <w:r>
        <w:rPr>
          <w:rFonts w:ascii="Arial" w:hAnsi="Arial" w:cs="Arial"/>
          <w:color w:val="323232"/>
          <w:sz w:val="22"/>
          <w:szCs w:val="22"/>
        </w:rPr>
        <w:t>不得发火。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两者相较，内容基本一致，文字表述却相差较远，尤其是歌辞。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Arial" w:hAnsi="Arial" w:cs="Arial"/>
          <w:color w:val="323232"/>
          <w:sz w:val="22"/>
          <w:szCs w:val="22"/>
        </w:rPr>
        <w:t xml:space="preserve">其四，格式不同。卷本文字格式统一，与今传佚文不类。卷本卷上琴曲解题开头行文都以 </w:t>
      </w:r>
      <w:r>
        <w:rPr>
          <w:rFonts w:ascii="Arial" w:hAnsi="Arial" w:cs="Arial"/>
          <w:color w:val="323232"/>
          <w:sz w:val="22"/>
          <w:szCs w:val="22"/>
        </w:rPr>
        <w:t>“某某（曲）者，某某之所作也”为格式。实际上，《琴操》佚文反映的琴曲解题行文是有差别的。如卷本卷上《将归操》首句作：“将归操者，孔子之所作也。”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页。而《初学记》卷一六《乐部·琴》引《琴操》作：“一曰将归操（孔子所作）。”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 xml:space="preserve">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页。《白孔六帖》卷六〇二《琴·白》注引《琴操》作：“一将归，孔子作。”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页。《详注昌黎先生文集》卷一文谠《注》引《琴操》作：“将归操者，孔子之赵，闻杀鸣牍而作也。”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</w:t>
      </w:r>
      <w:r>
        <w:rPr>
          <w:rFonts w:ascii="Arial" w:hAnsi="Arial" w:cs="Arial"/>
          <w:color w:val="323232"/>
          <w:sz w:val="22"/>
          <w:szCs w:val="22"/>
        </w:rPr>
        <w:t>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页。《乐府诗集》卷五八《琴曲歌辞·将归操》引《琴操》作：“将归操，孔子所作也。”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t xml:space="preserve"> （隋）杜台卿《玉烛宝典》（《古逸从书》本），载《续修四库全书》（第885 册），第31—32 页。《玉烛宝典》在国内久已失传，光绪年间才由杨守敬从日本钞回，收入《古逸丛书》。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㊷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，第6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㊸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㉖</w:t>
      </w:r>
      <w:r>
        <w:rPr>
          <w:rFonts w:hint="eastAsia"/>
          <w:color w:val="323232"/>
          <w:sz w:val="22"/>
          <w:szCs w:val="22"/>
        </w:rPr>
        <w:t>。括号内为原小字注，下同。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㊹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㉞</w:t>
      </w:r>
      <w:r>
        <w:rPr>
          <w:rFonts w:hint="eastAsia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㊺</w:t>
      </w:r>
      <w:r>
        <w:rPr>
          <w:rFonts w:ascii="Arial" w:hAnsi="Arial" w:cs="Arial"/>
          <w:color w:val="323232"/>
          <w:sz w:val="22"/>
          <w:szCs w:val="22"/>
        </w:rPr>
        <w:t xml:space="preserve"> （宋）文谠注、王俦补注《新刊经进详注昌黎先生文集》，载《续修四库全书》（第1309 册），第369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㊻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841 页。</w:t>
      </w:r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  <w:r>
        <w:rPr>
          <w:rFonts w:ascii="Arial" w:hAnsi="Arial" w:cs="Arial"/>
          <w:color w:val="323232"/>
          <w:sz w:val="22"/>
          <w:szCs w:val="22"/>
        </w:rPr>
        <w:t>其五，用字不合。卷本关于《霹雳引》文字，霹雳均作“辟历”（共五处）。“辟历”二字是汉人用字，后人钞古书都将“辟历”改为“霹雳”，如，《初学记》卷一六《乐部·…琴》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㊼㊱</w:t>
      </w:r>
      <w:r>
        <w:rPr>
          <w:rFonts w:ascii="Arial" w:hAnsi="Arial" w:cs="Arial"/>
          <w:color w:val="323232"/>
          <w:sz w:val="22"/>
          <w:szCs w:val="22"/>
        </w:rPr>
        <w:t xml:space="preserve"> （宋）王应麟《玉海》，载文渊阁《四库全书》（第945 册），第869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㊲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，第12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㊳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⑦</w:t>
      </w:r>
      <w:r>
        <w:rPr>
          <w:rFonts w:ascii="Arial" w:hAnsi="Arial" w:cs="Arial"/>
          <w:color w:val="323232"/>
          <w:sz w:val="22"/>
          <w:szCs w:val="22"/>
        </w:rPr>
        <w:t>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㊴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㉙</w:t>
      </w:r>
      <w:r>
        <w:rPr>
          <w:rFonts w:hint="eastAsia"/>
          <w:color w:val="323232"/>
          <w:sz w:val="22"/>
          <w:szCs w:val="22"/>
        </w:rPr>
        <w:t>，第</w:t>
      </w:r>
      <w:r>
        <w:rPr>
          <w:rFonts w:ascii="Arial" w:hAnsi="Arial" w:cs="Arial"/>
          <w:color w:val="323232"/>
          <w:sz w:val="22"/>
          <w:szCs w:val="22"/>
        </w:rPr>
        <w:t>832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㊵</w:t>
      </w:r>
      <w:r>
        <w:rPr>
          <w:rFonts w:ascii="Arial" w:hAnsi="Arial" w:cs="Arial"/>
          <w:color w:val="323232"/>
          <w:sz w:val="22"/>
          <w:szCs w:val="22"/>
        </w:rPr>
        <w:t xml:space="preserve"> 同注</w:t>
      </w:r>
      <w:r>
        <w:rPr>
          <w:rFonts w:hint="eastAsia"/>
          <w:color w:val="323232"/>
          <w:sz w:val="22"/>
          <w:szCs w:val="22"/>
        </w:rPr>
        <w:t>⑧</w:t>
      </w:r>
      <w:r>
        <w:rPr>
          <w:rFonts w:ascii="Arial" w:hAnsi="Arial" w:cs="Arial"/>
          <w:color w:val="323232"/>
          <w:sz w:val="22"/>
          <w:szCs w:val="22"/>
        </w:rPr>
        <w:t>，第37 页。</w:t>
      </w:r>
      <w:r>
        <w:rPr>
          <w:rFonts w:ascii="MS Gothic" w:eastAsia="MS Gothic" w:hAnsi="MS Gothic" w:cs="MS Gothic" w:hint="eastAsia"/>
          <w:color w:val="323232"/>
          <w:sz w:val="22"/>
          <w:szCs w:val="22"/>
        </w:rPr>
        <w:t>㊶</w:t>
      </w:r>
      <w:r>
        <w:rPr>
          <w:rFonts w:ascii="Arial" w:hAnsi="Arial" w:cs="Arial"/>
          <w:color w:val="323232"/>
          <w:sz w:val="22"/>
          <w:szCs w:val="22"/>
        </w:rPr>
        <w:br/>
      </w:r>
      <w:r>
        <w:rPr>
          <w:rFonts w:ascii="Arial" w:hAnsi="Arial" w:cs="Arial"/>
          <w:color w:val="323232"/>
          <w:sz w:val="22"/>
          <w:szCs w:val="2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https://d.book118.com/717104052164006040</w:t>
        </w:r>
      </w:hyperlink>
    </w:p>
    <w:p w:rsidR="00200699" w:rsidP="00200699">
      <w:pPr>
        <w:pStyle w:val="NormalWeb"/>
        <w:shd w:val="clear" w:color="auto" w:fill="FFFFFF"/>
        <w:spacing w:before="0" w:beforeAutospacing="0" w:after="0" w:afterAutospacing="0" w:line="435" w:lineRule="atLeast"/>
        <w:ind w:firstLine="480"/>
        <w:rPr>
          <w:rFonts w:ascii="Arial" w:hAnsi="Arial" w:cs="Arial"/>
          <w:color w:val="323232"/>
          <w:sz w:val="22"/>
          <w:szCs w:val="22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7DC"/>
    <w:rsid w:val="00200699"/>
    <w:rsid w:val="00770E24"/>
    <w:rsid w:val="00D817DC"/>
    <w:rsid w:val="00F72E3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qFormat/>
    <w:rsid w:val="00D817D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20069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qFormat/>
    <w:rsid w:val="0020069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2006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7104052164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3204</Words>
  <Characters>18265</Characters>
  <Application>Microsoft Office Word</Application>
  <DocSecurity>0</DocSecurity>
  <Lines>152</Lines>
  <Paragraphs>42</Paragraphs>
  <ScaleCrop>false</ScaleCrop>
  <Company>Microsoft</Company>
  <LinksUpToDate>false</LinksUpToDate>
  <CharactersWithSpaces>21427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今存卷本《琴操》伪书考</dc:title>
  <dc:creator>walkinnet</dc:creator>
  <cp:lastModifiedBy>walkinnet</cp:lastModifiedBy>
  <cp:revision>2</cp:revision>
  <dcterms:created xsi:type="dcterms:W3CDTF">2024-02-09T04:09:00Z</dcterms:created>
  <dcterms:modified xsi:type="dcterms:W3CDTF">2024-02-09T04:10:00Z</dcterms:modified>
</cp:coreProperties>
</file>