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会展物流项目规划设计蓝图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070" w:history="1">
        <w:r>
          <w:rPr>
            <w:rFonts w:ascii="仿宋" w:eastAsia="仿宋" w:hAnsi="仿宋" w:cs="仿宋" w:hint="eastAsia"/>
            <w:lang w:eastAsia="zh-CN"/>
          </w:rPr>
          <w:t>序言</w:t>
        </w:r>
        <w:r>
          <w:tab/>
        </w:r>
        <w:r>
          <w:fldChar w:fldCharType="begin"/>
        </w:r>
        <w:r>
          <w:instrText xml:space="preserve"> PAGEREF _Toc20070 \h </w:instrText>
        </w:r>
        <w:r>
          <w:fldChar w:fldCharType="separate"/>
        </w:r>
        <w:r>
          <w:t>3</w:t>
        </w:r>
        <w:r>
          <w:fldChar w:fldCharType="end"/>
        </w:r>
      </w:hyperlink>
    </w:p>
    <w:p>
      <w:pPr>
        <w:pStyle w:val="TOC1"/>
        <w:tabs>
          <w:tab w:val="right" w:leader="dot" w:pos="8306"/>
        </w:tabs>
      </w:pPr>
      <w:hyperlink w:anchor="_Toc26672" w:history="1">
        <w:r>
          <w:rPr>
            <w:rFonts w:ascii="仿宋" w:eastAsia="仿宋" w:hAnsi="仿宋" w:cs="仿宋" w:hint="eastAsia"/>
            <w:lang w:eastAsia="zh-CN"/>
          </w:rPr>
          <w:t>一、市场分析、调研</w:t>
        </w:r>
        <w:r>
          <w:tab/>
        </w:r>
        <w:r>
          <w:fldChar w:fldCharType="begin"/>
        </w:r>
        <w:r>
          <w:instrText xml:space="preserve"> PAGEREF _Toc26672 \h </w:instrText>
        </w:r>
        <w:r>
          <w:fldChar w:fldCharType="separate"/>
        </w:r>
        <w:r>
          <w:t>3</w:t>
        </w:r>
        <w:r>
          <w:fldChar w:fldCharType="end"/>
        </w:r>
      </w:hyperlink>
    </w:p>
    <w:p>
      <w:pPr>
        <w:pStyle w:val="TOC2"/>
        <w:tabs>
          <w:tab w:val="right" w:leader="dot" w:pos="8306"/>
        </w:tabs>
      </w:pPr>
      <w:hyperlink w:anchor="_Toc15647" w:history="1">
        <w:r>
          <w:rPr>
            <w:rFonts w:ascii="仿宋" w:eastAsia="仿宋" w:hAnsi="仿宋" w:cs="仿宋" w:hint="eastAsia"/>
            <w:lang w:eastAsia="zh-CN"/>
          </w:rPr>
          <w:t>(一)、会展物流行业分析</w:t>
        </w:r>
        <w:r>
          <w:tab/>
        </w:r>
        <w:r>
          <w:fldChar w:fldCharType="begin"/>
        </w:r>
        <w:r>
          <w:instrText xml:space="preserve"> PAGEREF _Toc15647 \h </w:instrText>
        </w:r>
        <w:r>
          <w:fldChar w:fldCharType="separate"/>
        </w:r>
        <w:r>
          <w:t>3</w:t>
        </w:r>
        <w:r>
          <w:fldChar w:fldCharType="end"/>
        </w:r>
      </w:hyperlink>
    </w:p>
    <w:p>
      <w:pPr>
        <w:pStyle w:val="TOC2"/>
        <w:tabs>
          <w:tab w:val="right" w:leader="dot" w:pos="8306"/>
        </w:tabs>
      </w:pPr>
      <w:hyperlink w:anchor="_Toc15962" w:history="1">
        <w:r>
          <w:rPr>
            <w:rFonts w:ascii="仿宋" w:eastAsia="仿宋" w:hAnsi="仿宋" w:cs="仿宋" w:hint="eastAsia"/>
            <w:lang w:eastAsia="zh-CN"/>
          </w:rPr>
          <w:t>(二)、会展物流市场分析预测</w:t>
        </w:r>
        <w:r>
          <w:tab/>
        </w:r>
        <w:r>
          <w:fldChar w:fldCharType="begin"/>
        </w:r>
        <w:r>
          <w:instrText xml:space="preserve"> PAGEREF _Toc15962 \h </w:instrText>
        </w:r>
        <w:r>
          <w:fldChar w:fldCharType="separate"/>
        </w:r>
        <w:r>
          <w:t>4</w:t>
        </w:r>
        <w:r>
          <w:fldChar w:fldCharType="end"/>
        </w:r>
      </w:hyperlink>
    </w:p>
    <w:p>
      <w:pPr>
        <w:pStyle w:val="TOC1"/>
        <w:tabs>
          <w:tab w:val="right" w:leader="dot" w:pos="8306"/>
        </w:tabs>
      </w:pPr>
      <w:hyperlink w:anchor="_Toc17855" w:history="1">
        <w:r>
          <w:rPr>
            <w:rFonts w:ascii="仿宋" w:eastAsia="仿宋" w:hAnsi="仿宋" w:cs="仿宋" w:hint="eastAsia"/>
            <w:lang w:eastAsia="zh-CN"/>
          </w:rPr>
          <w:t>二、会展物流项目土建工程</w:t>
        </w:r>
        <w:r>
          <w:tab/>
        </w:r>
        <w:r>
          <w:fldChar w:fldCharType="begin"/>
        </w:r>
        <w:r>
          <w:instrText xml:space="preserve"> PAGEREF _Toc17855 \h </w:instrText>
        </w:r>
        <w:r>
          <w:fldChar w:fldCharType="separate"/>
        </w:r>
        <w:r>
          <w:t>4</w:t>
        </w:r>
        <w:r>
          <w:fldChar w:fldCharType="end"/>
        </w:r>
      </w:hyperlink>
    </w:p>
    <w:p>
      <w:pPr>
        <w:pStyle w:val="TOC2"/>
        <w:tabs>
          <w:tab w:val="right" w:leader="dot" w:pos="8306"/>
        </w:tabs>
      </w:pPr>
      <w:hyperlink w:anchor="_Toc11458" w:history="1">
        <w:r>
          <w:rPr>
            <w:rFonts w:ascii="仿宋" w:eastAsia="仿宋" w:hAnsi="仿宋" w:cs="仿宋" w:hint="eastAsia"/>
            <w:lang w:eastAsia="zh-CN"/>
          </w:rPr>
          <w:t>(一)、建筑工程设计原则</w:t>
        </w:r>
        <w:r>
          <w:tab/>
        </w:r>
        <w:r>
          <w:fldChar w:fldCharType="begin"/>
        </w:r>
        <w:r>
          <w:instrText xml:space="preserve"> PAGEREF _Toc11458 \h </w:instrText>
        </w:r>
        <w:r>
          <w:fldChar w:fldCharType="separate"/>
        </w:r>
        <w:r>
          <w:t>4</w:t>
        </w:r>
        <w:r>
          <w:fldChar w:fldCharType="end"/>
        </w:r>
      </w:hyperlink>
    </w:p>
    <w:p>
      <w:pPr>
        <w:pStyle w:val="TOC2"/>
        <w:tabs>
          <w:tab w:val="right" w:leader="dot" w:pos="8306"/>
        </w:tabs>
      </w:pPr>
      <w:hyperlink w:anchor="_Toc25813" w:history="1">
        <w:r>
          <w:rPr>
            <w:rFonts w:ascii="仿宋" w:eastAsia="仿宋" w:hAnsi="仿宋" w:cs="仿宋" w:hint="eastAsia"/>
            <w:lang w:eastAsia="zh-CN"/>
          </w:rPr>
          <w:t>(二)、土建工程设计年限及安全等级</w:t>
        </w:r>
        <w:r>
          <w:tab/>
        </w:r>
        <w:r>
          <w:fldChar w:fldCharType="begin"/>
        </w:r>
        <w:r>
          <w:instrText xml:space="preserve"> PAGEREF _Toc25813 \h </w:instrText>
        </w:r>
        <w:r>
          <w:fldChar w:fldCharType="separate"/>
        </w:r>
        <w:r>
          <w:t>6</w:t>
        </w:r>
        <w:r>
          <w:fldChar w:fldCharType="end"/>
        </w:r>
      </w:hyperlink>
    </w:p>
    <w:p>
      <w:pPr>
        <w:pStyle w:val="TOC2"/>
        <w:tabs>
          <w:tab w:val="right" w:leader="dot" w:pos="8306"/>
        </w:tabs>
      </w:pPr>
      <w:hyperlink w:anchor="_Toc1847" w:history="1">
        <w:r>
          <w:rPr>
            <w:rFonts w:ascii="仿宋" w:eastAsia="仿宋" w:hAnsi="仿宋" w:cs="仿宋" w:hint="eastAsia"/>
            <w:lang w:eastAsia="zh-CN"/>
          </w:rPr>
          <w:t>(三)、建筑工程设计总体要求</w:t>
        </w:r>
        <w:r>
          <w:tab/>
        </w:r>
        <w:r>
          <w:fldChar w:fldCharType="begin"/>
        </w:r>
        <w:r>
          <w:instrText xml:space="preserve"> PAGEREF _Toc1847 \h </w:instrText>
        </w:r>
        <w:r>
          <w:fldChar w:fldCharType="separate"/>
        </w:r>
        <w:r>
          <w:t>7</w:t>
        </w:r>
        <w:r>
          <w:fldChar w:fldCharType="end"/>
        </w:r>
      </w:hyperlink>
    </w:p>
    <w:p>
      <w:pPr>
        <w:pStyle w:val="TOC2"/>
        <w:tabs>
          <w:tab w:val="right" w:leader="dot" w:pos="8306"/>
        </w:tabs>
      </w:pPr>
      <w:hyperlink w:anchor="_Toc19051" w:history="1">
        <w:r>
          <w:rPr>
            <w:rFonts w:ascii="仿宋" w:eastAsia="仿宋" w:hAnsi="仿宋" w:cs="仿宋" w:hint="eastAsia"/>
            <w:lang w:eastAsia="zh-CN"/>
          </w:rPr>
          <w:t>(四)、土建工程建设指标</w:t>
        </w:r>
        <w:r>
          <w:tab/>
        </w:r>
        <w:r>
          <w:fldChar w:fldCharType="begin"/>
        </w:r>
        <w:r>
          <w:instrText xml:space="preserve"> PAGEREF _Toc19051 \h </w:instrText>
        </w:r>
        <w:r>
          <w:fldChar w:fldCharType="separate"/>
        </w:r>
        <w:r>
          <w:t>7</w:t>
        </w:r>
        <w:r>
          <w:fldChar w:fldCharType="end"/>
        </w:r>
      </w:hyperlink>
    </w:p>
    <w:p>
      <w:pPr>
        <w:pStyle w:val="TOC1"/>
        <w:tabs>
          <w:tab w:val="right" w:leader="dot" w:pos="8306"/>
        </w:tabs>
      </w:pPr>
      <w:hyperlink w:anchor="_Toc9013" w:history="1">
        <w:r>
          <w:rPr>
            <w:rFonts w:ascii="仿宋" w:eastAsia="仿宋" w:hAnsi="仿宋" w:cs="仿宋" w:hint="eastAsia"/>
            <w:lang w:eastAsia="zh-CN"/>
          </w:rPr>
          <w:t>三、会展物流项目绩效评估</w:t>
        </w:r>
        <w:r>
          <w:tab/>
        </w:r>
        <w:r>
          <w:fldChar w:fldCharType="begin"/>
        </w:r>
        <w:r>
          <w:instrText xml:space="preserve"> PAGEREF _Toc9013 \h </w:instrText>
        </w:r>
        <w:r>
          <w:fldChar w:fldCharType="separate"/>
        </w:r>
        <w:r>
          <w:t>8</w:t>
        </w:r>
        <w:r>
          <w:fldChar w:fldCharType="end"/>
        </w:r>
      </w:hyperlink>
    </w:p>
    <w:p>
      <w:pPr>
        <w:pStyle w:val="TOC2"/>
        <w:tabs>
          <w:tab w:val="right" w:leader="dot" w:pos="8306"/>
        </w:tabs>
      </w:pPr>
      <w:hyperlink w:anchor="_Toc3421" w:history="1">
        <w:r>
          <w:rPr>
            <w:rFonts w:ascii="仿宋" w:eastAsia="仿宋" w:hAnsi="仿宋" w:cs="仿宋" w:hint="eastAsia"/>
            <w:lang w:eastAsia="zh-CN"/>
          </w:rPr>
          <w:t>(一)、绩效评估指标</w:t>
        </w:r>
        <w:r>
          <w:tab/>
        </w:r>
        <w:r>
          <w:fldChar w:fldCharType="begin"/>
        </w:r>
        <w:r>
          <w:instrText xml:space="preserve"> PAGEREF _Toc3421 \h </w:instrText>
        </w:r>
        <w:r>
          <w:fldChar w:fldCharType="separate"/>
        </w:r>
        <w:r>
          <w:t>8</w:t>
        </w:r>
        <w:r>
          <w:fldChar w:fldCharType="end"/>
        </w:r>
      </w:hyperlink>
    </w:p>
    <w:p>
      <w:pPr>
        <w:pStyle w:val="TOC2"/>
        <w:tabs>
          <w:tab w:val="right" w:leader="dot" w:pos="8306"/>
        </w:tabs>
      </w:pPr>
      <w:hyperlink w:anchor="_Toc7745" w:history="1">
        <w:r>
          <w:rPr>
            <w:rFonts w:ascii="仿宋" w:eastAsia="仿宋" w:hAnsi="仿宋" w:cs="仿宋" w:hint="eastAsia"/>
            <w:lang w:eastAsia="zh-CN"/>
          </w:rPr>
          <w:t>(二)、绩效评估方法</w:t>
        </w:r>
        <w:r>
          <w:tab/>
        </w:r>
        <w:r>
          <w:fldChar w:fldCharType="begin"/>
        </w:r>
        <w:r>
          <w:instrText xml:space="preserve"> PAGEREF _Toc7745 \h </w:instrText>
        </w:r>
        <w:r>
          <w:fldChar w:fldCharType="separate"/>
        </w:r>
        <w:r>
          <w:t>9</w:t>
        </w:r>
        <w:r>
          <w:fldChar w:fldCharType="end"/>
        </w:r>
      </w:hyperlink>
    </w:p>
    <w:p>
      <w:pPr>
        <w:pStyle w:val="TOC2"/>
        <w:tabs>
          <w:tab w:val="right" w:leader="dot" w:pos="8306"/>
        </w:tabs>
      </w:pPr>
      <w:hyperlink w:anchor="_Toc13999" w:history="1">
        <w:r>
          <w:rPr>
            <w:rFonts w:ascii="仿宋" w:eastAsia="仿宋" w:hAnsi="仿宋" w:cs="仿宋" w:hint="eastAsia"/>
            <w:lang w:eastAsia="zh-CN"/>
          </w:rPr>
          <w:t>(三)、绩效评估周期</w:t>
        </w:r>
        <w:r>
          <w:tab/>
        </w:r>
        <w:r>
          <w:fldChar w:fldCharType="begin"/>
        </w:r>
        <w:r>
          <w:instrText xml:space="preserve"> PAGEREF _Toc13999 \h </w:instrText>
        </w:r>
        <w:r>
          <w:fldChar w:fldCharType="separate"/>
        </w:r>
        <w:r>
          <w:t>10</w:t>
        </w:r>
        <w:r>
          <w:fldChar w:fldCharType="end"/>
        </w:r>
      </w:hyperlink>
    </w:p>
    <w:p>
      <w:pPr>
        <w:pStyle w:val="TOC1"/>
        <w:tabs>
          <w:tab w:val="right" w:leader="dot" w:pos="8306"/>
        </w:tabs>
      </w:pPr>
      <w:hyperlink w:anchor="_Toc8324" w:history="1">
        <w:r>
          <w:rPr>
            <w:rFonts w:ascii="仿宋" w:eastAsia="仿宋" w:hAnsi="仿宋" w:cs="仿宋" w:hint="eastAsia"/>
            <w:lang w:eastAsia="zh-CN"/>
          </w:rPr>
          <w:t>四、会展物流项目建设背景及必要性分析</w:t>
        </w:r>
        <w:r>
          <w:tab/>
        </w:r>
        <w:r>
          <w:fldChar w:fldCharType="begin"/>
        </w:r>
        <w:r>
          <w:instrText xml:space="preserve"> PAGEREF _Toc8324 \h </w:instrText>
        </w:r>
        <w:r>
          <w:fldChar w:fldCharType="separate"/>
        </w:r>
        <w:r>
          <w:t>11</w:t>
        </w:r>
        <w:r>
          <w:fldChar w:fldCharType="end"/>
        </w:r>
      </w:hyperlink>
    </w:p>
    <w:p>
      <w:pPr>
        <w:pStyle w:val="TOC2"/>
        <w:tabs>
          <w:tab w:val="right" w:leader="dot" w:pos="8306"/>
        </w:tabs>
      </w:pPr>
      <w:hyperlink w:anchor="_Toc19538" w:history="1">
        <w:r>
          <w:rPr>
            <w:rFonts w:ascii="仿宋" w:eastAsia="仿宋" w:hAnsi="仿宋" w:cs="仿宋" w:hint="eastAsia"/>
            <w:lang w:eastAsia="zh-CN"/>
          </w:rPr>
          <w:t>(一)、会展物流项目背景分析</w:t>
        </w:r>
        <w:r>
          <w:tab/>
        </w:r>
        <w:r>
          <w:fldChar w:fldCharType="begin"/>
        </w:r>
        <w:r>
          <w:instrText xml:space="preserve"> PAGEREF _Toc19538 \h </w:instrText>
        </w:r>
        <w:r>
          <w:fldChar w:fldCharType="separate"/>
        </w:r>
        <w:r>
          <w:t>11</w:t>
        </w:r>
        <w:r>
          <w:fldChar w:fldCharType="end"/>
        </w:r>
      </w:hyperlink>
    </w:p>
    <w:p>
      <w:pPr>
        <w:pStyle w:val="TOC2"/>
        <w:tabs>
          <w:tab w:val="right" w:leader="dot" w:pos="8306"/>
        </w:tabs>
      </w:pPr>
      <w:hyperlink w:anchor="_Toc17649" w:history="1">
        <w:r>
          <w:rPr>
            <w:rFonts w:ascii="仿宋" w:eastAsia="仿宋" w:hAnsi="仿宋" w:cs="仿宋" w:hint="eastAsia"/>
            <w:lang w:eastAsia="zh-CN"/>
          </w:rPr>
          <w:t>(二)、会展物流项目建设必要性分析</w:t>
        </w:r>
        <w:r>
          <w:tab/>
        </w:r>
        <w:r>
          <w:fldChar w:fldCharType="begin"/>
        </w:r>
        <w:r>
          <w:instrText xml:space="preserve"> PAGEREF _Toc17649 \h </w:instrText>
        </w:r>
        <w:r>
          <w:fldChar w:fldCharType="separate"/>
        </w:r>
        <w:r>
          <w:t>13</w:t>
        </w:r>
        <w:r>
          <w:fldChar w:fldCharType="end"/>
        </w:r>
      </w:hyperlink>
    </w:p>
    <w:p>
      <w:pPr>
        <w:pStyle w:val="TOC1"/>
        <w:tabs>
          <w:tab w:val="right" w:leader="dot" w:pos="8306"/>
        </w:tabs>
      </w:pPr>
      <w:hyperlink w:anchor="_Toc32556" w:history="1">
        <w:r>
          <w:rPr>
            <w:rFonts w:ascii="仿宋" w:eastAsia="仿宋" w:hAnsi="仿宋" w:cs="仿宋" w:hint="eastAsia"/>
            <w:lang w:eastAsia="zh-CN"/>
          </w:rPr>
          <w:t>五、会展物流项目选址可行性分析</w:t>
        </w:r>
        <w:r>
          <w:tab/>
        </w:r>
        <w:r>
          <w:fldChar w:fldCharType="begin"/>
        </w:r>
        <w:r>
          <w:instrText xml:space="preserve"> PAGEREF _Toc32556 \h </w:instrText>
        </w:r>
        <w:r>
          <w:fldChar w:fldCharType="separate"/>
        </w:r>
        <w:r>
          <w:t>14</w:t>
        </w:r>
        <w:r>
          <w:fldChar w:fldCharType="end"/>
        </w:r>
      </w:hyperlink>
    </w:p>
    <w:p>
      <w:pPr>
        <w:pStyle w:val="TOC2"/>
        <w:tabs>
          <w:tab w:val="right" w:leader="dot" w:pos="8306"/>
        </w:tabs>
      </w:pPr>
      <w:hyperlink w:anchor="_Toc23460" w:history="1">
        <w:r>
          <w:rPr>
            <w:rFonts w:ascii="仿宋" w:eastAsia="仿宋" w:hAnsi="仿宋" w:cs="仿宋" w:hint="eastAsia"/>
            <w:lang w:eastAsia="zh-CN"/>
          </w:rPr>
          <w:t>(一)、会展物流项目选址</w:t>
        </w:r>
        <w:r>
          <w:tab/>
        </w:r>
        <w:r>
          <w:fldChar w:fldCharType="begin"/>
        </w:r>
        <w:r>
          <w:instrText xml:space="preserve"> PAGEREF _Toc23460 \h </w:instrText>
        </w:r>
        <w:r>
          <w:fldChar w:fldCharType="separate"/>
        </w:r>
        <w:r>
          <w:t>14</w:t>
        </w:r>
        <w:r>
          <w:fldChar w:fldCharType="end"/>
        </w:r>
      </w:hyperlink>
    </w:p>
    <w:p>
      <w:pPr>
        <w:pStyle w:val="TOC2"/>
        <w:tabs>
          <w:tab w:val="right" w:leader="dot" w:pos="8306"/>
        </w:tabs>
      </w:pPr>
      <w:hyperlink w:anchor="_Toc32365" w:history="1">
        <w:r>
          <w:rPr>
            <w:rFonts w:ascii="仿宋" w:eastAsia="仿宋" w:hAnsi="仿宋" w:cs="仿宋" w:hint="eastAsia"/>
            <w:lang w:eastAsia="zh-CN"/>
          </w:rPr>
          <w:t>(二)、用地控制指标</w:t>
        </w:r>
        <w:r>
          <w:tab/>
        </w:r>
        <w:r>
          <w:fldChar w:fldCharType="begin"/>
        </w:r>
        <w:r>
          <w:instrText xml:space="preserve"> PAGEREF _Toc32365 \h </w:instrText>
        </w:r>
        <w:r>
          <w:fldChar w:fldCharType="separate"/>
        </w:r>
        <w:r>
          <w:t>14</w:t>
        </w:r>
        <w:r>
          <w:fldChar w:fldCharType="end"/>
        </w:r>
      </w:hyperlink>
    </w:p>
    <w:p>
      <w:pPr>
        <w:pStyle w:val="TOC2"/>
        <w:tabs>
          <w:tab w:val="right" w:leader="dot" w:pos="8306"/>
        </w:tabs>
      </w:pPr>
      <w:hyperlink w:anchor="_Toc8308" w:history="1">
        <w:r>
          <w:rPr>
            <w:rFonts w:ascii="仿宋" w:eastAsia="仿宋" w:hAnsi="仿宋" w:cs="仿宋" w:hint="eastAsia"/>
            <w:lang w:eastAsia="zh-CN"/>
          </w:rPr>
          <w:t>(三)、节约用地措施</w:t>
        </w:r>
        <w:r>
          <w:tab/>
        </w:r>
        <w:r>
          <w:fldChar w:fldCharType="begin"/>
        </w:r>
        <w:r>
          <w:instrText xml:space="preserve"> PAGEREF _Toc8308 \h </w:instrText>
        </w:r>
        <w:r>
          <w:fldChar w:fldCharType="separate"/>
        </w:r>
        <w:r>
          <w:t>16</w:t>
        </w:r>
        <w:r>
          <w:fldChar w:fldCharType="end"/>
        </w:r>
      </w:hyperlink>
    </w:p>
    <w:p>
      <w:pPr>
        <w:pStyle w:val="TOC2"/>
        <w:tabs>
          <w:tab w:val="right" w:leader="dot" w:pos="8306"/>
        </w:tabs>
      </w:pPr>
      <w:hyperlink w:anchor="_Toc17005" w:history="1">
        <w:r>
          <w:rPr>
            <w:rFonts w:ascii="仿宋" w:eastAsia="仿宋" w:hAnsi="仿宋" w:cs="仿宋" w:hint="eastAsia"/>
            <w:lang w:eastAsia="zh-CN"/>
          </w:rPr>
          <w:t>(四)、总图布置方案</w:t>
        </w:r>
        <w:r>
          <w:tab/>
        </w:r>
        <w:r>
          <w:fldChar w:fldCharType="begin"/>
        </w:r>
        <w:r>
          <w:instrText xml:space="preserve"> PAGEREF _Toc17005 \h </w:instrText>
        </w:r>
        <w:r>
          <w:fldChar w:fldCharType="separate"/>
        </w:r>
        <w:r>
          <w:t>17</w:t>
        </w:r>
        <w:r>
          <w:fldChar w:fldCharType="end"/>
        </w:r>
      </w:hyperlink>
    </w:p>
    <w:p>
      <w:pPr>
        <w:pStyle w:val="TOC2"/>
        <w:tabs>
          <w:tab w:val="right" w:leader="dot" w:pos="8306"/>
        </w:tabs>
      </w:pPr>
      <w:hyperlink w:anchor="_Toc3779" w:history="1">
        <w:r>
          <w:rPr>
            <w:rFonts w:ascii="仿宋" w:eastAsia="仿宋" w:hAnsi="仿宋" w:cs="仿宋" w:hint="eastAsia"/>
            <w:lang w:eastAsia="zh-CN"/>
          </w:rPr>
          <w:t>(五)、选址综合评价</w:t>
        </w:r>
        <w:r>
          <w:tab/>
        </w:r>
        <w:r>
          <w:fldChar w:fldCharType="begin"/>
        </w:r>
        <w:r>
          <w:instrText xml:space="preserve"> PAGEREF _Toc3779 \h </w:instrText>
        </w:r>
        <w:r>
          <w:fldChar w:fldCharType="separate"/>
        </w:r>
        <w:r>
          <w:t>18</w:t>
        </w:r>
        <w:r>
          <w:fldChar w:fldCharType="end"/>
        </w:r>
      </w:hyperlink>
    </w:p>
    <w:p>
      <w:pPr>
        <w:pStyle w:val="TOC1"/>
        <w:tabs>
          <w:tab w:val="right" w:leader="dot" w:pos="8306"/>
        </w:tabs>
      </w:pPr>
      <w:hyperlink w:anchor="_Toc29616" w:history="1">
        <w:r>
          <w:rPr>
            <w:rFonts w:ascii="仿宋" w:eastAsia="仿宋" w:hAnsi="仿宋" w:cs="仿宋" w:hint="eastAsia"/>
            <w:lang w:eastAsia="zh-CN"/>
          </w:rPr>
          <w:t>六、会展物流项目建设单位说明</w:t>
        </w:r>
        <w:r>
          <w:tab/>
        </w:r>
        <w:r>
          <w:fldChar w:fldCharType="begin"/>
        </w:r>
        <w:r>
          <w:instrText xml:space="preserve"> PAGEREF _Toc29616 \h </w:instrText>
        </w:r>
        <w:r>
          <w:fldChar w:fldCharType="separate"/>
        </w:r>
        <w:r>
          <w:t>19</w:t>
        </w:r>
        <w:r>
          <w:fldChar w:fldCharType="end"/>
        </w:r>
      </w:hyperlink>
    </w:p>
    <w:p>
      <w:pPr>
        <w:pStyle w:val="TOC2"/>
        <w:tabs>
          <w:tab w:val="right" w:leader="dot" w:pos="8306"/>
        </w:tabs>
      </w:pPr>
      <w:hyperlink w:anchor="_Toc1292" w:history="1">
        <w:r>
          <w:rPr>
            <w:rFonts w:ascii="仿宋" w:eastAsia="仿宋" w:hAnsi="仿宋" w:cs="仿宋" w:hint="eastAsia"/>
            <w:lang w:eastAsia="zh-CN"/>
          </w:rPr>
          <w:t>(一)、会展物流项目承办单位基本情况</w:t>
        </w:r>
        <w:r>
          <w:tab/>
        </w:r>
        <w:r>
          <w:fldChar w:fldCharType="begin"/>
        </w:r>
        <w:r>
          <w:instrText xml:space="preserve"> PAGEREF _Toc1292 \h </w:instrText>
        </w:r>
        <w:r>
          <w:fldChar w:fldCharType="separate"/>
        </w:r>
        <w:r>
          <w:t>19</w:t>
        </w:r>
        <w:r>
          <w:fldChar w:fldCharType="end"/>
        </w:r>
      </w:hyperlink>
    </w:p>
    <w:p>
      <w:pPr>
        <w:pStyle w:val="TOC2"/>
        <w:tabs>
          <w:tab w:val="right" w:leader="dot" w:pos="8306"/>
        </w:tabs>
      </w:pPr>
      <w:hyperlink w:anchor="_Toc30397" w:history="1">
        <w:r>
          <w:rPr>
            <w:rFonts w:ascii="仿宋" w:eastAsia="仿宋" w:hAnsi="仿宋" w:cs="仿宋" w:hint="eastAsia"/>
            <w:lang w:eastAsia="zh-CN"/>
          </w:rPr>
          <w:t>(二)、公司经济效益分析</w:t>
        </w:r>
        <w:r>
          <w:tab/>
        </w:r>
        <w:r>
          <w:fldChar w:fldCharType="begin"/>
        </w:r>
        <w:r>
          <w:instrText xml:space="preserve"> PAGEREF _Toc30397 \h </w:instrText>
        </w:r>
        <w:r>
          <w:fldChar w:fldCharType="separate"/>
        </w:r>
        <w:r>
          <w:t>20</w:t>
        </w:r>
        <w:r>
          <w:fldChar w:fldCharType="end"/>
        </w:r>
      </w:hyperlink>
    </w:p>
    <w:p>
      <w:pPr>
        <w:pStyle w:val="TOC1"/>
        <w:tabs>
          <w:tab w:val="right" w:leader="dot" w:pos="8306"/>
        </w:tabs>
      </w:pPr>
      <w:hyperlink w:anchor="_Toc15822" w:history="1">
        <w:r>
          <w:rPr>
            <w:rFonts w:ascii="仿宋" w:eastAsia="仿宋" w:hAnsi="仿宋" w:cs="仿宋" w:hint="eastAsia"/>
            <w:lang w:eastAsia="zh-CN"/>
          </w:rPr>
          <w:t>七、会展物流项目人力资源管理</w:t>
        </w:r>
        <w:r>
          <w:tab/>
        </w:r>
        <w:r>
          <w:fldChar w:fldCharType="begin"/>
        </w:r>
        <w:r>
          <w:instrText xml:space="preserve"> PAGEREF _Toc15822 \h </w:instrText>
        </w:r>
        <w:r>
          <w:fldChar w:fldCharType="separate"/>
        </w:r>
        <w:r>
          <w:t>21</w:t>
        </w:r>
        <w:r>
          <w:fldChar w:fldCharType="end"/>
        </w:r>
      </w:hyperlink>
    </w:p>
    <w:p>
      <w:pPr>
        <w:pStyle w:val="TOC2"/>
        <w:tabs>
          <w:tab w:val="right" w:leader="dot" w:pos="8306"/>
        </w:tabs>
      </w:pPr>
      <w:hyperlink w:anchor="_Toc11236" w:history="1">
        <w:r>
          <w:rPr>
            <w:rFonts w:ascii="仿宋" w:eastAsia="仿宋" w:hAnsi="仿宋" w:cs="仿宋" w:hint="eastAsia"/>
            <w:lang w:eastAsia="zh-CN"/>
          </w:rPr>
          <w:t>(一)、建立健全的预算管理制度</w:t>
        </w:r>
        <w:r>
          <w:tab/>
        </w:r>
        <w:r>
          <w:fldChar w:fldCharType="begin"/>
        </w:r>
        <w:r>
          <w:instrText xml:space="preserve"> PAGEREF _Toc11236 \h </w:instrText>
        </w:r>
        <w:r>
          <w:fldChar w:fldCharType="separate"/>
        </w:r>
        <w:r>
          <w:t>21</w:t>
        </w:r>
        <w:r>
          <w:fldChar w:fldCharType="end"/>
        </w:r>
      </w:hyperlink>
    </w:p>
    <w:p>
      <w:pPr>
        <w:pStyle w:val="TOC2"/>
        <w:tabs>
          <w:tab w:val="right" w:leader="dot" w:pos="8306"/>
        </w:tabs>
      </w:pPr>
      <w:hyperlink w:anchor="_Toc4276" w:history="1">
        <w:r>
          <w:rPr>
            <w:rFonts w:ascii="仿宋" w:eastAsia="仿宋" w:hAnsi="仿宋" w:cs="仿宋" w:hint="eastAsia"/>
            <w:lang w:eastAsia="zh-CN"/>
          </w:rPr>
          <w:t>(二)、加强资金流动监控</w:t>
        </w:r>
        <w:r>
          <w:tab/>
        </w:r>
        <w:r>
          <w:fldChar w:fldCharType="begin"/>
        </w:r>
        <w:r>
          <w:instrText xml:space="preserve"> PAGEREF _Toc4276 \h </w:instrText>
        </w:r>
        <w:r>
          <w:fldChar w:fldCharType="separate"/>
        </w:r>
        <w:r>
          <w:t>22</w:t>
        </w:r>
        <w:r>
          <w:fldChar w:fldCharType="end"/>
        </w:r>
      </w:hyperlink>
    </w:p>
    <w:p>
      <w:pPr>
        <w:pStyle w:val="TOC2"/>
        <w:tabs>
          <w:tab w:val="right" w:leader="dot" w:pos="8306"/>
        </w:tabs>
      </w:pPr>
      <w:hyperlink w:anchor="_Toc10811" w:history="1">
        <w:r>
          <w:rPr>
            <w:rFonts w:ascii="仿宋" w:eastAsia="仿宋" w:hAnsi="仿宋" w:cs="仿宋" w:hint="eastAsia"/>
            <w:lang w:eastAsia="zh-CN"/>
          </w:rPr>
          <w:t>(三)、制定完善的风险控制机制</w:t>
        </w:r>
        <w:r>
          <w:tab/>
        </w:r>
        <w:r>
          <w:fldChar w:fldCharType="begin"/>
        </w:r>
        <w:r>
          <w:instrText xml:space="preserve"> PAGEREF _Toc10811 \h </w:instrText>
        </w:r>
        <w:r>
          <w:fldChar w:fldCharType="separate"/>
        </w:r>
        <w:r>
          <w:t>23</w:t>
        </w:r>
        <w:r>
          <w:fldChar w:fldCharType="end"/>
        </w:r>
      </w:hyperlink>
    </w:p>
    <w:p>
      <w:pPr>
        <w:pStyle w:val="TOC2"/>
        <w:tabs>
          <w:tab w:val="right" w:leader="dot" w:pos="8306"/>
        </w:tabs>
      </w:pPr>
      <w:hyperlink w:anchor="_Toc17973" w:history="1">
        <w:r>
          <w:rPr>
            <w:rFonts w:ascii="仿宋" w:eastAsia="仿宋" w:hAnsi="仿宋" w:cs="仿宋" w:hint="eastAsia"/>
            <w:lang w:eastAsia="zh-CN"/>
          </w:rPr>
          <w:t>(四)、优化成本管理</w:t>
        </w:r>
        <w:r>
          <w:tab/>
        </w:r>
        <w:r>
          <w:fldChar w:fldCharType="begin"/>
        </w:r>
        <w:r>
          <w:instrText xml:space="preserve"> PAGEREF _Toc17973 \h </w:instrText>
        </w:r>
        <w:r>
          <w:fldChar w:fldCharType="separate"/>
        </w:r>
        <w:r>
          <w:t>25</w:t>
        </w:r>
        <w:r>
          <w:fldChar w:fldCharType="end"/>
        </w:r>
      </w:hyperlink>
    </w:p>
    <w:p>
      <w:pPr>
        <w:pStyle w:val="TOC1"/>
        <w:tabs>
          <w:tab w:val="right" w:leader="dot" w:pos="8306"/>
        </w:tabs>
      </w:pPr>
      <w:hyperlink w:anchor="_Toc14150" w:history="1">
        <w:r>
          <w:rPr>
            <w:rFonts w:ascii="仿宋" w:eastAsia="仿宋" w:hAnsi="仿宋" w:cs="仿宋" w:hint="eastAsia"/>
            <w:lang w:eastAsia="zh-CN"/>
          </w:rPr>
          <w:t>八、会展物流项目投资规划</w:t>
        </w:r>
        <w:r>
          <w:tab/>
        </w:r>
        <w:r>
          <w:fldChar w:fldCharType="begin"/>
        </w:r>
        <w:r>
          <w:instrText xml:space="preserve"> PAGEREF _Toc14150 \h </w:instrText>
        </w:r>
        <w:r>
          <w:fldChar w:fldCharType="separate"/>
        </w:r>
        <w:r>
          <w:t>26</w:t>
        </w:r>
        <w:r>
          <w:fldChar w:fldCharType="end"/>
        </w:r>
      </w:hyperlink>
    </w:p>
    <w:p>
      <w:pPr>
        <w:pStyle w:val="TOC2"/>
        <w:tabs>
          <w:tab w:val="right" w:leader="dot" w:pos="8306"/>
        </w:tabs>
      </w:pPr>
      <w:hyperlink w:anchor="_Toc22787" w:history="1">
        <w:r>
          <w:rPr>
            <w:rFonts w:ascii="仿宋" w:eastAsia="仿宋" w:hAnsi="仿宋" w:cs="仿宋" w:hint="eastAsia"/>
            <w:lang w:eastAsia="zh-CN"/>
          </w:rPr>
          <w:t>(一)、会展物流项目总投资估算</w:t>
        </w:r>
        <w:r>
          <w:tab/>
        </w:r>
        <w:r>
          <w:fldChar w:fldCharType="begin"/>
        </w:r>
        <w:r>
          <w:instrText xml:space="preserve"> PAGEREF _Toc22787 \h </w:instrText>
        </w:r>
        <w:r>
          <w:fldChar w:fldCharType="separate"/>
        </w:r>
        <w:r>
          <w:t>26</w:t>
        </w:r>
        <w:r>
          <w:fldChar w:fldCharType="end"/>
        </w:r>
      </w:hyperlink>
    </w:p>
    <w:p>
      <w:pPr>
        <w:pStyle w:val="TOC2"/>
        <w:tabs>
          <w:tab w:val="right" w:leader="dot" w:pos="8306"/>
        </w:tabs>
      </w:pPr>
      <w:hyperlink w:anchor="_Toc2352" w:history="1">
        <w:r>
          <w:rPr>
            <w:rFonts w:ascii="仿宋" w:eastAsia="仿宋" w:hAnsi="仿宋" w:cs="仿宋" w:hint="eastAsia"/>
            <w:lang w:eastAsia="zh-CN"/>
          </w:rPr>
          <w:t>(二)、资金筹措</w:t>
        </w:r>
        <w:r>
          <w:tab/>
        </w:r>
        <w:r>
          <w:fldChar w:fldCharType="begin"/>
        </w:r>
        <w:r>
          <w:instrText xml:space="preserve"> PAGEREF _Toc2352 \h </w:instrText>
        </w:r>
        <w:r>
          <w:fldChar w:fldCharType="separate"/>
        </w:r>
        <w:r>
          <w:t>27</w:t>
        </w:r>
        <w:r>
          <w:fldChar w:fldCharType="end"/>
        </w:r>
      </w:hyperlink>
    </w:p>
    <w:p>
      <w:pPr>
        <w:pStyle w:val="TOC1"/>
        <w:tabs>
          <w:tab w:val="right" w:leader="dot" w:pos="8306"/>
        </w:tabs>
      </w:pPr>
      <w:hyperlink w:anchor="_Toc7154" w:history="1">
        <w:r>
          <w:rPr>
            <w:rFonts w:ascii="仿宋" w:eastAsia="仿宋" w:hAnsi="仿宋" w:cs="仿宋" w:hint="eastAsia"/>
            <w:lang w:eastAsia="zh-CN"/>
          </w:rPr>
          <w:t>九、会展物流项目创新与研发</w:t>
        </w:r>
        <w:r>
          <w:tab/>
        </w:r>
        <w:r>
          <w:fldChar w:fldCharType="begin"/>
        </w:r>
        <w:r>
          <w:instrText xml:space="preserve"> PAGEREF _Toc7154 \h </w:instrText>
        </w:r>
        <w:r>
          <w:fldChar w:fldCharType="separate"/>
        </w:r>
        <w:r>
          <w:t>28</w:t>
        </w:r>
        <w:r>
          <w:fldChar w:fldCharType="end"/>
        </w:r>
      </w:hyperlink>
    </w:p>
    <w:p>
      <w:pPr>
        <w:pStyle w:val="TOC2"/>
        <w:tabs>
          <w:tab w:val="right" w:leader="dot" w:pos="8306"/>
        </w:tabs>
      </w:pPr>
      <w:hyperlink w:anchor="_Toc3966" w:history="1">
        <w:r>
          <w:rPr>
            <w:rFonts w:ascii="仿宋" w:eastAsia="仿宋" w:hAnsi="仿宋" w:cs="仿宋" w:hint="eastAsia"/>
            <w:lang w:eastAsia="zh-CN"/>
          </w:rPr>
          <w:t>(一)、创新策略与方向</w:t>
        </w:r>
        <w:r>
          <w:tab/>
        </w:r>
        <w:r>
          <w:fldChar w:fldCharType="begin"/>
        </w:r>
        <w:r>
          <w:instrText xml:space="preserve"> PAGEREF _Toc3966 \h </w:instrText>
        </w:r>
        <w:r>
          <w:fldChar w:fldCharType="separate"/>
        </w:r>
        <w:r>
          <w:t>28</w:t>
        </w:r>
        <w:r>
          <w:fldChar w:fldCharType="end"/>
        </w:r>
      </w:hyperlink>
    </w:p>
    <w:p>
      <w:pPr>
        <w:pStyle w:val="TOC2"/>
        <w:tabs>
          <w:tab w:val="right" w:leader="dot" w:pos="8306"/>
        </w:tabs>
      </w:pPr>
      <w:hyperlink w:anchor="_Toc12370" w:history="1">
        <w:r>
          <w:rPr>
            <w:rFonts w:ascii="仿宋" w:eastAsia="仿宋" w:hAnsi="仿宋" w:cs="仿宋" w:hint="eastAsia"/>
            <w:lang w:eastAsia="zh-CN"/>
          </w:rPr>
          <w:t>(二)、研发规划与投入</w:t>
        </w:r>
        <w:r>
          <w:tab/>
        </w:r>
        <w:r>
          <w:fldChar w:fldCharType="begin"/>
        </w:r>
        <w:r>
          <w:instrText xml:space="preserve"> PAGEREF _Toc12370 \h </w:instrText>
        </w:r>
        <w:r>
          <w:fldChar w:fldCharType="separate"/>
        </w:r>
        <w:r>
          <w:t>29</w:t>
        </w:r>
        <w:r>
          <w:fldChar w:fldCharType="end"/>
        </w:r>
      </w:hyperlink>
    </w:p>
    <w:p>
      <w:pPr>
        <w:pStyle w:val="TOC1"/>
        <w:tabs>
          <w:tab w:val="right" w:leader="dot" w:pos="8306"/>
        </w:tabs>
      </w:pPr>
      <w:hyperlink w:anchor="_Toc7839" w:history="1">
        <w:r>
          <w:rPr>
            <w:rFonts w:ascii="仿宋" w:eastAsia="仿宋" w:hAnsi="仿宋" w:cs="仿宋" w:hint="eastAsia"/>
            <w:lang w:eastAsia="zh-CN"/>
          </w:rPr>
          <w:t>十、会展物流项目风险管理</w:t>
        </w:r>
        <w:r>
          <w:tab/>
        </w:r>
        <w:r>
          <w:fldChar w:fldCharType="begin"/>
        </w:r>
        <w:r>
          <w:instrText xml:space="preserve"> PAGEREF _Toc7839 \h </w:instrText>
        </w:r>
        <w:r>
          <w:fldChar w:fldCharType="separate"/>
        </w:r>
        <w:r>
          <w:t>31</w:t>
        </w:r>
        <w:r>
          <w:fldChar w:fldCharType="end"/>
        </w:r>
      </w:hyperlink>
    </w:p>
    <w:p>
      <w:pPr>
        <w:pStyle w:val="TOC2"/>
        <w:tabs>
          <w:tab w:val="right" w:leader="dot" w:pos="8306"/>
        </w:tabs>
      </w:pPr>
      <w:hyperlink w:anchor="_Toc22472" w:history="1">
        <w:r>
          <w:rPr>
            <w:rFonts w:ascii="仿宋" w:eastAsia="仿宋" w:hAnsi="仿宋" w:cs="仿宋" w:hint="eastAsia"/>
            <w:lang w:eastAsia="zh-CN"/>
          </w:rPr>
          <w:t>(一)、风险识别与评估</w:t>
        </w:r>
        <w:r>
          <w:tab/>
        </w:r>
        <w:r>
          <w:fldChar w:fldCharType="begin"/>
        </w:r>
        <w:r>
          <w:instrText xml:space="preserve"> PAGEREF _Toc22472 \h </w:instrText>
        </w:r>
        <w:r>
          <w:fldChar w:fldCharType="separate"/>
        </w:r>
        <w:r>
          <w:t>31</w:t>
        </w:r>
        <w:r>
          <w:fldChar w:fldCharType="end"/>
        </w:r>
      </w:hyperlink>
    </w:p>
    <w:p>
      <w:pPr>
        <w:pStyle w:val="TOC2"/>
        <w:tabs>
          <w:tab w:val="right" w:leader="dot" w:pos="8306"/>
        </w:tabs>
      </w:pPr>
      <w:hyperlink w:anchor="_Toc31952" w:history="1">
        <w:r>
          <w:rPr>
            <w:rFonts w:ascii="仿宋" w:eastAsia="仿宋" w:hAnsi="仿宋" w:cs="仿宋" w:hint="eastAsia"/>
            <w:lang w:eastAsia="zh-CN"/>
          </w:rPr>
          <w:t>(二)、风险应对策略</w:t>
        </w:r>
        <w:r>
          <w:tab/>
        </w:r>
        <w:r>
          <w:fldChar w:fldCharType="begin"/>
        </w:r>
        <w:r>
          <w:instrText xml:space="preserve"> PAGEREF _Toc31952 \h </w:instrText>
        </w:r>
        <w:r>
          <w:fldChar w:fldCharType="separate"/>
        </w:r>
        <w:r>
          <w:t>32</w:t>
        </w:r>
        <w:r>
          <w:fldChar w:fldCharType="end"/>
        </w:r>
      </w:hyperlink>
    </w:p>
    <w:p>
      <w:pPr>
        <w:pStyle w:val="TOC2"/>
        <w:tabs>
          <w:tab w:val="right" w:leader="dot" w:pos="8306"/>
        </w:tabs>
      </w:pPr>
      <w:hyperlink w:anchor="_Toc17953" w:history="1">
        <w:r>
          <w:rPr>
            <w:rFonts w:ascii="仿宋" w:eastAsia="仿宋" w:hAnsi="仿宋" w:cs="仿宋" w:hint="eastAsia"/>
            <w:lang w:eastAsia="zh-CN"/>
          </w:rPr>
          <w:t>(三)、风险监控与控制</w:t>
        </w:r>
        <w:r>
          <w:tab/>
        </w:r>
        <w:r>
          <w:fldChar w:fldCharType="begin"/>
        </w:r>
        <w:r>
          <w:instrText xml:space="preserve"> PAGEREF _Toc17953 \h </w:instrText>
        </w:r>
        <w:r>
          <w:fldChar w:fldCharType="separate"/>
        </w:r>
        <w:r>
          <w:t>34</w:t>
        </w:r>
        <w:r>
          <w:fldChar w:fldCharType="end"/>
        </w:r>
      </w:hyperlink>
    </w:p>
    <w:p>
      <w:pPr>
        <w:pStyle w:val="TOC1"/>
        <w:tabs>
          <w:tab w:val="right" w:leader="dot" w:pos="8306"/>
        </w:tabs>
      </w:pPr>
      <w:hyperlink w:anchor="_Toc798" w:history="1">
        <w:r>
          <w:rPr>
            <w:rFonts w:ascii="仿宋" w:eastAsia="仿宋" w:hAnsi="仿宋" w:cs="仿宋" w:hint="eastAsia"/>
            <w:lang w:eastAsia="zh-CN"/>
          </w:rPr>
          <w:t>十一、会展物流项目人力资源培养与发展</w:t>
        </w:r>
        <w:r>
          <w:tab/>
        </w:r>
        <w:r>
          <w:fldChar w:fldCharType="begin"/>
        </w:r>
        <w:r>
          <w:instrText xml:space="preserve"> PAGEREF _Toc798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432" w:history="1">
        <w:r>
          <w:rPr>
            <w:rFonts w:ascii="仿宋" w:eastAsia="仿宋" w:hAnsi="仿宋" w:cs="仿宋" w:hint="eastAsia"/>
            <w:lang w:eastAsia="zh-CN"/>
          </w:rPr>
          <w:t>(一)、人才需求与规划</w:t>
        </w:r>
        <w:r>
          <w:tab/>
        </w:r>
        <w:r>
          <w:fldChar w:fldCharType="begin"/>
        </w:r>
        <w:r>
          <w:instrText xml:space="preserve"> PAGEREF _Toc31432 \h </w:instrText>
        </w:r>
        <w:r>
          <w:fldChar w:fldCharType="separate"/>
        </w:r>
        <w:r>
          <w:t>35</w:t>
        </w:r>
        <w:r>
          <w:fldChar w:fldCharType="end"/>
        </w:r>
      </w:hyperlink>
    </w:p>
    <w:p>
      <w:pPr>
        <w:pStyle w:val="TOC2"/>
        <w:tabs>
          <w:tab w:val="right" w:leader="dot" w:pos="8306"/>
        </w:tabs>
      </w:pPr>
      <w:hyperlink w:anchor="_Toc23446" w:history="1">
        <w:r>
          <w:rPr>
            <w:rFonts w:ascii="仿宋" w:eastAsia="仿宋" w:hAnsi="仿宋" w:cs="仿宋" w:hint="eastAsia"/>
            <w:lang w:eastAsia="zh-CN"/>
          </w:rPr>
          <w:t>(二)、培训与发展计划</w:t>
        </w:r>
        <w:r>
          <w:tab/>
        </w:r>
        <w:r>
          <w:fldChar w:fldCharType="begin"/>
        </w:r>
        <w:r>
          <w:instrText xml:space="preserve"> PAGEREF _Toc23446 \h </w:instrText>
        </w:r>
        <w:r>
          <w:fldChar w:fldCharType="separate"/>
        </w:r>
        <w:r>
          <w:t>35</w:t>
        </w:r>
        <w:r>
          <w:fldChar w:fldCharType="end"/>
        </w:r>
      </w:hyperlink>
    </w:p>
    <w:p>
      <w:pPr>
        <w:pStyle w:val="TOC1"/>
        <w:tabs>
          <w:tab w:val="right" w:leader="dot" w:pos="8306"/>
        </w:tabs>
      </w:pPr>
      <w:hyperlink w:anchor="_Toc9911" w:history="1">
        <w:r>
          <w:rPr>
            <w:rFonts w:ascii="仿宋" w:eastAsia="仿宋" w:hAnsi="仿宋" w:cs="仿宋" w:hint="eastAsia"/>
            <w:lang w:eastAsia="zh-CN"/>
          </w:rPr>
          <w:t>十二、会展物流项目经营效益</w:t>
        </w:r>
        <w:r>
          <w:tab/>
        </w:r>
        <w:r>
          <w:fldChar w:fldCharType="begin"/>
        </w:r>
        <w:r>
          <w:instrText xml:space="preserve"> PAGEREF _Toc9911 \h </w:instrText>
        </w:r>
        <w:r>
          <w:fldChar w:fldCharType="separate"/>
        </w:r>
        <w:r>
          <w:t>36</w:t>
        </w:r>
        <w:r>
          <w:fldChar w:fldCharType="end"/>
        </w:r>
      </w:hyperlink>
    </w:p>
    <w:p>
      <w:pPr>
        <w:pStyle w:val="TOC2"/>
        <w:tabs>
          <w:tab w:val="right" w:leader="dot" w:pos="8306"/>
        </w:tabs>
      </w:pPr>
      <w:hyperlink w:anchor="_Toc28133" w:history="1">
        <w:r>
          <w:rPr>
            <w:rFonts w:ascii="仿宋" w:eastAsia="仿宋" w:hAnsi="仿宋" w:cs="仿宋" w:hint="eastAsia"/>
            <w:lang w:eastAsia="zh-CN"/>
          </w:rPr>
          <w:t>(一)、经济评价财务测算</w:t>
        </w:r>
        <w:r>
          <w:tab/>
        </w:r>
        <w:r>
          <w:fldChar w:fldCharType="begin"/>
        </w:r>
        <w:r>
          <w:instrText xml:space="preserve"> PAGEREF _Toc28133 \h </w:instrText>
        </w:r>
        <w:r>
          <w:fldChar w:fldCharType="separate"/>
        </w:r>
        <w:r>
          <w:t>36</w:t>
        </w:r>
        <w:r>
          <w:fldChar w:fldCharType="end"/>
        </w:r>
      </w:hyperlink>
    </w:p>
    <w:p>
      <w:pPr>
        <w:pStyle w:val="TOC2"/>
        <w:tabs>
          <w:tab w:val="right" w:leader="dot" w:pos="8306"/>
        </w:tabs>
      </w:pPr>
      <w:hyperlink w:anchor="_Toc2842" w:history="1">
        <w:r>
          <w:rPr>
            <w:rFonts w:ascii="仿宋" w:eastAsia="仿宋" w:hAnsi="仿宋" w:cs="仿宋" w:hint="eastAsia"/>
            <w:lang w:eastAsia="zh-CN"/>
          </w:rPr>
          <w:t>(二)、会展物流项目盈利能力分析</w:t>
        </w:r>
        <w:r>
          <w:tab/>
        </w:r>
        <w:r>
          <w:fldChar w:fldCharType="begin"/>
        </w:r>
        <w:r>
          <w:instrText xml:space="preserve"> PAGEREF _Toc2842 \h </w:instrText>
        </w:r>
        <w:r>
          <w:fldChar w:fldCharType="separate"/>
        </w:r>
        <w:r>
          <w:t>37</w:t>
        </w:r>
        <w:r>
          <w:fldChar w:fldCharType="end"/>
        </w:r>
      </w:hyperlink>
    </w:p>
    <w:p>
      <w:pPr>
        <w:pStyle w:val="TOC1"/>
        <w:tabs>
          <w:tab w:val="right" w:leader="dot" w:pos="8306"/>
        </w:tabs>
      </w:pPr>
      <w:hyperlink w:anchor="_Toc21998" w:history="1">
        <w:r>
          <w:rPr>
            <w:rFonts w:ascii="仿宋" w:eastAsia="仿宋" w:hAnsi="仿宋" w:cs="仿宋" w:hint="eastAsia"/>
            <w:lang w:eastAsia="zh-CN"/>
          </w:rPr>
          <w:t>十三、会展物流项目工程方案分析</w:t>
        </w:r>
        <w:r>
          <w:tab/>
        </w:r>
        <w:r>
          <w:fldChar w:fldCharType="begin"/>
        </w:r>
        <w:r>
          <w:instrText xml:space="preserve"> PAGEREF _Toc21998 \h </w:instrText>
        </w:r>
        <w:r>
          <w:fldChar w:fldCharType="separate"/>
        </w:r>
        <w:r>
          <w:t>38</w:t>
        </w:r>
        <w:r>
          <w:fldChar w:fldCharType="end"/>
        </w:r>
      </w:hyperlink>
    </w:p>
    <w:p>
      <w:pPr>
        <w:pStyle w:val="TOC2"/>
        <w:tabs>
          <w:tab w:val="right" w:leader="dot" w:pos="8306"/>
        </w:tabs>
      </w:pPr>
      <w:hyperlink w:anchor="_Toc24073" w:history="1">
        <w:r>
          <w:rPr>
            <w:rFonts w:ascii="仿宋" w:eastAsia="仿宋" w:hAnsi="仿宋" w:cs="仿宋" w:hint="eastAsia"/>
            <w:lang w:eastAsia="zh-CN"/>
          </w:rPr>
          <w:t>(一)、建筑工程设计原则</w:t>
        </w:r>
        <w:r>
          <w:tab/>
        </w:r>
        <w:r>
          <w:fldChar w:fldCharType="begin"/>
        </w:r>
        <w:r>
          <w:instrText xml:space="preserve"> PAGEREF _Toc24073 \h </w:instrText>
        </w:r>
        <w:r>
          <w:fldChar w:fldCharType="separate"/>
        </w:r>
        <w:r>
          <w:t>38</w:t>
        </w:r>
        <w:r>
          <w:fldChar w:fldCharType="end"/>
        </w:r>
      </w:hyperlink>
    </w:p>
    <w:p>
      <w:pPr>
        <w:pStyle w:val="TOC2"/>
        <w:tabs>
          <w:tab w:val="right" w:leader="dot" w:pos="8306"/>
        </w:tabs>
      </w:pPr>
      <w:hyperlink w:anchor="_Toc23589" w:history="1">
        <w:r>
          <w:rPr>
            <w:rFonts w:ascii="仿宋" w:eastAsia="仿宋" w:hAnsi="仿宋" w:cs="仿宋" w:hint="eastAsia"/>
            <w:lang w:eastAsia="zh-CN"/>
          </w:rPr>
          <w:t>(二)、土建工程建设指标</w:t>
        </w:r>
        <w:r>
          <w:tab/>
        </w:r>
        <w:r>
          <w:fldChar w:fldCharType="begin"/>
        </w:r>
        <w:r>
          <w:instrText xml:space="preserve"> PAGEREF _Toc23589 \h </w:instrText>
        </w:r>
        <w:r>
          <w:fldChar w:fldCharType="separate"/>
        </w:r>
        <w:r>
          <w:t>41</w:t>
        </w:r>
        <w:r>
          <w:fldChar w:fldCharType="end"/>
        </w:r>
      </w:hyperlink>
    </w:p>
    <w:p>
      <w:pPr>
        <w:pStyle w:val="TOC1"/>
        <w:tabs>
          <w:tab w:val="right" w:leader="dot" w:pos="8306"/>
        </w:tabs>
      </w:pPr>
      <w:hyperlink w:anchor="_Toc28154" w:history="1">
        <w:r>
          <w:rPr>
            <w:rFonts w:ascii="仿宋" w:eastAsia="仿宋" w:hAnsi="仿宋" w:cs="仿宋" w:hint="eastAsia"/>
            <w:lang w:eastAsia="zh-CN"/>
          </w:rPr>
          <w:t>十四、供应链管理</w:t>
        </w:r>
        <w:r>
          <w:tab/>
        </w:r>
        <w:r>
          <w:fldChar w:fldCharType="begin"/>
        </w:r>
        <w:r>
          <w:instrText xml:space="preserve"> PAGEREF _Toc28154 \h </w:instrText>
        </w:r>
        <w:r>
          <w:fldChar w:fldCharType="separate"/>
        </w:r>
        <w:r>
          <w:t>43</w:t>
        </w:r>
        <w:r>
          <w:fldChar w:fldCharType="end"/>
        </w:r>
      </w:hyperlink>
    </w:p>
    <w:p>
      <w:pPr>
        <w:pStyle w:val="TOC2"/>
        <w:tabs>
          <w:tab w:val="right" w:leader="dot" w:pos="8306"/>
        </w:tabs>
      </w:pPr>
      <w:hyperlink w:anchor="_Toc26032" w:history="1">
        <w:r>
          <w:rPr>
            <w:rFonts w:ascii="仿宋" w:eastAsia="仿宋" w:hAnsi="仿宋" w:cs="仿宋" w:hint="eastAsia"/>
            <w:lang w:eastAsia="zh-CN"/>
          </w:rPr>
          <w:t>(一)、供应链战略规划</w:t>
        </w:r>
        <w:r>
          <w:tab/>
        </w:r>
        <w:r>
          <w:fldChar w:fldCharType="begin"/>
        </w:r>
        <w:r>
          <w:instrText xml:space="preserve"> PAGEREF _Toc26032 \h </w:instrText>
        </w:r>
        <w:r>
          <w:fldChar w:fldCharType="separate"/>
        </w:r>
        <w:r>
          <w:t>43</w:t>
        </w:r>
        <w:r>
          <w:fldChar w:fldCharType="end"/>
        </w:r>
      </w:hyperlink>
    </w:p>
    <w:p>
      <w:pPr>
        <w:pStyle w:val="TOC2"/>
        <w:tabs>
          <w:tab w:val="right" w:leader="dot" w:pos="8306"/>
        </w:tabs>
      </w:pPr>
      <w:hyperlink w:anchor="_Toc16861" w:history="1">
        <w:r>
          <w:rPr>
            <w:rFonts w:ascii="仿宋" w:eastAsia="仿宋" w:hAnsi="仿宋" w:cs="仿宋" w:hint="eastAsia"/>
            <w:lang w:eastAsia="zh-CN"/>
          </w:rPr>
          <w:t>(二)、供应商选择与合作</w:t>
        </w:r>
        <w:r>
          <w:tab/>
        </w:r>
        <w:r>
          <w:fldChar w:fldCharType="begin"/>
        </w:r>
        <w:r>
          <w:instrText xml:space="preserve"> PAGEREF _Toc16861 \h </w:instrText>
        </w:r>
        <w:r>
          <w:fldChar w:fldCharType="separate"/>
        </w:r>
        <w:r>
          <w:t>44</w:t>
        </w:r>
        <w:r>
          <w:fldChar w:fldCharType="end"/>
        </w:r>
      </w:hyperlink>
    </w:p>
    <w:p>
      <w:pPr>
        <w:pStyle w:val="TOC2"/>
        <w:tabs>
          <w:tab w:val="right" w:leader="dot" w:pos="8306"/>
        </w:tabs>
      </w:pPr>
      <w:hyperlink w:anchor="_Toc17051" w:history="1">
        <w:r>
          <w:rPr>
            <w:rFonts w:ascii="仿宋" w:eastAsia="仿宋" w:hAnsi="仿宋" w:cs="仿宋" w:hint="eastAsia"/>
            <w:lang w:eastAsia="zh-CN"/>
          </w:rPr>
          <w:t>(三)、物流与库存管理</w:t>
        </w:r>
        <w:r>
          <w:tab/>
        </w:r>
        <w:r>
          <w:fldChar w:fldCharType="begin"/>
        </w:r>
        <w:r>
          <w:instrText xml:space="preserve"> PAGEREF _Toc17051 \h </w:instrText>
        </w:r>
        <w:r>
          <w:fldChar w:fldCharType="separate"/>
        </w:r>
        <w:r>
          <w:t>46</w:t>
        </w:r>
        <w:r>
          <w:fldChar w:fldCharType="end"/>
        </w:r>
      </w:hyperlink>
    </w:p>
    <w:p>
      <w:pPr>
        <w:pStyle w:val="TOC1"/>
        <w:tabs>
          <w:tab w:val="right" w:leader="dot" w:pos="8306"/>
        </w:tabs>
      </w:pPr>
      <w:hyperlink w:anchor="_Toc8961" w:history="1">
        <w:r>
          <w:rPr>
            <w:rFonts w:ascii="仿宋" w:eastAsia="仿宋" w:hAnsi="仿宋" w:cs="仿宋" w:hint="eastAsia"/>
            <w:lang w:eastAsia="zh-CN"/>
          </w:rPr>
          <w:t>十五、营销与推广策略</w:t>
        </w:r>
        <w:r>
          <w:tab/>
        </w:r>
        <w:r>
          <w:fldChar w:fldCharType="begin"/>
        </w:r>
        <w:r>
          <w:instrText xml:space="preserve"> PAGEREF _Toc8961 \h </w:instrText>
        </w:r>
        <w:r>
          <w:fldChar w:fldCharType="separate"/>
        </w:r>
        <w:r>
          <w:t>47</w:t>
        </w:r>
        <w:r>
          <w:fldChar w:fldCharType="end"/>
        </w:r>
      </w:hyperlink>
    </w:p>
    <w:p>
      <w:pPr>
        <w:pStyle w:val="TOC2"/>
        <w:tabs>
          <w:tab w:val="right" w:leader="dot" w:pos="8306"/>
        </w:tabs>
      </w:pPr>
      <w:hyperlink w:anchor="_Toc12963" w:history="1">
        <w:r>
          <w:rPr>
            <w:rFonts w:ascii="仿宋" w:eastAsia="仿宋" w:hAnsi="仿宋" w:cs="仿宋" w:hint="eastAsia"/>
            <w:lang w:eastAsia="zh-CN"/>
          </w:rPr>
          <w:t>(一)、产品/服务定位与特点</w:t>
        </w:r>
        <w:r>
          <w:tab/>
        </w:r>
        <w:r>
          <w:fldChar w:fldCharType="begin"/>
        </w:r>
        <w:r>
          <w:instrText xml:space="preserve"> PAGEREF _Toc12963 \h </w:instrText>
        </w:r>
        <w:r>
          <w:fldChar w:fldCharType="separate"/>
        </w:r>
        <w:r>
          <w:t>47</w:t>
        </w:r>
        <w:r>
          <w:fldChar w:fldCharType="end"/>
        </w:r>
      </w:hyperlink>
    </w:p>
    <w:p>
      <w:pPr>
        <w:pStyle w:val="TOC2"/>
        <w:tabs>
          <w:tab w:val="right" w:leader="dot" w:pos="8306"/>
        </w:tabs>
      </w:pPr>
      <w:hyperlink w:anchor="_Toc10031" w:history="1">
        <w:r>
          <w:rPr>
            <w:rFonts w:ascii="仿宋" w:eastAsia="仿宋" w:hAnsi="仿宋" w:cs="仿宋" w:hint="eastAsia"/>
            <w:lang w:eastAsia="zh-CN"/>
          </w:rPr>
          <w:t>(二)、市场定位与竞争分析</w:t>
        </w:r>
        <w:r>
          <w:tab/>
        </w:r>
        <w:r>
          <w:fldChar w:fldCharType="begin"/>
        </w:r>
        <w:r>
          <w:instrText xml:space="preserve"> PAGEREF _Toc10031 \h </w:instrText>
        </w:r>
        <w:r>
          <w:fldChar w:fldCharType="separate"/>
        </w:r>
        <w:r>
          <w:t>48</w:t>
        </w:r>
        <w:r>
          <w:fldChar w:fldCharType="end"/>
        </w:r>
      </w:hyperlink>
    </w:p>
    <w:p>
      <w:pPr>
        <w:pStyle w:val="TOC2"/>
        <w:tabs>
          <w:tab w:val="right" w:leader="dot" w:pos="8306"/>
        </w:tabs>
      </w:pPr>
      <w:hyperlink w:anchor="_Toc32100" w:history="1">
        <w:r>
          <w:rPr>
            <w:rFonts w:ascii="仿宋" w:eastAsia="仿宋" w:hAnsi="仿宋" w:cs="仿宋" w:hint="eastAsia"/>
            <w:lang w:eastAsia="zh-CN"/>
          </w:rPr>
          <w:t>(三)、营销渠道与策略</w:t>
        </w:r>
        <w:r>
          <w:tab/>
        </w:r>
        <w:r>
          <w:fldChar w:fldCharType="begin"/>
        </w:r>
        <w:r>
          <w:instrText xml:space="preserve"> PAGEREF _Toc32100 \h </w:instrText>
        </w:r>
        <w:r>
          <w:fldChar w:fldCharType="separate"/>
        </w:r>
        <w:r>
          <w:t>50</w:t>
        </w:r>
        <w:r>
          <w:fldChar w:fldCharType="end"/>
        </w:r>
      </w:hyperlink>
    </w:p>
    <w:p>
      <w:pPr>
        <w:pStyle w:val="TOC2"/>
        <w:tabs>
          <w:tab w:val="right" w:leader="dot" w:pos="8306"/>
        </w:tabs>
      </w:pPr>
      <w:hyperlink w:anchor="_Toc17574" w:history="1">
        <w:r>
          <w:rPr>
            <w:rFonts w:ascii="仿宋" w:eastAsia="仿宋" w:hAnsi="仿宋" w:cs="仿宋" w:hint="eastAsia"/>
            <w:lang w:eastAsia="zh-CN"/>
          </w:rPr>
          <w:t>(四)、推广与宣传活动</w:t>
        </w:r>
        <w:r>
          <w:tab/>
        </w:r>
        <w:r>
          <w:fldChar w:fldCharType="begin"/>
        </w:r>
        <w:r>
          <w:instrText xml:space="preserve"> PAGEREF _Toc17574 \h </w:instrText>
        </w:r>
        <w:r>
          <w:fldChar w:fldCharType="separate"/>
        </w:r>
        <w:r>
          <w:t>51</w:t>
        </w:r>
        <w:r>
          <w:fldChar w:fldCharType="end"/>
        </w:r>
      </w:hyperlink>
    </w:p>
    <w:p>
      <w:pPr>
        <w:pStyle w:val="TOC1"/>
        <w:tabs>
          <w:tab w:val="right" w:leader="dot" w:pos="8306"/>
        </w:tabs>
      </w:pPr>
      <w:hyperlink w:anchor="_Toc8432" w:history="1">
        <w:r>
          <w:rPr>
            <w:rFonts w:ascii="仿宋" w:eastAsia="仿宋" w:hAnsi="仿宋" w:cs="仿宋" w:hint="eastAsia"/>
            <w:lang w:eastAsia="zh-CN"/>
          </w:rPr>
          <w:t>十六、利益相关者分析与沟通计划</w:t>
        </w:r>
        <w:r>
          <w:tab/>
        </w:r>
        <w:r>
          <w:fldChar w:fldCharType="begin"/>
        </w:r>
        <w:r>
          <w:instrText xml:space="preserve"> PAGEREF _Toc8432 \h </w:instrText>
        </w:r>
        <w:r>
          <w:fldChar w:fldCharType="separate"/>
        </w:r>
        <w:r>
          <w:t>56</w:t>
        </w:r>
        <w:r>
          <w:fldChar w:fldCharType="end"/>
        </w:r>
      </w:hyperlink>
    </w:p>
    <w:p>
      <w:pPr>
        <w:pStyle w:val="TOC2"/>
        <w:tabs>
          <w:tab w:val="right" w:leader="dot" w:pos="8306"/>
        </w:tabs>
      </w:pPr>
      <w:hyperlink w:anchor="_Toc1748" w:history="1">
        <w:r>
          <w:rPr>
            <w:rFonts w:ascii="仿宋" w:eastAsia="仿宋" w:hAnsi="仿宋" w:cs="仿宋" w:hint="eastAsia"/>
            <w:lang w:eastAsia="zh-CN"/>
          </w:rPr>
          <w:t>(一)、利益相关者分析</w:t>
        </w:r>
        <w:r>
          <w:tab/>
        </w:r>
        <w:r>
          <w:fldChar w:fldCharType="begin"/>
        </w:r>
        <w:r>
          <w:instrText xml:space="preserve"> PAGEREF _Toc1748 \h </w:instrText>
        </w:r>
        <w:r>
          <w:fldChar w:fldCharType="separate"/>
        </w:r>
        <w:r>
          <w:t>56</w:t>
        </w:r>
        <w:r>
          <w:fldChar w:fldCharType="end"/>
        </w:r>
      </w:hyperlink>
    </w:p>
    <w:p>
      <w:pPr>
        <w:pStyle w:val="TOC2"/>
        <w:tabs>
          <w:tab w:val="right" w:leader="dot" w:pos="8306"/>
        </w:tabs>
      </w:pPr>
      <w:hyperlink w:anchor="_Toc29203" w:history="1">
        <w:r>
          <w:rPr>
            <w:rFonts w:ascii="仿宋" w:eastAsia="仿宋" w:hAnsi="仿宋" w:cs="仿宋" w:hint="eastAsia"/>
            <w:lang w:eastAsia="zh-CN"/>
          </w:rPr>
          <w:t>(二)、沟通计划</w:t>
        </w:r>
        <w:r>
          <w:tab/>
        </w:r>
        <w:r>
          <w:fldChar w:fldCharType="begin"/>
        </w:r>
        <w:r>
          <w:instrText xml:space="preserve"> PAGEREF _Toc29203 \h </w:instrText>
        </w:r>
        <w:r>
          <w:fldChar w:fldCharType="separate"/>
        </w:r>
        <w:r>
          <w:t>57</w:t>
        </w:r>
        <w:r>
          <w:fldChar w:fldCharType="end"/>
        </w:r>
      </w:hyperlink>
    </w:p>
    <w:p>
      <w:pPr>
        <w:pStyle w:val="TOC1"/>
        <w:tabs>
          <w:tab w:val="right" w:leader="dot" w:pos="8306"/>
        </w:tabs>
      </w:pPr>
      <w:hyperlink w:anchor="_Toc29188" w:history="1">
        <w:r>
          <w:rPr>
            <w:rFonts w:ascii="仿宋" w:eastAsia="仿宋" w:hAnsi="仿宋" w:cs="仿宋" w:hint="eastAsia"/>
            <w:lang w:eastAsia="zh-CN"/>
          </w:rPr>
          <w:t>十七、会展物流项目变更管理</w:t>
        </w:r>
        <w:r>
          <w:tab/>
        </w:r>
        <w:r>
          <w:fldChar w:fldCharType="begin"/>
        </w:r>
        <w:r>
          <w:instrText xml:space="preserve"> PAGEREF _Toc29188 \h </w:instrText>
        </w:r>
        <w:r>
          <w:fldChar w:fldCharType="separate"/>
        </w:r>
        <w:r>
          <w:t>58</w:t>
        </w:r>
        <w:r>
          <w:fldChar w:fldCharType="end"/>
        </w:r>
      </w:hyperlink>
    </w:p>
    <w:p>
      <w:pPr>
        <w:pStyle w:val="TOC2"/>
        <w:tabs>
          <w:tab w:val="right" w:leader="dot" w:pos="8306"/>
        </w:tabs>
      </w:pPr>
      <w:hyperlink w:anchor="_Toc9174" w:history="1">
        <w:r>
          <w:rPr>
            <w:rFonts w:ascii="仿宋" w:eastAsia="仿宋" w:hAnsi="仿宋" w:cs="仿宋" w:hint="eastAsia"/>
            <w:lang w:eastAsia="zh-CN"/>
          </w:rPr>
          <w:t>(一)、变更申请与评估</w:t>
        </w:r>
        <w:r>
          <w:tab/>
        </w:r>
        <w:r>
          <w:fldChar w:fldCharType="begin"/>
        </w:r>
        <w:r>
          <w:instrText xml:space="preserve"> PAGEREF _Toc9174 \h </w:instrText>
        </w:r>
        <w:r>
          <w:fldChar w:fldCharType="separate"/>
        </w:r>
        <w:r>
          <w:t>58</w:t>
        </w:r>
        <w:r>
          <w:fldChar w:fldCharType="end"/>
        </w:r>
      </w:hyperlink>
    </w:p>
    <w:p>
      <w:pPr>
        <w:pStyle w:val="TOC2"/>
        <w:tabs>
          <w:tab w:val="right" w:leader="dot" w:pos="8306"/>
        </w:tabs>
      </w:pPr>
      <w:hyperlink w:anchor="_Toc21853" w:history="1">
        <w:r>
          <w:rPr>
            <w:rFonts w:ascii="仿宋" w:eastAsia="仿宋" w:hAnsi="仿宋" w:cs="仿宋" w:hint="eastAsia"/>
            <w:lang w:eastAsia="zh-CN"/>
          </w:rPr>
          <w:t>(二)、变更实施与控制</w:t>
        </w:r>
        <w:r>
          <w:tab/>
        </w:r>
        <w:r>
          <w:fldChar w:fldCharType="begin"/>
        </w:r>
        <w:r>
          <w:instrText xml:space="preserve"> PAGEREF _Toc21853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0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672"/>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5647"/>
      <w:r>
        <w:rPr>
          <w:rFonts w:ascii="仿宋" w:eastAsia="仿宋" w:hAnsi="仿宋" w:cs="仿宋" w:hint="eastAsia"/>
          <w:lang w:eastAsia="zh-CN"/>
        </w:rPr>
        <w:t>(一)、会展物流行业分析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行业一直以来都是市场的关注焦点。行业内的发展趋势、竞争态势以及潜在机会都对会展物流项目的推进产生深远的影响。通过深入研究行业的整体概貌，我们将更好地理解行业的核心特征，为会展物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会展物流行业，技术一直是推动创新和发展的关键因素。我们将对当前技术趋势进行详尽分析，包括但不限于人工智能、大数据应用、先进制造技术等。这有助于会展物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会展物流项目成功的基础。我们将对主要竞争对手进行深入研究，包括其市场份额、产品特点、市场定位等。通过全面了解竞争对手的优势和劣势，会展物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5962"/>
      <w:r>
        <w:rPr>
          <w:rFonts w:ascii="仿宋" w:eastAsia="仿宋" w:hAnsi="仿宋" w:cs="仿宋" w:hint="eastAsia"/>
          <w:sz w:val="28"/>
          <w:lang w:eastAsia="zh-CN"/>
        </w:rPr>
        <w:t>(二)、会展物流市场分析预测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通过对市场规模的深入调研，我们将预测会展物流市场未来的增长趋势。这包括市场的整体规模、各细分领域的发展趋势等。会展物流项目可以根据市场的扩张速度和潜在机会，制定更符合市场需求的发展策略。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会展物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会展物流项目实施过程中需要充分考虑的因素。我们将对市场风险进行全面评估，包括但不限于政策法规风险、市场竞争风险、技术变革风险等。通过对潜在风险的深入分析，会展物流项目可以制定相应的风险缓解策略，降低不确定性对会展物流项目的影响。</w:t>
      </w:r>
    </w:p>
    <w:p>
      <w:pPr>
        <w:pStyle w:val="Heading1"/>
        <w:ind w:firstLine="560" w:firstLineChars="200"/>
        <w:rPr>
          <w:rFonts w:ascii="仿宋" w:eastAsia="仿宋" w:hAnsi="仿宋" w:cs="仿宋" w:hint="eastAsia"/>
          <w:sz w:val="28"/>
          <w:lang w:eastAsia="zh-CN"/>
        </w:rPr>
      </w:pPr>
      <w:bookmarkStart w:id="5" w:name="_Toc17855"/>
      <w:r>
        <w:rPr>
          <w:rFonts w:ascii="仿宋" w:eastAsia="仿宋" w:hAnsi="仿宋" w:cs="仿宋" w:hint="eastAsia"/>
          <w:sz w:val="28"/>
          <w:lang w:eastAsia="zh-CN"/>
        </w:rPr>
        <w:t>二、会展物流项目土建工程</w:t>
      </w:r>
      <w:bookmarkEnd w:id="5"/>
    </w:p>
    <w:p>
      <w:pPr>
        <w:pStyle w:val="Heading2"/>
        <w:rPr>
          <w:rFonts w:ascii="仿宋" w:eastAsia="仿宋" w:hAnsi="仿宋" w:cs="仿宋" w:hint="eastAsia"/>
          <w:lang w:eastAsia="zh-CN"/>
        </w:rPr>
      </w:pPr>
      <w:bookmarkStart w:id="6" w:name="_Toc11458"/>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在会展物流项目的建筑工程设计中，我们将秉承一系列重要的设计原则，以确保会展物流项目建筑在功能、美观、可持续性等方面达到最佳效果。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首要原则是确保建筑的功能性得到最大化的发挥。我们将充分理解会展物流项目的实际需求，合理布局各个功能区域，保证建筑在满足业务需求的同时，提供高效的工作环境。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在建筑设计中，我们将综合考虑建设和运营成本。通过精细的经济效益分析，确保设计方案在高效利用资源的同时，对会展物流项目的长期盈利能力有积极的贡献。</w:t>
      </w:r>
    </w:p>
    <w:p>
      <w:pPr>
        <w:pStyle w:val="Heading2"/>
        <w:ind w:firstLine="560" w:firstLineChars="200"/>
        <w:rPr>
          <w:rFonts w:ascii="仿宋" w:eastAsia="仿宋" w:hAnsi="仿宋" w:cs="仿宋" w:hint="eastAsia"/>
          <w:sz w:val="28"/>
          <w:lang w:eastAsia="zh-CN"/>
        </w:rPr>
      </w:pPr>
      <w:bookmarkStart w:id="7" w:name="_Toc25813"/>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会展物流项目的土建工程设计中，我们将精准设定设计年限，结合会展物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会展物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847"/>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会展物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会展物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会展物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9051"/>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本期工程会展物流项目预计总建筑面积XXX平方米，其中：计容建筑面积XXX平方米，计划建筑工程投资XX万元，占会展物流项目总投资的XX%。</w:t>
      </w:r>
    </w:p>
    <w:p>
      <w:pPr>
        <w:pStyle w:val="Heading1"/>
        <w:ind w:firstLine="560" w:firstLineChars="200"/>
        <w:rPr>
          <w:rFonts w:ascii="仿宋" w:eastAsia="仿宋" w:hAnsi="仿宋" w:cs="仿宋" w:hint="eastAsia"/>
          <w:sz w:val="28"/>
          <w:lang w:eastAsia="zh-CN"/>
        </w:rPr>
      </w:pPr>
      <w:bookmarkStart w:id="10" w:name="_Toc9013"/>
      <w:r>
        <w:rPr>
          <w:rFonts w:ascii="仿宋" w:eastAsia="仿宋" w:hAnsi="仿宋" w:cs="仿宋" w:hint="eastAsia"/>
          <w:sz w:val="28"/>
          <w:lang w:eastAsia="zh-CN"/>
        </w:rPr>
        <w:t>三、会展物流项目绩效评估</w:t>
      </w:r>
      <w:bookmarkEnd w:id="10"/>
    </w:p>
    <w:p>
      <w:pPr>
        <w:pStyle w:val="Heading2"/>
        <w:rPr>
          <w:rFonts w:ascii="仿宋" w:eastAsia="仿宋" w:hAnsi="仿宋" w:cs="仿宋" w:hint="eastAsia"/>
          <w:lang w:eastAsia="zh-CN"/>
        </w:rPr>
      </w:pPr>
      <w:bookmarkStart w:id="11" w:name="_Toc3421"/>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会展物流项目中，我们设计了一套全面的绩效评估指标，以确保会展物流项目的可控和成功交付。这些指标跨足会展物流项目目标、成本、进度和质量等多个维度，为我们提供了全面洞察会展物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目标达成率是我们关注的首要指标。我们设定了明确的目标，并通过定期监测和评估，迅速发现并应对潜在的目标偏差。这为会展物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成本绩效是另一个核心关注点。通过实际成本与预算成本的对比分析，我们深入了解成本差异的原因，及时调整资源分配，保持会展物流项目在经济效益方面的合理水平。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进度作为关键的绩效指标之一，得到了精心的关注。我们制定了详细的会展物流项目进度计划，并设立了进度符合度指标，确保实际进度与计划进度保持一致。这使我们能够快速发现和解决潜在的进度问题，保持会展物流项目的正常推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会展物流项目绩效的不可或缺的一环。我们引入了一系列的质量标准和客户满意度指标，以确保会展物流项目交付的成果在质量上达到或超越预期水平。通过持续监测这些指标，我们努力提升会展物流项目整体质量水平，为会展物流项目的成功交付提供有力保障。通过这些科学且全面的绩效评估，我们能够更好地引导会展物流项目的持续改进，确保会展物流项目目标的顺利达成。</w:t>
      </w:r>
    </w:p>
    <w:p>
      <w:pPr>
        <w:pStyle w:val="Heading2"/>
        <w:ind w:firstLine="560" w:firstLineChars="200"/>
        <w:rPr>
          <w:rFonts w:ascii="仿宋" w:eastAsia="仿宋" w:hAnsi="仿宋" w:cs="仿宋" w:hint="eastAsia"/>
          <w:sz w:val="28"/>
          <w:lang w:eastAsia="zh-CN"/>
        </w:rPr>
      </w:pPr>
      <w:bookmarkStart w:id="12" w:name="_Toc7745"/>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绩效评估是会展物流项目中的关键环节，为确保会展物流项目达到预期目标，我们采用了多层次、多维度的绩效评估方法。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会展物流项目的战略目标对齐，确保每个决策和行动都与会展物流项目整体目标保持一致。团队会定期召开战略对齐会议，审视当前工作与会展物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会展物流项目进度、质量、成本和风险等方面。这些指标通过数据收集和分析，为会展物流项目管理团队提供了客观的评估依据。例如，我们通过会展物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绩效评估不仅仅停留在会展物流项目内部，还考虑了会展物流项目对外部环境的影响。我们定期进行干系人满意度调查，以了解各利益相关方对会展物流项目的期望和满意度，并及时做出调整。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这种多层次、多角度的绩效评估方法，使得我们能够全面了解会展物流项目的运行状态，及时做出调整，确保会展物流项目在不断变化的环境中保持稳健前行。</w:t>
      </w:r>
    </w:p>
    <w:p>
      <w:pPr>
        <w:pStyle w:val="Heading2"/>
        <w:ind w:firstLine="560" w:firstLineChars="200"/>
        <w:rPr>
          <w:rFonts w:ascii="仿宋" w:eastAsia="仿宋" w:hAnsi="仿宋" w:cs="仿宋" w:hint="eastAsia"/>
          <w:sz w:val="28"/>
          <w:lang w:eastAsia="zh-CN"/>
        </w:rPr>
      </w:pPr>
      <w:bookmarkStart w:id="13" w:name="_Toc13999"/>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为了确保会展物流项目的有效管理和不断优化，我们采用了精心设计的绩效评估周期。这个周期旨在实现灵活、实时和全面的评估，以适应会展物流项目执行中的各种挑战。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会展物流项目的不同需求，分为短期、中期和长期。短期评估关注每个迭代或工作周期，以及时发现和解决当前任务中的问题。中期评估涵盖几个迭代，深入了解整体会展物流项目的趋势和性能。长期评估则着眼于整个会展物流项目阶段，确保会展物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会展物流项目管理工具和协作平台，团队成员能够随时更新和分享会展物流项目数据。这种实时性的反馈机制使我们能够及时察觉潜在问题，快速调整，保持会展物流项目的稳健运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会展物流项目的决策制定密不可分。每个周期的会展物流项目回顾会议成为集体总结经验、识别问题深层次原因并找到创新解决方案的平台。这种定期的反思与调整机制使会展物流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8324"/>
      <w:r>
        <w:rPr>
          <w:rFonts w:ascii="仿宋" w:eastAsia="仿宋" w:hAnsi="仿宋" w:cs="仿宋" w:hint="eastAsia"/>
          <w:sz w:val="28"/>
          <w:lang w:eastAsia="zh-CN"/>
        </w:rPr>
        <w:t>四、会展物流项目建设背景及必要性分析</w:t>
      </w:r>
      <w:bookmarkEnd w:id="14"/>
    </w:p>
    <w:p>
      <w:pPr>
        <w:pStyle w:val="Heading2"/>
        <w:rPr>
          <w:rFonts w:ascii="仿宋" w:eastAsia="仿宋" w:hAnsi="仿宋" w:cs="仿宋" w:hint="eastAsia"/>
          <w:lang w:eastAsia="zh-CN"/>
        </w:rPr>
      </w:pPr>
      <w:bookmarkStart w:id="15" w:name="_Toc19538"/>
      <w:r>
        <w:rPr>
          <w:rFonts w:ascii="仿宋" w:eastAsia="仿宋" w:hAnsi="仿宋" w:cs="仿宋" w:hint="eastAsia"/>
          <w:lang w:eastAsia="zh-CN"/>
        </w:rPr>
        <w:t>(一)、会展物流项目背景分析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会展物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会展物流项目在这个潮流中的定位。同时，我们将关注行业内涌现的新兴机遇，以便会展物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会展物流项目提供了强大的发展动力。我们将聚焦于行业内最新的技术发展趋势，包括但不限于人工智能、大数据分析、物联网等领域。通过深度的技术研究，我们将确保会展物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会展物流项目发展的源泉。我们将投入更多的精力对市场需求进行深入剖析，超越表面的需求，深入挖掘潜在的市场痛点和机遇。通过对市场需求的细致了解，会展物流项目将更有针对性地设计解决方案，满足市场的多样化需求，从而更好地促进会展物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会展物流项目战略至关重要。我们将对竞争态势进行更为深入的分析，包括但不限于市场份额、产品特点、客户满意度等多个维度。通过深度的竞争分析，会展物流项目将能够更准确地把握市场脉搏，制定具有竞争力的会展物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行业内的法规和政策环境对会展物流项目的发展具有直接的影响。我们将进行更为全面的法规和政策分析，了解行业发展中的潜在法律风险和合规挑战。通过充分了解和遵守相关法规，会展物流项目将确保在法律框架内合法合规运营，为会展物流项目的稳健发展提供有力支持。</w:t>
      </w:r>
    </w:p>
    <w:p>
      <w:pPr>
        <w:pStyle w:val="Heading2"/>
        <w:ind w:firstLine="560" w:firstLineChars="200"/>
        <w:rPr>
          <w:rFonts w:ascii="仿宋" w:eastAsia="仿宋" w:hAnsi="仿宋" w:cs="仿宋" w:hint="eastAsia"/>
          <w:sz w:val="28"/>
          <w:lang w:eastAsia="zh-CN"/>
        </w:rPr>
      </w:pPr>
      <w:bookmarkStart w:id="16" w:name="_Toc17649"/>
      <w:r>
        <w:rPr>
          <w:rFonts w:ascii="仿宋" w:eastAsia="仿宋" w:hAnsi="仿宋" w:cs="仿宋" w:hint="eastAsia"/>
          <w:sz w:val="28"/>
          <w:lang w:eastAsia="zh-CN"/>
        </w:rPr>
        <w:t>(二)、会展物流项目建设必要性分析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建设的迫切性源于对行业发展趋势的深刻洞察。我们正处于一个行业变革的时代，科技创新、数字化转型成为企业发展的关键动力。会展物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建设不仅仅是为了跟上潮流，更是为了通过技术创新推动企业的持续发展。通过引入先进的技术和解决方案，会展物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会展物流项目的建设成为必然选择，通过提高产品质量、拓展服务领域，从而在竞争中获得更多的机会。会展物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会展物流项目建设的必要性体现在对客户需求更精准的满足。通过会展物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会展物流项目建设的背后是对企业持续创新的追求。只有通过不断创新，企业才能在竞争中立于不败之地。会展物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32556"/>
      <w:r>
        <w:rPr>
          <w:rFonts w:ascii="仿宋" w:eastAsia="仿宋" w:hAnsi="仿宋" w:cs="仿宋" w:hint="eastAsia"/>
          <w:sz w:val="28"/>
          <w:lang w:eastAsia="zh-CN"/>
        </w:rPr>
        <w:t>五、会展物流项目选址可行性分析</w:t>
      </w:r>
      <w:bookmarkEnd w:id="17"/>
    </w:p>
    <w:p>
      <w:pPr>
        <w:pStyle w:val="Heading2"/>
        <w:rPr>
          <w:rFonts w:ascii="仿宋" w:eastAsia="仿宋" w:hAnsi="仿宋" w:cs="仿宋" w:hint="eastAsia"/>
          <w:lang w:eastAsia="zh-CN"/>
        </w:rPr>
      </w:pPr>
      <w:bookmarkStart w:id="18" w:name="_Toc23460"/>
      <w:r>
        <w:rPr>
          <w:rFonts w:ascii="仿宋" w:eastAsia="仿宋" w:hAnsi="仿宋" w:cs="仿宋" w:hint="eastAsia"/>
          <w:lang w:eastAsia="zh-CN"/>
        </w:rPr>
        <w:t>(一)、会展物流项目选址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该会展物流项目选址位于XX省XX市XX区XXX街道</w:t>
      </w:r>
    </w:p>
    <w:p>
      <w:pPr>
        <w:pStyle w:val="Heading2"/>
        <w:ind w:firstLine="560" w:firstLineChars="200"/>
        <w:rPr>
          <w:rFonts w:ascii="仿宋" w:eastAsia="仿宋" w:hAnsi="仿宋" w:cs="仿宋" w:hint="eastAsia"/>
          <w:sz w:val="28"/>
          <w:lang w:eastAsia="zh-CN"/>
        </w:rPr>
      </w:pPr>
      <w:bookmarkStart w:id="19" w:name="_Toc32365"/>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会展物流项目的征地面积将根据会展物流项目的实际规模和需求进行精确规划。具体面积XXX平方米，旨在确保会展物流项目不仅能够满足当前的发展需求，还能够预留空间以适应未来的扩展。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净用地面积是在征地面积基础上去除不可利用面积后的实际可开发用地。具体面积XXX平方米，考虑到环保、交通、安全等多方面因素，以确保会展物流项目在整体利用效率上达到最优。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会展物流项目计划建设的建筑总规模具体面积XXX平方米。这一规模的确定综合考虑了会展物流项目的性质、规模，以及城市规划的相关要求，确保建筑布局与周边环境协调一致。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绿地率是会展物流项目用地中被规划为绿地的比例。具体面积XXX平方米，旨在通过合理规划绿地，改善会展物流项目周边环境，提升居民生活质量，并符合城市整体绿化规划。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容积率是用地上可以建设的建筑总体积与用地面积之比。具体面积XXX，通过合理的容积率规划，确保会展物流项目建筑规模与周边环境和谐共生。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确保会展物流项目选址与当地城市规划相一致，具体面积XXX平方米。通过与城市规划部门深入沟通，确保会展物流项目不仅符合城市的整体发展方向，还能够融入城市的发展布局，为城市的长远发展贡献力量。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会展物流项目选址符合当地产业政策，具体面积XXX平方米。这包括会展物流项目对当地经济的促进作用，以及对相关产业的带动效应，确保会展物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用地总体要求必须符合环保和可持续发展的原则，具体面积XXX平方米。通过采用绿色建筑设计、节能减排等措施，确保会展物流项目在建设和运营过程中对环境的影响最小化，达到可持续发展的要求。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确保会展物流项目选址具备必要的公共设施配套，具体面积XXX平方米。这包括交通便利性、教育、医疗等基础设施，以提高居民生活品质，使得会展物流项目选址更具吸引力。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考虑用地总体要求对当地社会稳定性的影响，具体面积XXX平方米。通过深入了解当地社区反馈，确保会展物流项目的选址和建设过程对当地社会和谐稳定产生积极作用。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会展物流项目选址不仅符合法规和规划，还在实际操作中具有可行性。这一全面规划将为会展物流项目的成功实施提供坚实的基础，确保会展物流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8308"/>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会展物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https://d.book118.com/717120030026006040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会展物流项目规划设计蓝图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9A356E"/>
    <w:rsid w:val="519A356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7120030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2024-02-01T09:44:00Z</dcterms:created>
  <dcterms:modified xsi:type="dcterms:W3CDTF">2024-02-01T09:44:30Z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D86D708BCF2749AF910918C893AFF1EC_11</vt:lpwstr>
  </property>
  <property fmtid="{D5CDD505-2E9C-101B-9397-08002B2CF9AE}" pid="3" name="KSOProductBuildVer">
    <vt:lpwstr>2052-12.1.0.16250</vt:lpwstr>
  </property>
</Properties>
</file>