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美容美体行业相关公司筹备报告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_Toc18512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0" w:history="1">
        <w:r>
          <w:rPr>
            <w:rFonts w:ascii="仿宋" w:eastAsia="仿宋" w:hAnsi="仿宋" w:cs="仿宋" w:hint="eastAsia"/>
            <w:lang w:eastAsia="zh-CN"/>
          </w:rPr>
          <w:t>(七)、美容美体项目建设必要性分析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三、美容美体筹建公司基本信息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_Toc9633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八、美容美体项目风险分析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(一)、美容美体项目风险分析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(二)、美容美体项目风险对策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(一)、美容美体项目进度安排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(二)、美容美体项目实施保障措施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(一)、美容美体项目背景分析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9" w:history="1">
        <w:r>
          <w:rPr>
            <w:rFonts w:ascii="仿宋" w:eastAsia="仿宋" w:hAnsi="仿宋" w:cs="仿宋" w:hint="eastAsia"/>
            <w:lang w:eastAsia="zh-CN"/>
          </w:rPr>
          <w:t>(二)、美容美体项目建设必要性分析</w:t>
        </w:r>
        <w:r>
          <w:tab/>
        </w:r>
        <w:r>
          <w:fldChar w:fldCharType="begin"/>
        </w:r>
        <w:r>
          <w:instrText xml:space="preserve"> PAGEREF _Toc15579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_Toc8420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(一)、社会责任美容美体项目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十二、美容美体项目总结分析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_Toc30897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1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6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https://d.book118.com/717124131161006032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7124131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2023-12-31T21:33:00Z</dcterms:created>
  <dcterms:modified xsi:type="dcterms:W3CDTF">2023-12-31T21:33:11Z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1C5982E6F39D4410A33C9F76AEFD7E16_11</vt:lpwstr>
  </property>
  <property fmtid="{D5CDD505-2E9C-101B-9397-08002B2CF9AE}" pid="3" name="KSOProductBuildVer">
    <vt:lpwstr>2052-12.1.0.16120</vt:lpwstr>
  </property>
</Properties>
</file>