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6"/>
        </w:rPr>
      </w:pPr>
    </w:p>
    <w:p>
      <w:pPr>
        <w:pStyle w:val="Title"/>
      </w:pPr>
      <w:r>
        <w:rPr>
          <w:spacing w:val="7"/>
          <w:w w:val="95"/>
        </w:rPr>
        <w:t xml:space="preserve">大连年产 </w:t>
      </w:r>
      <w:r>
        <w:rPr>
          <w:w w:val="95"/>
        </w:rPr>
        <w:t>xx 吨机制炭工程</w:t>
      </w:r>
    </w:p>
    <w:p>
      <w:pPr>
        <w:pStyle w:val="BodyText"/>
        <w:spacing w:before="7"/>
        <w:rPr>
          <w:rFonts w:ascii="黑体"/>
          <w:b/>
          <w:sz w:val="83"/>
        </w:rPr>
      </w:pPr>
    </w:p>
    <w:p>
      <w:pPr>
        <w:spacing w:before="1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2"/>
        <w:rPr>
          <w:rFonts w:ascii="黑体"/>
          <w:b/>
          <w:sz w:val="36"/>
        </w:rPr>
      </w:pPr>
    </w:p>
    <w:p>
      <w:pPr>
        <w:pStyle w:val="Heading2"/>
        <w:ind w:left="3052" w:right="3334"/>
        <w:jc w:val="center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xxx</w:t>
      </w:r>
      <w:r>
        <w:rPr>
          <w:rFonts w:ascii="黑体" w:eastAsia="黑体" w:hint="eastAsia"/>
          <w:spacing w:val="-29"/>
          <w:w w:val="95"/>
        </w:rPr>
        <w:t xml:space="preserve"> 集团</w:t>
      </w:r>
    </w:p>
    <w:p>
      <w:pPr>
        <w:spacing w:after="0"/>
        <w:jc w:val="center"/>
        <w:rPr>
          <w:rFonts w:ascii="黑体" w:eastAsia="黑体" w:hint="eastAsia"/>
        </w:rPr>
        <w:sectPr>
          <w:type w:val="continuous"/>
          <w:pgSz w:w="18360" w:h="23760"/>
          <w:pgMar w:top="2300" w:right="1240" w:bottom="280" w:left="1520" w:header="708" w:footer="708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74"/>
        <w:ind w:left="118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摘要说明—</w:t>
      </w:r>
    </w:p>
    <w:p>
      <w:pPr>
        <w:pStyle w:val="BodyText"/>
        <w:spacing w:before="2"/>
        <w:rPr>
          <w:rFonts w:ascii="幼圆"/>
          <w:sz w:val="31"/>
        </w:rPr>
      </w:pP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随着近年来机制炭的不断普及，机制炭市场份额渐渐增大，作为一个兴行业，机制炭的市场及将来进展值得我们争论和学习，机制炭行业的</w:t>
      </w:r>
      <w:r>
        <w:t>进展将为国家经济进展和能源再生掀起浪潮。</w:t>
      </w:r>
    </w:p>
    <w:p>
      <w:pPr>
        <w:pStyle w:val="BodyText"/>
        <w:spacing w:line="405" w:lineRule="auto"/>
        <w:ind w:left="280" w:right="688" w:firstLine="900"/>
      </w:pPr>
      <w:r>
        <w:rPr>
          <w:spacing w:val="-2"/>
          <w:w w:val="95"/>
        </w:rPr>
        <w:t xml:space="preserve">该机制炭工程打算总投资 </w:t>
      </w:r>
      <w:r>
        <w:rPr>
          <w:w w:val="95"/>
        </w:rPr>
        <w:t>14845.30</w:t>
      </w:r>
      <w:r>
        <w:rPr>
          <w:spacing w:val="-4"/>
          <w:w w:val="95"/>
        </w:rPr>
        <w:t xml:space="preserve"> 万元，其中：固定资产投资</w:t>
      </w:r>
      <w:r>
        <w:rPr>
          <w:spacing w:val="-1"/>
        </w:rPr>
        <w:t>10721.32</w:t>
      </w:r>
      <w:r>
        <w:rPr>
          <w:spacing w:val="-113"/>
        </w:rPr>
        <w:t xml:space="preserve"> </w:t>
      </w:r>
      <w:r>
        <w:rPr>
          <w:spacing w:val="-11"/>
        </w:rPr>
        <w:t xml:space="preserve">万元，占工程总投资的 </w:t>
      </w:r>
      <w:r>
        <w:t>72.22%；</w:t>
      </w:r>
      <w:r>
        <w:rPr>
          <w:spacing w:val="-23"/>
        </w:rPr>
        <w:t xml:space="preserve">流淌资金 </w:t>
      </w:r>
      <w:r>
        <w:t>4123.98</w:t>
      </w:r>
      <w:r>
        <w:rPr>
          <w:spacing w:val="-13"/>
        </w:rPr>
        <w:t xml:space="preserve"> 万元，占工程总投资的</w:t>
      </w:r>
      <w:r>
        <w:rPr>
          <w:spacing w:val="-110"/>
        </w:rPr>
        <w:t xml:space="preserve"> </w:t>
      </w:r>
      <w:r>
        <w:t>27.78%。</w:t>
      </w:r>
    </w:p>
    <w:p>
      <w:pPr>
        <w:pStyle w:val="BodyText"/>
        <w:spacing w:line="405" w:lineRule="auto"/>
        <w:ind w:left="280" w:right="911" w:firstLine="900"/>
        <w:jc w:val="both"/>
      </w:pPr>
      <w:r>
        <w:rPr>
          <w:spacing w:val="7"/>
          <w:w w:val="95"/>
        </w:rPr>
        <w:t xml:space="preserve">达产年营业收入 </w:t>
      </w:r>
      <w:r>
        <w:rPr>
          <w:w w:val="95"/>
        </w:rPr>
        <w:t>35922.00</w:t>
      </w:r>
      <w:r>
        <w:rPr>
          <w:spacing w:val="8"/>
          <w:w w:val="95"/>
        </w:rPr>
        <w:t xml:space="preserve"> 万元，总本钱费用 </w:t>
      </w:r>
      <w:r>
        <w:rPr>
          <w:w w:val="95"/>
        </w:rPr>
        <w:t>27189.00</w:t>
      </w:r>
      <w:r>
        <w:rPr>
          <w:spacing w:val="6"/>
          <w:w w:val="95"/>
        </w:rPr>
        <w:t xml:space="preserve"> 万元，税金及</w:t>
      </w:r>
      <w:r>
        <w:rPr>
          <w:spacing w:val="-37"/>
        </w:rPr>
        <w:t xml:space="preserve">附加 </w:t>
      </w:r>
      <w:r>
        <w:rPr>
          <w:spacing w:val="-1"/>
        </w:rPr>
        <w:t>309.78</w:t>
      </w:r>
      <w:r>
        <w:rPr>
          <w:spacing w:val="-28"/>
        </w:rPr>
        <w:t xml:space="preserve"> 万元，利润总额 </w:t>
      </w:r>
      <w:r>
        <w:rPr>
          <w:spacing w:val="-1"/>
        </w:rPr>
        <w:t>8733.00</w:t>
      </w:r>
      <w:r>
        <w:rPr>
          <w:spacing w:val="-27"/>
        </w:rPr>
        <w:t xml:space="preserve"> 万元，利税总额 </w:t>
      </w:r>
      <w:r>
        <w:t>10247.33</w:t>
      </w:r>
      <w:r>
        <w:rPr>
          <w:spacing w:val="-24"/>
        </w:rPr>
        <w:t xml:space="preserve"> 万元，税</w:t>
      </w:r>
      <w:r>
        <w:rPr>
          <w:spacing w:val="-22"/>
        </w:rPr>
        <w:t xml:space="preserve">后净利润 </w:t>
      </w:r>
      <w:r>
        <w:t>6549.75</w:t>
      </w:r>
      <w:r>
        <w:rPr>
          <w:spacing w:val="-21"/>
        </w:rPr>
        <w:t xml:space="preserve"> 万元，达产年纳税总额 </w:t>
      </w:r>
      <w:r>
        <w:t>3697.58</w:t>
      </w:r>
      <w:r>
        <w:rPr>
          <w:spacing w:val="-13"/>
        </w:rPr>
        <w:t xml:space="preserve"> 万元；达产年投资利润</w:t>
      </w:r>
      <w:r>
        <w:rPr>
          <w:spacing w:val="-55"/>
        </w:rPr>
        <w:t xml:space="preserve">率 </w:t>
      </w:r>
      <w:r>
        <w:rPr>
          <w:spacing w:val="-1"/>
        </w:rPr>
        <w:t>58.83</w:t>
      </w:r>
      <w:r>
        <w:rPr>
          <w:spacing w:val="-15"/>
        </w:rPr>
        <w:t xml:space="preserve">%，投资利税率 </w:t>
      </w:r>
      <w:r>
        <w:t>69.03</w:t>
      </w:r>
      <w:r>
        <w:rPr>
          <w:spacing w:val="-14"/>
        </w:rPr>
        <w:t xml:space="preserve">%，投资回报率 </w:t>
      </w:r>
      <w:r>
        <w:t>44.12%，全部投资回收期</w:t>
      </w:r>
    </w:p>
    <w:p>
      <w:pPr>
        <w:pStyle w:val="BodyText"/>
        <w:spacing w:line="571" w:lineRule="exact"/>
        <w:ind w:left="280"/>
        <w:jc w:val="both"/>
      </w:pPr>
      <w:r>
        <w:t>3.77</w:t>
      </w:r>
      <w:r>
        <w:rPr>
          <w:spacing w:val="-25"/>
        </w:rPr>
        <w:t xml:space="preserve"> 年，供给就业职位 </w:t>
      </w:r>
      <w:r>
        <w:t>661</w:t>
      </w:r>
      <w:r>
        <w:rPr>
          <w:spacing w:val="-39"/>
        </w:rPr>
        <w:t xml:space="preserve"> 个。</w:t>
      </w:r>
    </w:p>
    <w:p>
      <w:pPr>
        <w:pStyle w:val="BodyText"/>
        <w:spacing w:before="386" w:line="405" w:lineRule="auto"/>
        <w:ind w:left="280" w:right="917" w:firstLine="900"/>
        <w:jc w:val="both"/>
      </w:pPr>
      <w:r>
        <w:rPr>
          <w:spacing w:val="-1"/>
        </w:rPr>
        <w:t>机制炭是一种高能清洁燃料，品质优于传统烧制的木炭、竹炭，符合环保要求。不同原料制成的机制炭优劣差异显著，鉴于富含木质素与纤维素含量高的原料料依据比例混合，能够制成到达国家对机制炭质量要求的机制炭。因此，只要在加强机制炭科学治理的同时，亲热注视原材料的科</w:t>
      </w:r>
      <w:r>
        <w:t>学组合，能使企业获得较好的效益，并提高对资源的利用效率。</w:t>
      </w:r>
    </w:p>
    <w:p>
      <w:pPr>
        <w:pStyle w:val="BodyText"/>
        <w:spacing w:line="405" w:lineRule="auto"/>
        <w:ind w:left="280" w:right="917" w:firstLine="900"/>
      </w:pPr>
      <w:r>
        <w:rPr>
          <w:spacing w:val="-1"/>
        </w:rPr>
        <w:t>报告内容：总论、工程建设背景分析、工程市场前景分析、工程规划分析、选址评价、工程工程设计、工艺技术说明、环境保护概况、安全规</w:t>
      </w:r>
    </w:p>
    <w:p>
      <w:pPr>
        <w:spacing w:after="0" w:line="40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https://d.book118.com/717156045124006024</w:t>
        </w:r>
      </w:hyperlink>
    </w:p>
    <w:p>
      <w:pPr>
        <w:spacing w:after="0" w:line="405" w:lineRule="auto"/>
      </w:pPr>
    </w:p>
    <w:sectPr>
      <w:pgSz w:w="18360" w:h="23760"/>
      <w:pgMar w:top="2300" w:right="124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line="921" w:lineRule="exact"/>
      <w:ind w:left="3052" w:right="3345"/>
      <w:jc w:val="center"/>
    </w:pPr>
    <w:rPr>
      <w:rFonts w:ascii="黑体" w:eastAsia="黑体" w:hAnsi="黑体" w:cs="黑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715604512400602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2023-10-12T13:58:57Z</dcterms:created>
  <dcterms:modified xsi:type="dcterms:W3CDTF">2023-10-12T13:58:57Z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2023-02-07T00:00:00Z</vt:filetime>
  </property>
  <property fmtid="{D5CDD505-2E9C-101B-9397-08002B2CF9AE}" pid="3" name="LastSaved">
    <vt:filetime>2023-10-12T00:00:00Z</vt:filetime>
  </property>
</Properties>
</file>