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公路客车行业相关公司设立可行性研究报告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一、公路客车项目概况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(二)、公路客车项目提出的理由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(三)、公路客车项目选址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(六)、公路客车项目投资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(七)、公路客车项目进度规划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(九)、公路客车项目综合评价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_Toc20477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_Toc21505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三、公路客车筹建公司基本信息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_Toc26595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八、公路客车项目经济效益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(三)、公路客车项目盈利能力分析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_Toc6149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(一)、公路客车项目背景分析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(二)、公路客车项目建设必要性分析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(五)、公路客车项目总投资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十一、公路客车项目总结分析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(二)、合作公路客车项目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_Toc9872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90"/>
      <w:r>
        <w:rPr>
          <w:rFonts w:ascii="仿宋" w:eastAsia="仿宋" w:hAnsi="仿宋" w:cs="仿宋" w:hint="eastAsia"/>
          <w:sz w:val="28"/>
          <w:lang w:eastAsia="zh-CN"/>
        </w:rPr>
        <w:t>一、公路客车项目概况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4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856"/>
      <w:r>
        <w:rPr>
          <w:rFonts w:ascii="仿宋" w:eastAsia="仿宋" w:hAnsi="仿宋" w:cs="仿宋" w:hint="eastAsia"/>
          <w:sz w:val="28"/>
          <w:lang w:eastAsia="zh-CN"/>
        </w:rPr>
        <w:t>(二)、公路客车项目提出的理由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公路客车项目提出的理由可能包括以下几个方面：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市场需求：随着人们对生活品质的追求，对公路客车的需求也在不断增加。市场上对于高品质、符合个性化需求的公路客车需求量大，因此公路客车项目可以满足这一市场需求。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利润空间：公路客车行业的利润空间较大，通过生产和销售高品质的公路客车，可以获得可观的利润。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https://d.book118.com/717201001114006042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公路客车行业相关公司设立可行性研究报告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公路客车行业相关公司设立可行性研究报告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公路客车行业相关公司设立可行性研究报告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公路客车行业相关公司设立可行性研究报告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公路客车行业相关公司设立可行性研究报告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7201001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2024-02-05T17:34:00Z</dcterms:created>
  <dcterms:modified xsi:type="dcterms:W3CDTF">2024-02-05T17:34:32Z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DF6FF0B1A73545DEB1E119A7C01B5097_11</vt:lpwstr>
  </property>
  <property fmtid="{D5CDD505-2E9C-101B-9397-08002B2CF9AE}" pid="3" name="KSOProductBuildVer">
    <vt:lpwstr>2052-12.1.0.16250</vt:lpwstr>
  </property>
</Properties>
</file>