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Normal"/>
        <w:tblW w:w="10401" w:type="dxa"/>
        <w:tblInd w:w="752" w:type="dxa"/>
        <w:tblBorders>
          <w:top w:val="single" w:sz="12" w:space="0" w:color="172C51"/>
          <w:left w:val="single" w:sz="12" w:space="0" w:color="172C51"/>
          <w:bottom w:val="single" w:sz="12" w:space="0" w:color="172C51"/>
          <w:right w:val="single" w:sz="12" w:space="0" w:color="172C51"/>
          <w:insideH w:val="single" w:sz="12" w:space="0" w:color="172C51"/>
          <w:insideV w:val="single" w:sz="12" w:space="0" w:color="172C51"/>
        </w:tblBorders>
        <w:tblLayout w:type="fixed"/>
      </w:tblPr>
      <w:tblGrid>
        <w:gridCol w:w="10401"/>
      </w:tblGrid>
      <w:tr>
        <w:tblPrEx>
          <w:tblW w:w="10401" w:type="dxa"/>
          <w:tblInd w:w="752" w:type="dxa"/>
          <w:tblBorders>
            <w:top w:val="single" w:sz="12" w:space="0" w:color="172C51"/>
            <w:left w:val="single" w:sz="12" w:space="0" w:color="172C51"/>
            <w:bottom w:val="single" w:sz="12" w:space="0" w:color="172C51"/>
            <w:right w:val="single" w:sz="12" w:space="0" w:color="172C51"/>
            <w:insideH w:val="single" w:sz="12" w:space="0" w:color="172C51"/>
            <w:insideV w:val="single" w:sz="12" w:space="0" w:color="172C51"/>
          </w:tblBorders>
          <w:tblLayout w:type="fixed"/>
        </w:tblPrEx>
        <w:trPr>
          <w:trHeight w:val="3913"/>
        </w:trPr>
        <w:tc>
          <w:tcPr>
            <w:tcW w:w="10401" w:type="dxa"/>
            <w:tcBorders>
              <w:bottom w:val="single" w:sz="8" w:space="0" w:color="172C51"/>
            </w:tcBorders>
            <w:vAlign w:val="top"/>
          </w:tcPr>
          <w:p>
            <w:pPr>
              <w:rPr>
                <w:rFonts w:ascii="Arial"/>
                <w:sz w:val="21"/>
              </w:rPr>
            </w:pPr>
          </w:p>
        </w:tc>
      </w:tr>
      <w:tr>
        <w:tblPrEx>
          <w:tblW w:w="10401" w:type="dxa"/>
          <w:tblInd w:w="752" w:type="dxa"/>
          <w:tblLayout w:type="fixed"/>
        </w:tblPrEx>
        <w:trPr>
          <w:trHeight w:val="4701"/>
        </w:trPr>
        <w:tc>
          <w:tcPr>
            <w:tcW w:w="10401" w:type="dxa"/>
            <w:tcBorders>
              <w:top w:val="single" w:sz="8" w:space="0" w:color="FFFFFF"/>
              <w:bottom w:val="single" w:sz="8" w:space="0" w:color="FFFFFF"/>
            </w:tcBorders>
            <w:vAlign w:val="top"/>
          </w:tcPr>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before="203" w:line="227" w:lineRule="auto"/>
              <w:ind w:left="597"/>
              <w:outlineLvl w:val="0"/>
              <w:rPr>
                <w:rFonts w:ascii="DengXian" w:eastAsia="DengXian" w:hAnsi="DengXian" w:cs="DengXian"/>
                <w:sz w:val="60"/>
                <w:szCs w:val="60"/>
              </w:rPr>
            </w:pPr>
            <w:r>
              <w:rPr>
                <w:rFonts w:ascii="Arial" w:eastAsia="Arial" w:hAnsi="Arial" w:cs="Arial"/>
                <w:b/>
                <w:bCs/>
                <w:color w:val="FFFFFF"/>
                <w:spacing w:val="3"/>
                <w:sz w:val="60"/>
                <w:szCs w:val="60"/>
              </w:rPr>
              <w:t>2030</w:t>
            </w:r>
            <w:r>
              <w:rPr>
                <w:rFonts w:ascii="DengXian" w:eastAsia="DengXian" w:hAnsi="DengXian" w:cs="DengXian"/>
                <w:b/>
                <w:bCs/>
                <w:color w:val="FFFFFF"/>
                <w:spacing w:val="3"/>
                <w:sz w:val="60"/>
                <w:szCs w:val="60"/>
              </w:rPr>
              <w:t>年全球甲烷评估：基准线报告</w:t>
            </w:r>
          </w:p>
          <w:p>
            <w:pPr>
              <w:spacing w:before="43" w:line="229" w:lineRule="auto"/>
              <w:ind w:left="1764"/>
              <w:rPr>
                <w:rFonts w:ascii="DengXian" w:eastAsia="DengXian" w:hAnsi="DengXian" w:cs="DengXian"/>
                <w:sz w:val="34"/>
                <w:szCs w:val="34"/>
              </w:rPr>
            </w:pPr>
            <w:r>
              <w:rPr>
                <w:rFonts w:ascii="DengXian" w:eastAsia="DengXian" w:hAnsi="DengXian" w:cs="DengXian"/>
                <w:color w:val="00B0F0"/>
                <w:spacing w:val="3"/>
                <w:sz w:val="34"/>
                <w:szCs w:val="34"/>
              </w:rPr>
              <w:t>为什么现在采取行动：加速甲烷减排的新时代</w:t>
            </w:r>
          </w:p>
          <w:p>
            <w:pPr>
              <w:pStyle w:val="TableText"/>
              <w:spacing w:before="259" w:line="509" w:lineRule="exact"/>
              <w:ind w:left="955"/>
              <w:rPr>
                <w:sz w:val="31"/>
                <w:szCs w:val="31"/>
              </w:rPr>
            </w:pPr>
            <w:r>
              <w:rPr>
                <w:color w:val="FFFFFF"/>
                <w:position w:val="19"/>
                <w:sz w:val="31"/>
                <w:szCs w:val="31"/>
              </w:rPr>
              <w:t>UNEP</w:t>
            </w:r>
            <w:r>
              <w:rPr>
                <w:color w:val="FFFFFF"/>
                <w:spacing w:val="-10"/>
                <w:position w:val="19"/>
                <w:sz w:val="31"/>
                <w:szCs w:val="31"/>
              </w:rPr>
              <w:t xml:space="preserve"> </w:t>
            </w:r>
            <w:r>
              <w:rPr>
                <w:color w:val="FFFFFF"/>
                <w:spacing w:val="2"/>
                <w:position w:val="19"/>
                <w:sz w:val="31"/>
                <w:szCs w:val="31"/>
              </w:rPr>
              <w:t xml:space="preserve">/ </w:t>
            </w:r>
            <w:r>
              <w:rPr>
                <w:color w:val="FFFFFF"/>
                <w:position w:val="19"/>
                <w:sz w:val="31"/>
                <w:szCs w:val="31"/>
              </w:rPr>
              <w:t>CCAC</w:t>
            </w:r>
            <w:r>
              <w:rPr>
                <w:color w:val="FFFFFF"/>
                <w:spacing w:val="2"/>
                <w:position w:val="19"/>
                <w:sz w:val="31"/>
                <w:szCs w:val="31"/>
              </w:rPr>
              <w:t xml:space="preserve">: </w:t>
            </w:r>
            <w:r>
              <w:rPr>
                <w:color w:val="FFFFFF"/>
                <w:position w:val="19"/>
                <w:sz w:val="31"/>
                <w:szCs w:val="31"/>
              </w:rPr>
              <w:t>Global</w:t>
            </w:r>
            <w:r>
              <w:rPr>
                <w:color w:val="FFFFFF"/>
                <w:spacing w:val="2"/>
                <w:position w:val="19"/>
                <w:sz w:val="31"/>
                <w:szCs w:val="31"/>
              </w:rPr>
              <w:t xml:space="preserve"> </w:t>
            </w:r>
            <w:r>
              <w:rPr>
                <w:color w:val="FFFFFF"/>
                <w:position w:val="19"/>
                <w:sz w:val="31"/>
                <w:szCs w:val="31"/>
              </w:rPr>
              <w:t>Methane</w:t>
            </w:r>
            <w:r>
              <w:rPr>
                <w:color w:val="FFFFFF"/>
                <w:spacing w:val="2"/>
                <w:position w:val="19"/>
                <w:sz w:val="31"/>
                <w:szCs w:val="31"/>
              </w:rPr>
              <w:t xml:space="preserve"> </w:t>
            </w:r>
            <w:r>
              <w:rPr>
                <w:color w:val="FFFFFF"/>
                <w:position w:val="19"/>
                <w:sz w:val="31"/>
                <w:szCs w:val="31"/>
              </w:rPr>
              <w:t>Assessment</w:t>
            </w:r>
            <w:r>
              <w:rPr>
                <w:color w:val="FFFFFF"/>
                <w:spacing w:val="2"/>
                <w:position w:val="19"/>
                <w:sz w:val="31"/>
                <w:szCs w:val="31"/>
              </w:rPr>
              <w:t xml:space="preserve"> 2030: </w:t>
            </w:r>
            <w:r>
              <w:rPr>
                <w:color w:val="FFFFFF"/>
                <w:position w:val="19"/>
                <w:sz w:val="31"/>
                <w:szCs w:val="31"/>
              </w:rPr>
              <w:t>Baseline</w:t>
            </w:r>
            <w:r>
              <w:rPr>
                <w:color w:val="FFFFFF"/>
                <w:spacing w:val="2"/>
                <w:position w:val="19"/>
                <w:sz w:val="31"/>
                <w:szCs w:val="31"/>
              </w:rPr>
              <w:t xml:space="preserve"> </w:t>
            </w:r>
            <w:r>
              <w:rPr>
                <w:color w:val="FFFFFF"/>
                <w:position w:val="19"/>
                <w:sz w:val="31"/>
                <w:szCs w:val="31"/>
              </w:rPr>
              <w:t>Report</w:t>
            </w:r>
          </w:p>
          <w:p>
            <w:pPr>
              <w:pStyle w:val="TableText"/>
              <w:spacing w:before="1" w:line="192" w:lineRule="auto"/>
              <w:ind w:left="1374"/>
            </w:pPr>
            <w:r>
              <w:rPr>
                <w:color w:val="FFFFFF"/>
              </w:rPr>
              <w:t>Why</w:t>
            </w:r>
            <w:r>
              <w:rPr>
                <w:color w:val="FFFFFF"/>
                <w:spacing w:val="10"/>
              </w:rPr>
              <w:t xml:space="preserve"> </w:t>
            </w:r>
            <w:r>
              <w:rPr>
                <w:color w:val="FFFFFF"/>
              </w:rPr>
              <w:t>act</w:t>
            </w:r>
            <w:r>
              <w:rPr>
                <w:color w:val="FFFFFF"/>
                <w:spacing w:val="10"/>
              </w:rPr>
              <w:t xml:space="preserve"> </w:t>
            </w:r>
            <w:r>
              <w:rPr>
                <w:color w:val="FFFFFF"/>
              </w:rPr>
              <w:t>now</w:t>
            </w:r>
            <w:r>
              <w:rPr>
                <w:color w:val="FFFFFF"/>
                <w:spacing w:val="10"/>
              </w:rPr>
              <w:t xml:space="preserve">: </w:t>
            </w:r>
            <w:r>
              <w:rPr>
                <w:color w:val="FFFFFF"/>
              </w:rPr>
              <w:t>a</w:t>
            </w:r>
            <w:r>
              <w:rPr>
                <w:color w:val="FFFFFF"/>
                <w:spacing w:val="10"/>
              </w:rPr>
              <w:t xml:space="preserve"> </w:t>
            </w:r>
            <w:r>
              <w:rPr>
                <w:color w:val="FFFFFF"/>
              </w:rPr>
              <w:t>new</w:t>
            </w:r>
            <w:r>
              <w:rPr>
                <w:color w:val="FFFFFF"/>
                <w:spacing w:val="10"/>
              </w:rPr>
              <w:t xml:space="preserve"> </w:t>
            </w:r>
            <w:r>
              <w:rPr>
                <w:color w:val="FFFFFF"/>
              </w:rPr>
              <w:t>era</w:t>
            </w:r>
            <w:r>
              <w:rPr>
                <w:color w:val="FFFFFF"/>
                <w:spacing w:val="10"/>
              </w:rPr>
              <w:t xml:space="preserve"> </w:t>
            </w:r>
            <w:r>
              <w:rPr>
                <w:color w:val="FFFFFF"/>
              </w:rPr>
              <w:t>for</w:t>
            </w:r>
            <w:r>
              <w:rPr>
                <w:color w:val="FFFFFF"/>
                <w:spacing w:val="18"/>
              </w:rPr>
              <w:t xml:space="preserve"> </w:t>
            </w:r>
            <w:r>
              <w:rPr>
                <w:color w:val="FFFFFF"/>
              </w:rPr>
              <w:t>accelerated</w:t>
            </w:r>
            <w:r>
              <w:rPr>
                <w:color w:val="FFFFFF"/>
                <w:spacing w:val="10"/>
              </w:rPr>
              <w:t xml:space="preserve"> </w:t>
            </w:r>
            <w:r>
              <w:rPr>
                <w:color w:val="FFFFFF"/>
              </w:rPr>
              <w:t>implementation</w:t>
            </w:r>
          </w:p>
          <w:p>
            <w:pPr>
              <w:spacing w:line="315" w:lineRule="auto"/>
              <w:rPr>
                <w:rFonts w:ascii="Arial"/>
                <w:sz w:val="21"/>
              </w:rPr>
            </w:pPr>
          </w:p>
          <w:p>
            <w:pPr>
              <w:spacing w:line="316" w:lineRule="auto"/>
              <w:rPr>
                <w:rFonts w:ascii="Arial"/>
                <w:sz w:val="21"/>
              </w:rPr>
            </w:pPr>
          </w:p>
          <w:p>
            <w:pPr>
              <w:spacing w:line="16" w:lineRule="exact"/>
              <w:ind w:left="4113"/>
            </w:pPr>
            <w:r>
              <w:drawing>
                <wp:inline distT="0" distB="0" distL="0" distR="0">
                  <wp:extent cx="1488821" cy="1015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488821" cy="10159"/>
                          </a:xfrm>
                          <a:prstGeom prst="rect">
                            <a:avLst/>
                          </a:prstGeom>
                        </pic:spPr>
                      </pic:pic>
                    </a:graphicData>
                  </a:graphic>
                </wp:inline>
              </w:drawing>
            </w:r>
          </w:p>
        </w:tc>
      </w:tr>
    </w:tbl>
    <w:p>
      <w:pPr>
        <w:sectPr>
          <w:headerReference w:type="default" r:id="rId5"/>
          <w:pgSz w:w="11905" w:h="16839"/>
          <w:pgMar w:top="400" w:right="0" w:bottom="0" w:left="0" w:header="0" w:footer="0" w:gutter="0"/>
          <w:cols w:space="708"/>
        </w:sectPr>
      </w:pPr>
    </w:p>
    <w:tbl>
      <w:tblPr>
        <w:tblStyle w:val="TableNormal0"/>
        <w:tblW w:w="10401" w:type="dxa"/>
        <w:tblInd w:w="752" w:type="dxa"/>
        <w:tblBorders>
          <w:top w:val="single" w:sz="12" w:space="0" w:color="172C51"/>
          <w:left w:val="single" w:sz="12" w:space="0" w:color="172C51"/>
          <w:bottom w:val="single" w:sz="12" w:space="0" w:color="172C51"/>
          <w:right w:val="single" w:sz="12" w:space="0" w:color="172C51"/>
          <w:insideH w:val="single" w:sz="12" w:space="0" w:color="172C51"/>
          <w:insideV w:val="single" w:sz="12" w:space="0" w:color="172C51"/>
        </w:tblBorders>
        <w:tblLayout w:type="fixed"/>
      </w:tblPr>
      <w:tblGrid>
        <w:gridCol w:w="10401"/>
      </w:tblGrid>
      <w:tr>
        <w:tblPrEx>
          <w:tblW w:w="10401" w:type="dxa"/>
          <w:tblInd w:w="752" w:type="dxa"/>
          <w:tblBorders>
            <w:top w:val="single" w:sz="12" w:space="0" w:color="172C51"/>
            <w:left w:val="single" w:sz="12" w:space="0" w:color="172C51"/>
            <w:bottom w:val="single" w:sz="12" w:space="0" w:color="172C51"/>
            <w:right w:val="single" w:sz="12" w:space="0" w:color="172C51"/>
            <w:insideH w:val="single" w:sz="12" w:space="0" w:color="172C51"/>
            <w:insideV w:val="single" w:sz="12" w:space="0" w:color="172C51"/>
          </w:tblBorders>
          <w:tblLayout w:type="fixed"/>
        </w:tblPrEx>
        <w:trPr>
          <w:trHeight w:val="6966"/>
        </w:trPr>
        <w:tc>
          <w:tcPr>
            <w:tcW w:w="10401" w:type="dxa"/>
            <w:tcBorders>
              <w:top w:val="single" w:sz="8" w:space="0" w:color="172C51"/>
            </w:tcBorders>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6"/>
          <w:type w:val="nextPage"/>
          <w:pgSz w:w="11905" w:h="16839"/>
          <w:pgMar w:top="400" w:right="0" w:bottom="0" w:left="0" w:header="0" w:footer="0" w:gutter="0"/>
          <w:pgNumType w:start="2"/>
          <w:cols w:space="708"/>
          <w:titlePg w:val="0"/>
        </w:sect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1287" w:lineRule="exact"/>
        <w:ind w:firstLine="2924"/>
      </w:pPr>
      <w:r>
        <w:rPr>
          <w:position w:val="-25"/>
        </w:rPr>
        <w:drawing>
          <wp:inline distT="0" distB="0" distL="0" distR="0">
            <wp:extent cx="1603804" cy="81724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1603804" cy="817244"/>
                    </a:xfrm>
                    <a:prstGeom prst="rect">
                      <a:avLst/>
                    </a:prstGeom>
                  </pic:spPr>
                </pic:pic>
              </a:graphicData>
            </a:graphic>
          </wp:inline>
        </w:drawing>
      </w:r>
    </w:p>
    <w:p>
      <w:pPr>
        <w:spacing w:line="415" w:lineRule="auto"/>
        <w:rPr>
          <w:rFonts w:ascii="Arial"/>
          <w:sz w:val="21"/>
        </w:rPr>
      </w:pPr>
    </w:p>
    <w:p>
      <w:pPr>
        <w:pStyle w:val="BodyText"/>
        <w:spacing w:before="78" w:line="359" w:lineRule="auto"/>
        <w:ind w:left="8" w:right="4" w:firstLine="466"/>
        <w:jc w:val="both"/>
        <w:rPr>
          <w:rFonts w:ascii="SimSun" w:eastAsia="SimSun" w:hAnsi="SimSun" w:cs="SimSun"/>
        </w:rPr>
      </w:pPr>
      <w:r>
        <w:rPr>
          <w:rFonts w:ascii="SimSun" w:eastAsia="SimSun" w:hAnsi="SimSun" w:cs="SimSun"/>
          <w:spacing w:val="-1"/>
          <w14:textOutline w14:w="4354">
            <w14:solidFill>
              <w14:srgbClr w14:val="000000"/>
            </w14:solidFill>
            <w14:prstDash w14:val="solid"/>
            <w14:miter w14:lim="10"/>
          </w14:textOutline>
        </w:rPr>
        <w:t>“</w:t>
      </w:r>
      <w:r>
        <w:rPr>
          <w:b/>
          <w:bCs/>
          <w:spacing w:val="-1"/>
        </w:rPr>
        <w:t>CCAPP</w:t>
      </w:r>
      <w:r>
        <w:rPr>
          <w:b/>
          <w:bCs/>
          <w:spacing w:val="44"/>
          <w:w w:val="101"/>
        </w:rPr>
        <w:t xml:space="preserve"> </w:t>
      </w:r>
      <w:r>
        <w:rPr>
          <w:rFonts w:ascii="SimSun" w:eastAsia="SimSun" w:hAnsi="SimSun" w:cs="SimSun"/>
          <w:spacing w:val="-1"/>
          <w14:textOutline w14:w="4354">
            <w14:solidFill>
              <w14:srgbClr w14:val="000000"/>
            </w14:solidFill>
            <w14:prstDash w14:val="solid"/>
            <w14:miter w14:lim="10"/>
          </w14:textOutline>
        </w:rPr>
        <w:t>经验分享</w:t>
      </w:r>
      <w:r>
        <w:rPr>
          <w:rFonts w:ascii="SimSun" w:eastAsia="SimSun" w:hAnsi="SimSun" w:cs="SimSun"/>
          <w:spacing w:val="-85"/>
        </w:rPr>
        <w:t xml:space="preserve"> </w:t>
      </w:r>
      <w:r>
        <w:rPr>
          <w:rFonts w:ascii="SimSun" w:eastAsia="SimSun" w:hAnsi="SimSun" w:cs="SimSun"/>
          <w:spacing w:val="-1"/>
          <w14:textOutline w14:w="4354">
            <w14:solidFill>
              <w14:srgbClr w14:val="000000"/>
            </w14:solidFill>
            <w14:prstDash w14:val="solid"/>
            <w14:miter w14:lim="10"/>
          </w14:textOutline>
        </w:rPr>
        <w:t>”项目（</w:t>
      </w:r>
      <w:r>
        <w:rPr>
          <w:b/>
          <w:bCs/>
          <w:spacing w:val="-1"/>
        </w:rPr>
        <w:t>CCAPP</w:t>
      </w:r>
      <w:r>
        <w:rPr>
          <w:b/>
          <w:bCs/>
          <w:spacing w:val="35"/>
          <w:w w:val="101"/>
        </w:rPr>
        <w:t xml:space="preserve"> </w:t>
      </w:r>
      <w:r>
        <w:rPr>
          <w:b/>
          <w:bCs/>
          <w:spacing w:val="-1"/>
        </w:rPr>
        <w:t>Volunteer</w:t>
      </w:r>
      <w:r>
        <w:rPr>
          <w:b/>
          <w:bCs/>
          <w:spacing w:val="38"/>
          <w:w w:val="101"/>
        </w:rPr>
        <w:t xml:space="preserve"> </w:t>
      </w:r>
      <w:r>
        <w:rPr>
          <w:b/>
          <w:bCs/>
          <w:spacing w:val="-1"/>
        </w:rPr>
        <w:t>Program</w:t>
      </w:r>
      <w:r>
        <w:rPr>
          <w:b/>
          <w:bCs/>
          <w:spacing w:val="42"/>
        </w:rPr>
        <w:t xml:space="preserve"> </w:t>
      </w:r>
      <w:r>
        <w:rPr>
          <w:b/>
          <w:bCs/>
          <w:spacing w:val="-1"/>
        </w:rPr>
        <w:t>for</w:t>
      </w:r>
      <w:r>
        <w:rPr>
          <w:b/>
          <w:bCs/>
          <w:spacing w:val="43"/>
          <w:w w:val="101"/>
        </w:rPr>
        <w:t xml:space="preserve"> </w:t>
      </w:r>
      <w:r>
        <w:rPr>
          <w:b/>
          <w:bCs/>
          <w:spacing w:val="-1"/>
        </w:rPr>
        <w:t>Clean</w:t>
      </w:r>
      <w:r>
        <w:rPr>
          <w:b/>
          <w:bCs/>
          <w:spacing w:val="38"/>
          <w:w w:val="101"/>
        </w:rPr>
        <w:t xml:space="preserve"> </w:t>
      </w:r>
      <w:r>
        <w:rPr>
          <w:b/>
          <w:bCs/>
          <w:spacing w:val="-2"/>
        </w:rPr>
        <w:t>Air</w:t>
      </w:r>
      <w:r>
        <w:rPr>
          <w:rFonts w:ascii="SimSun" w:eastAsia="SimSun" w:hAnsi="SimSun" w:cs="SimSun"/>
          <w:spacing w:val="-2"/>
          <w14:textOutline w14:w="4354">
            <w14:solidFill>
              <w14:srgbClr w14:val="000000"/>
            </w14:solidFill>
            <w14:prstDash w14:val="solid"/>
            <w14:miter w14:lim="10"/>
          </w14:textOutline>
        </w:rPr>
        <w:t>）</w:t>
      </w:r>
      <w:r>
        <w:rPr>
          <w:rFonts w:ascii="SimSun" w:eastAsia="SimSun" w:hAnsi="SimSun" w:cs="SimSun"/>
          <w:spacing w:val="-2"/>
        </w:rPr>
        <w:t>由</w:t>
      </w:r>
      <w:r>
        <w:rPr>
          <w:rFonts w:ascii="SimSun" w:eastAsia="SimSun" w:hAnsi="SimSun" w:cs="SimSun"/>
        </w:rPr>
        <w:t xml:space="preserve"> </w:t>
      </w:r>
      <w:r>
        <w:rPr>
          <w:rFonts w:ascii="SimSun" w:eastAsia="SimSun" w:hAnsi="SimSun" w:cs="SimSun"/>
          <w:spacing w:val="3"/>
        </w:rPr>
        <w:t>中国清洁空气政策伙伴关系秘书处发起，该项目旨在组织梳理和解读大气污染治</w:t>
      </w:r>
      <w:r>
        <w:rPr>
          <w:rFonts w:ascii="SimSun" w:eastAsia="SimSun" w:hAnsi="SimSun" w:cs="SimSun"/>
          <w:spacing w:val="2"/>
        </w:rPr>
        <w:t xml:space="preserve"> </w:t>
      </w:r>
      <w:r>
        <w:rPr>
          <w:rFonts w:ascii="SimSun" w:eastAsia="SimSun" w:hAnsi="SimSun" w:cs="SimSun"/>
          <w:spacing w:val="3"/>
        </w:rPr>
        <w:t>理、气候变化应对与人类健康和社会经济相关的政策报告，以及国内国际气候变</w:t>
      </w:r>
      <w:r>
        <w:rPr>
          <w:rFonts w:ascii="SimSun" w:eastAsia="SimSun" w:hAnsi="SimSun" w:cs="SimSun"/>
          <w:spacing w:val="2"/>
        </w:rPr>
        <w:t xml:space="preserve"> </w:t>
      </w:r>
      <w:r>
        <w:rPr>
          <w:rFonts w:ascii="SimSun" w:eastAsia="SimSun" w:hAnsi="SimSun" w:cs="SimSun"/>
          <w:spacing w:val="3"/>
        </w:rPr>
        <w:t>化应对、生态治理、绿色金融、企业及社会可持续发展等经验，以增强公众、政</w:t>
      </w:r>
      <w:r>
        <w:rPr>
          <w:rFonts w:ascii="SimSun" w:eastAsia="SimSun" w:hAnsi="SimSun" w:cs="SimSun"/>
          <w:spacing w:val="9"/>
        </w:rPr>
        <w:t xml:space="preserve"> </w:t>
      </w:r>
      <w:r>
        <w:rPr>
          <w:rFonts w:ascii="SimSun" w:eastAsia="SimSun" w:hAnsi="SimSun" w:cs="SimSun"/>
          <w:spacing w:val="3"/>
        </w:rPr>
        <w:t>府和不同利益相关者对国内外先进经验与成果的关注与了解。本中文翻译为该项</w:t>
      </w:r>
    </w:p>
    <w:p>
      <w:pPr>
        <w:spacing w:line="219" w:lineRule="auto"/>
        <w:ind w:left="55"/>
        <w:rPr>
          <w:rFonts w:ascii="SimSun" w:eastAsia="SimSun" w:hAnsi="SimSun" w:cs="SimSun"/>
          <w:sz w:val="24"/>
          <w:szCs w:val="24"/>
        </w:rPr>
      </w:pPr>
      <w:r>
        <w:rPr>
          <w:rFonts w:ascii="SimSun" w:eastAsia="SimSun" w:hAnsi="SimSun" w:cs="SimSun"/>
          <w:spacing w:val="-10"/>
          <w:sz w:val="24"/>
          <w:szCs w:val="24"/>
        </w:rPr>
        <w:t>目产出之一。</w:t>
      </w:r>
    </w:p>
    <w:p>
      <w:pPr>
        <w:spacing w:line="338" w:lineRule="auto"/>
        <w:rPr>
          <w:rFonts w:ascii="Arial"/>
          <w:sz w:val="21"/>
        </w:rPr>
      </w:pPr>
    </w:p>
    <w:p>
      <w:pPr>
        <w:spacing w:line="338" w:lineRule="auto"/>
        <w:rPr>
          <w:rFonts w:ascii="Arial"/>
          <w:sz w:val="21"/>
        </w:rPr>
      </w:pPr>
    </w:p>
    <w:p>
      <w:pPr>
        <w:pStyle w:val="BodyText"/>
        <w:spacing w:before="78" w:line="212" w:lineRule="auto"/>
        <w:ind w:right="6"/>
        <w:jc w:val="right"/>
        <w:rPr>
          <w:rFonts w:ascii="SimSun" w:eastAsia="SimSun" w:hAnsi="SimSun" w:cs="SimSun"/>
        </w:rPr>
      </w:pPr>
      <w:r>
        <w:rPr>
          <w:rFonts w:ascii="SimSun" w:eastAsia="SimSun" w:hAnsi="SimSun" w:cs="SimSun"/>
          <w:spacing w:val="-1"/>
          <w14:textOutline w14:w="4354">
            <w14:solidFill>
              <w14:srgbClr w14:val="000000"/>
            </w14:solidFill>
            <w14:prstDash w14:val="solid"/>
            <w14:miter w14:lim="10"/>
          </w14:textOutline>
        </w:rPr>
        <w:t>中国清洁空气政策伙伴关系（</w:t>
      </w:r>
      <w:r>
        <w:rPr>
          <w:b/>
          <w:bCs/>
          <w:spacing w:val="-1"/>
        </w:rPr>
        <w:t>China</w:t>
      </w:r>
      <w:r>
        <w:rPr>
          <w:b/>
          <w:bCs/>
          <w:spacing w:val="24"/>
        </w:rPr>
        <w:t xml:space="preserve"> </w:t>
      </w:r>
      <w:r>
        <w:rPr>
          <w:b/>
          <w:bCs/>
          <w:spacing w:val="-1"/>
        </w:rPr>
        <w:t>Clean</w:t>
      </w:r>
      <w:r>
        <w:rPr>
          <w:b/>
          <w:bCs/>
          <w:spacing w:val="16"/>
          <w:w w:val="101"/>
        </w:rPr>
        <w:t xml:space="preserve"> </w:t>
      </w:r>
      <w:r>
        <w:rPr>
          <w:b/>
          <w:bCs/>
          <w:spacing w:val="-1"/>
        </w:rPr>
        <w:t>Air</w:t>
      </w:r>
      <w:r>
        <w:rPr>
          <w:b/>
          <w:bCs/>
          <w:spacing w:val="17"/>
        </w:rPr>
        <w:t xml:space="preserve"> </w:t>
      </w:r>
      <w:r>
        <w:rPr>
          <w:b/>
          <w:bCs/>
          <w:spacing w:val="-1"/>
        </w:rPr>
        <w:t>Policy</w:t>
      </w:r>
      <w:r>
        <w:rPr>
          <w:b/>
          <w:bCs/>
          <w:spacing w:val="19"/>
          <w:w w:val="101"/>
        </w:rPr>
        <w:t xml:space="preserve"> </w:t>
      </w:r>
      <w:r>
        <w:rPr>
          <w:b/>
          <w:bCs/>
          <w:spacing w:val="-1"/>
        </w:rPr>
        <w:t>Partnership,</w:t>
      </w:r>
      <w:r>
        <w:rPr>
          <w:b/>
          <w:bCs/>
          <w:spacing w:val="24"/>
        </w:rPr>
        <w:t xml:space="preserve"> </w:t>
      </w:r>
      <w:r>
        <w:rPr>
          <w:b/>
          <w:bCs/>
          <w:spacing w:val="-1"/>
        </w:rPr>
        <w:t>CCA</w:t>
      </w:r>
      <w:r>
        <w:rPr>
          <w:b/>
          <w:bCs/>
          <w:spacing w:val="-2"/>
        </w:rPr>
        <w:t>PP</w:t>
      </w:r>
      <w:r>
        <w:rPr>
          <w:rFonts w:ascii="SimSun" w:eastAsia="SimSun" w:hAnsi="SimSun" w:cs="SimSun"/>
          <w:spacing w:val="-2"/>
          <w14:textOutline w14:w="4354">
            <w14:solidFill>
              <w14:srgbClr w14:val="000000"/>
            </w14:solidFill>
            <w14:prstDash w14:val="solid"/>
            <w14:miter w14:lim="10"/>
          </w14:textOutline>
        </w:rPr>
        <w:t>）</w:t>
      </w:r>
    </w:p>
    <w:p>
      <w:pPr>
        <w:spacing w:before="190" w:line="465" w:lineRule="exact"/>
        <w:ind w:left="13"/>
        <w:rPr>
          <w:rFonts w:ascii="SimSun" w:eastAsia="SimSun" w:hAnsi="SimSun" w:cs="SimSun"/>
          <w:sz w:val="24"/>
          <w:szCs w:val="24"/>
        </w:rPr>
      </w:pPr>
      <w:r>
        <w:rPr>
          <w:rFonts w:ascii="SimSun" w:eastAsia="SimSun" w:hAnsi="SimSun" w:cs="SimSun"/>
          <w:spacing w:val="3"/>
          <w:position w:val="17"/>
          <w:sz w:val="24"/>
          <w:szCs w:val="24"/>
        </w:rPr>
        <w:t>是由能源基金会资助，清华大学、北京大学、生态环境部环境规划院、中国环境</w:t>
      </w:r>
    </w:p>
    <w:p>
      <w:pPr>
        <w:spacing w:before="1" w:line="218" w:lineRule="auto"/>
        <w:ind w:left="9"/>
        <w:rPr>
          <w:rFonts w:ascii="SimSun" w:eastAsia="SimSun" w:hAnsi="SimSun" w:cs="SimSun"/>
          <w:sz w:val="24"/>
          <w:szCs w:val="24"/>
        </w:rPr>
      </w:pPr>
      <w:r>
        <w:rPr>
          <w:rFonts w:ascii="SimSun" w:eastAsia="SimSun" w:hAnsi="SimSun" w:cs="SimSun"/>
          <w:spacing w:val="-2"/>
          <w:sz w:val="24"/>
          <w:szCs w:val="24"/>
        </w:rPr>
        <w:t>科学研究院等十多家国内学术机构和事业单位共同发起成立</w:t>
      </w:r>
      <w:r>
        <w:rPr>
          <w:rFonts w:ascii="SimSun" w:eastAsia="SimSun" w:hAnsi="SimSun" w:cs="SimSun"/>
          <w:spacing w:val="-3"/>
          <w:sz w:val="24"/>
          <w:szCs w:val="24"/>
        </w:rPr>
        <w:t>，旨在：</w:t>
      </w:r>
    </w:p>
    <w:p>
      <w:pPr>
        <w:pStyle w:val="BodyText"/>
        <w:spacing w:before="265" w:line="219" w:lineRule="auto"/>
        <w:ind w:left="33"/>
        <w:rPr>
          <w:rFonts w:ascii="SimSun" w:eastAsia="SimSun" w:hAnsi="SimSun" w:cs="SimSun"/>
        </w:rPr>
      </w:pPr>
      <w:r>
        <w:rPr>
          <w:spacing w:val="4"/>
        </w:rPr>
        <w:t xml:space="preserve">-   </w:t>
      </w:r>
      <w:r>
        <w:rPr>
          <w:rFonts w:ascii="SimSun" w:eastAsia="SimSun" w:hAnsi="SimSun" w:cs="SimSun"/>
          <w:spacing w:val="4"/>
        </w:rPr>
        <w:t>提供跨部门、跨行业、跨机构、跨地域的交流平台；</w:t>
      </w:r>
    </w:p>
    <w:p>
      <w:pPr>
        <w:pStyle w:val="BodyText"/>
        <w:spacing w:before="263" w:line="219" w:lineRule="auto"/>
        <w:ind w:left="33"/>
        <w:rPr>
          <w:rFonts w:ascii="SimSun" w:eastAsia="SimSun" w:hAnsi="SimSun" w:cs="SimSun"/>
        </w:rPr>
      </w:pPr>
      <w:r>
        <w:rPr>
          <w:spacing w:val="4"/>
        </w:rPr>
        <w:t xml:space="preserve">-   </w:t>
      </w:r>
      <w:r>
        <w:rPr>
          <w:rFonts w:ascii="SimSun" w:eastAsia="SimSun" w:hAnsi="SimSun" w:cs="SimSun"/>
          <w:spacing w:val="4"/>
        </w:rPr>
        <w:t>总结、宣传与推广国际、国内和地方先进经验；</w:t>
      </w:r>
    </w:p>
    <w:p>
      <w:pPr>
        <w:pStyle w:val="BodyText"/>
        <w:spacing w:before="265" w:line="220" w:lineRule="auto"/>
        <w:ind w:left="33"/>
        <w:rPr>
          <w:rFonts w:ascii="SimSun" w:eastAsia="SimSun" w:hAnsi="SimSun" w:cs="SimSun"/>
        </w:rPr>
      </w:pPr>
      <w:r>
        <w:rPr>
          <w:spacing w:val="5"/>
        </w:rPr>
        <w:t xml:space="preserve">-   </w:t>
      </w:r>
      <w:r>
        <w:rPr>
          <w:rFonts w:ascii="SimSun" w:eastAsia="SimSun" w:hAnsi="SimSun" w:cs="SimSun"/>
          <w:spacing w:val="5"/>
        </w:rPr>
        <w:t>分享清洁空气领域的相关管理和政策信息，推动清洁空气政策落地实施；</w:t>
      </w:r>
    </w:p>
    <w:p>
      <w:pPr>
        <w:pStyle w:val="BodyText"/>
        <w:spacing w:before="261" w:line="289" w:lineRule="auto"/>
        <w:ind w:left="46" w:right="17" w:hanging="13"/>
        <w:rPr>
          <w:rFonts w:ascii="SimSun" w:eastAsia="SimSun" w:hAnsi="SimSun" w:cs="SimSun"/>
        </w:rPr>
      </w:pPr>
      <w:r>
        <w:rPr>
          <w:spacing w:val="8"/>
        </w:rPr>
        <w:t xml:space="preserve">-   </w:t>
      </w:r>
      <w:r>
        <w:rPr>
          <w:rFonts w:ascii="SimSun" w:eastAsia="SimSun" w:hAnsi="SimSun" w:cs="SimSun"/>
          <w:spacing w:val="8"/>
        </w:rPr>
        <w:t>实现“寻求空气质量改善与温室气体减排的协同路径，持续改善中国空气质</w:t>
      </w:r>
      <w:r>
        <w:rPr>
          <w:rFonts w:ascii="SimSun" w:eastAsia="SimSun" w:hAnsi="SimSun" w:cs="SimSun"/>
          <w:spacing w:val="2"/>
        </w:rPr>
        <w:t xml:space="preserve"> </w:t>
      </w:r>
      <w:r>
        <w:rPr>
          <w:rFonts w:ascii="SimSun" w:eastAsia="SimSun" w:hAnsi="SimSun" w:cs="SimSun"/>
          <w:spacing w:val="-2"/>
        </w:rPr>
        <w:t>量，保护公众健康，</w:t>
      </w:r>
      <w:r>
        <w:rPr>
          <w:rFonts w:ascii="SimSun" w:eastAsia="SimSun" w:hAnsi="SimSun" w:cs="SimSun"/>
          <w:spacing w:val="67"/>
        </w:rPr>
        <w:t xml:space="preserve"> </w:t>
      </w:r>
      <w:r>
        <w:rPr>
          <w:rFonts w:ascii="SimSun" w:eastAsia="SimSun" w:hAnsi="SimSun" w:cs="SimSun"/>
          <w:spacing w:val="-2"/>
        </w:rPr>
        <w:t>共同创造世界级的洁净空气</w:t>
      </w:r>
      <w:r>
        <w:rPr>
          <w:rFonts w:ascii="SimSun" w:eastAsia="SimSun" w:hAnsi="SimSun" w:cs="SimSun"/>
          <w:spacing w:val="-80"/>
        </w:rPr>
        <w:t xml:space="preserve"> </w:t>
      </w:r>
      <w:r>
        <w:rPr>
          <w:rFonts w:ascii="SimSun" w:eastAsia="SimSun" w:hAnsi="SimSun" w:cs="SimSun"/>
          <w:spacing w:val="-2"/>
        </w:rPr>
        <w:t>”的美好愿景。</w:t>
      </w:r>
    </w:p>
    <w:p>
      <w:pPr>
        <w:spacing w:line="297" w:lineRule="auto"/>
        <w:rPr>
          <w:rFonts w:ascii="Arial"/>
          <w:sz w:val="21"/>
        </w:rPr>
      </w:pPr>
    </w:p>
    <w:p>
      <w:pPr>
        <w:spacing w:line="298" w:lineRule="auto"/>
        <w:rPr>
          <w:rFonts w:ascii="Arial"/>
          <w:sz w:val="21"/>
        </w:rPr>
      </w:pPr>
    </w:p>
    <w:p>
      <w:pPr>
        <w:pStyle w:val="BodyText"/>
        <w:spacing w:before="78" w:line="489" w:lineRule="exact"/>
        <w:jc w:val="right"/>
      </w:pPr>
      <w:r>
        <w:rPr>
          <w:rFonts w:ascii="SimSun" w:eastAsia="SimSun" w:hAnsi="SimSun" w:cs="SimSun"/>
          <w:spacing w:val="-4"/>
          <w:position w:val="19"/>
          <w14:textOutline w14:w="4354">
            <w14:solidFill>
              <w14:srgbClr w14:val="000000"/>
            </w14:solidFill>
            <w14:prstDash w14:val="solid"/>
            <w14:miter w14:lim="10"/>
          </w14:textOutline>
        </w:rPr>
        <w:t>原《报</w:t>
      </w:r>
      <w:r>
        <w:rPr>
          <w:rFonts w:ascii="SimSun" w:eastAsia="SimSun" w:hAnsi="SimSun" w:cs="SimSun"/>
          <w:spacing w:val="-3"/>
          <w:position w:val="19"/>
          <w14:textOutline w14:w="4354">
            <w14:solidFill>
              <w14:srgbClr w14:val="000000"/>
            </w14:solidFill>
            <w14:prstDash w14:val="solid"/>
            <w14:miter w14:lim="10"/>
          </w14:textOutline>
        </w:rPr>
        <w:t>告》名称：</w:t>
      </w:r>
      <w:r>
        <w:rPr>
          <w:spacing w:val="-3"/>
          <w:position w:val="19"/>
        </w:rPr>
        <w:t>Global</w:t>
      </w:r>
      <w:r>
        <w:rPr>
          <w:spacing w:val="21"/>
          <w:position w:val="19"/>
        </w:rPr>
        <w:t xml:space="preserve"> </w:t>
      </w:r>
      <w:r>
        <w:rPr>
          <w:spacing w:val="-3"/>
          <w:position w:val="19"/>
        </w:rPr>
        <w:t>Methan</w:t>
      </w:r>
      <w:r>
        <w:rPr>
          <w:spacing w:val="-4"/>
          <w:position w:val="19"/>
        </w:rPr>
        <w:t>e</w:t>
      </w:r>
      <w:r>
        <w:rPr>
          <w:spacing w:val="20"/>
          <w:position w:val="19"/>
        </w:rPr>
        <w:t xml:space="preserve"> </w:t>
      </w:r>
      <w:r>
        <w:rPr>
          <w:spacing w:val="-4"/>
          <w:position w:val="19"/>
        </w:rPr>
        <w:t>Assessment</w:t>
      </w:r>
      <w:r>
        <w:rPr>
          <w:spacing w:val="25"/>
          <w:w w:val="101"/>
          <w:position w:val="19"/>
        </w:rPr>
        <w:t xml:space="preserve"> </w:t>
      </w:r>
      <w:r>
        <w:rPr>
          <w:spacing w:val="-4"/>
          <w:position w:val="19"/>
        </w:rPr>
        <w:t>2030:</w:t>
      </w:r>
      <w:r>
        <w:rPr>
          <w:spacing w:val="21"/>
          <w:position w:val="19"/>
        </w:rPr>
        <w:t xml:space="preserve"> </w:t>
      </w:r>
      <w:r>
        <w:rPr>
          <w:spacing w:val="-4"/>
          <w:position w:val="19"/>
        </w:rPr>
        <w:t>Baseline</w:t>
      </w:r>
      <w:r>
        <w:rPr>
          <w:spacing w:val="22"/>
          <w:position w:val="19"/>
        </w:rPr>
        <w:t xml:space="preserve"> </w:t>
      </w:r>
      <w:r>
        <w:rPr>
          <w:spacing w:val="-4"/>
          <w:position w:val="19"/>
        </w:rPr>
        <w:t>Report,</w:t>
      </w:r>
      <w:r>
        <w:rPr>
          <w:spacing w:val="22"/>
          <w:position w:val="19"/>
        </w:rPr>
        <w:t xml:space="preserve"> </w:t>
      </w:r>
      <w:r>
        <w:rPr>
          <w:spacing w:val="-4"/>
          <w:position w:val="19"/>
        </w:rPr>
        <w:t>Why</w:t>
      </w:r>
      <w:r>
        <w:rPr>
          <w:spacing w:val="28"/>
          <w:position w:val="19"/>
        </w:rPr>
        <w:t xml:space="preserve"> </w:t>
      </w:r>
      <w:r>
        <w:rPr>
          <w:spacing w:val="-4"/>
          <w:position w:val="19"/>
        </w:rPr>
        <w:t>act</w:t>
      </w:r>
      <w:r>
        <w:rPr>
          <w:spacing w:val="20"/>
          <w:w w:val="101"/>
          <w:position w:val="19"/>
        </w:rPr>
        <w:t xml:space="preserve"> </w:t>
      </w:r>
      <w:r>
        <w:rPr>
          <w:spacing w:val="-4"/>
          <w:position w:val="19"/>
        </w:rPr>
        <w:t>now:</w:t>
      </w:r>
      <w:r>
        <w:rPr>
          <w:spacing w:val="28"/>
          <w:position w:val="19"/>
        </w:rPr>
        <w:t xml:space="preserve"> </w:t>
      </w:r>
      <w:r>
        <w:rPr>
          <w:spacing w:val="-1"/>
          <w:position w:val="19"/>
        </w:rPr>
        <w:t>a</w:t>
      </w:r>
    </w:p>
    <w:p>
      <w:pPr>
        <w:pStyle w:val="BodyText"/>
        <w:spacing w:line="190" w:lineRule="auto"/>
        <w:ind w:left="30"/>
      </w:pPr>
      <w:r>
        <w:rPr>
          <w:spacing w:val="-2"/>
        </w:rPr>
        <w:t xml:space="preserve">newera for accelerated </w:t>
      </w:r>
      <w:r>
        <w:rPr>
          <w:spacing w:val="-3"/>
        </w:rPr>
        <w:t>implementation</w:t>
      </w:r>
    </w:p>
    <w:p>
      <w:pPr>
        <w:pStyle w:val="BodyText"/>
        <w:spacing w:before="255" w:line="490" w:lineRule="exact"/>
        <w:ind w:right="1"/>
        <w:jc w:val="right"/>
      </w:pPr>
      <w:r>
        <w:rPr>
          <w:rFonts w:ascii="SimSun" w:eastAsia="SimSun" w:hAnsi="SimSun" w:cs="SimSun"/>
          <w:spacing w:val="-7"/>
          <w:position w:val="19"/>
          <w14:textOutline w14:w="4354">
            <w14:solidFill>
              <w14:srgbClr w14:val="000000"/>
            </w14:solidFill>
            <w14:prstDash w14:val="solid"/>
            <w14:miter w14:lim="10"/>
          </w14:textOutline>
        </w:rPr>
        <w:t>原《报告》发</w:t>
      </w:r>
      <w:r>
        <w:rPr>
          <w:rFonts w:ascii="SimSun" w:eastAsia="SimSun" w:hAnsi="SimSun" w:cs="SimSun"/>
          <w:spacing w:val="-6"/>
          <w:position w:val="19"/>
          <w14:textOutline w14:w="4354">
            <w14:solidFill>
              <w14:srgbClr w14:val="000000"/>
            </w14:solidFill>
            <w14:prstDash w14:val="solid"/>
            <w14:miter w14:lim="10"/>
          </w14:textOutline>
        </w:rPr>
        <w:t>布机构：</w:t>
      </w:r>
      <w:r>
        <w:rPr>
          <w:rFonts w:ascii="SimSun" w:eastAsia="SimSun" w:hAnsi="SimSun" w:cs="SimSun"/>
          <w:spacing w:val="64"/>
          <w:position w:val="19"/>
        </w:rPr>
        <w:t xml:space="preserve"> </w:t>
      </w:r>
      <w:r>
        <w:rPr>
          <w:spacing w:val="-6"/>
          <w:position w:val="19"/>
        </w:rPr>
        <w:t>Climate</w:t>
      </w:r>
      <w:r>
        <w:rPr>
          <w:spacing w:val="39"/>
          <w:w w:val="101"/>
          <w:position w:val="19"/>
        </w:rPr>
        <w:t xml:space="preserve"> </w:t>
      </w:r>
      <w:r>
        <w:rPr>
          <w:spacing w:val="-6"/>
          <w:position w:val="19"/>
        </w:rPr>
        <w:t>and</w:t>
      </w:r>
      <w:r>
        <w:rPr>
          <w:spacing w:val="39"/>
          <w:position w:val="19"/>
        </w:rPr>
        <w:t xml:space="preserve"> </w:t>
      </w:r>
      <w:r>
        <w:rPr>
          <w:spacing w:val="-6"/>
          <w:position w:val="19"/>
        </w:rPr>
        <w:t>Clean</w:t>
      </w:r>
      <w:r>
        <w:rPr>
          <w:spacing w:val="33"/>
          <w:position w:val="19"/>
        </w:rPr>
        <w:t xml:space="preserve"> </w:t>
      </w:r>
      <w:r>
        <w:rPr>
          <w:spacing w:val="-6"/>
          <w:position w:val="19"/>
        </w:rPr>
        <w:t>Air</w:t>
      </w:r>
      <w:r>
        <w:rPr>
          <w:spacing w:val="37"/>
          <w:position w:val="19"/>
        </w:rPr>
        <w:t xml:space="preserve"> </w:t>
      </w:r>
      <w:r>
        <w:rPr>
          <w:spacing w:val="-6"/>
          <w:position w:val="19"/>
        </w:rPr>
        <w:t>Coalition</w:t>
      </w:r>
      <w:r>
        <w:rPr>
          <w:spacing w:val="43"/>
          <w:w w:val="101"/>
          <w:position w:val="19"/>
        </w:rPr>
        <w:t xml:space="preserve"> </w:t>
      </w:r>
      <w:r>
        <w:rPr>
          <w:spacing w:val="-7"/>
          <w:position w:val="19"/>
        </w:rPr>
        <w:t>(CCAC)</w:t>
      </w:r>
      <w:r>
        <w:rPr>
          <w:spacing w:val="38"/>
          <w:position w:val="19"/>
        </w:rPr>
        <w:t xml:space="preserve"> </w:t>
      </w:r>
      <w:r>
        <w:rPr>
          <w:spacing w:val="-7"/>
          <w:position w:val="19"/>
        </w:rPr>
        <w:t>convened</w:t>
      </w:r>
      <w:r>
        <w:rPr>
          <w:spacing w:val="28"/>
          <w:position w:val="19"/>
        </w:rPr>
        <w:t xml:space="preserve"> </w:t>
      </w:r>
      <w:r>
        <w:rPr>
          <w:spacing w:val="-7"/>
          <w:position w:val="19"/>
        </w:rPr>
        <w:t>by</w:t>
      </w:r>
      <w:r>
        <w:rPr>
          <w:spacing w:val="32"/>
          <w:position w:val="19"/>
        </w:rPr>
        <w:t xml:space="preserve"> </w:t>
      </w:r>
      <w:r>
        <w:rPr>
          <w:spacing w:val="-7"/>
          <w:position w:val="19"/>
        </w:rPr>
        <w:t>Unite</w:t>
      </w:r>
      <w:r>
        <w:rPr>
          <w:spacing w:val="-1"/>
          <w:position w:val="19"/>
        </w:rPr>
        <w:t>d</w:t>
      </w:r>
    </w:p>
    <w:p>
      <w:pPr>
        <w:pStyle w:val="BodyText"/>
        <w:spacing w:before="1" w:line="189" w:lineRule="auto"/>
        <w:ind w:left="26"/>
      </w:pPr>
      <w:r>
        <w:rPr>
          <w:spacing w:val="-4"/>
        </w:rPr>
        <w:t>Nations Environment Programme (UNEP)</w:t>
      </w:r>
    </w:p>
    <w:p>
      <w:pPr>
        <w:pStyle w:val="BodyText"/>
        <w:spacing w:before="257" w:line="374" w:lineRule="auto"/>
        <w:ind w:left="44"/>
        <w:sectPr>
          <w:headerReference w:type="default" r:id="rId8"/>
          <w:pgSz w:w="11907" w:h="16839"/>
          <w:pgMar w:top="400" w:right="1589" w:bottom="0" w:left="1785" w:header="0" w:footer="0" w:gutter="0"/>
          <w:pgNumType w:start="3"/>
          <w:cols w:space="708"/>
        </w:sectPr>
      </w:pPr>
      <w:r>
        <w:rPr>
          <w:rFonts w:ascii="SimSun" w:eastAsia="SimSun" w:hAnsi="SimSun" w:cs="SimSun"/>
          <w:spacing w:val="-3"/>
          <w14:textOutline w14:w="4354">
            <w14:solidFill>
              <w14:srgbClr w14:val="000000"/>
            </w14:solidFill>
            <w14:prstDash w14:val="solid"/>
            <w14:miter w14:lim="10"/>
          </w14:textOutline>
        </w:rPr>
        <w:t>原《报告》</w:t>
      </w:r>
      <w:r>
        <w:rPr>
          <w:rFonts w:ascii="SimSun" w:eastAsia="SimSun" w:hAnsi="SimSun" w:cs="SimSun"/>
          <w:spacing w:val="-26"/>
        </w:rPr>
        <w:t xml:space="preserve"> </w:t>
      </w:r>
      <w:r>
        <w:rPr>
          <w:rFonts w:ascii="SimSun" w:eastAsia="SimSun" w:hAnsi="SimSun" w:cs="SimSun"/>
          <w:spacing w:val="-3"/>
          <w14:textOutline w14:w="4354">
            <w14:solidFill>
              <w14:srgbClr w14:val="000000"/>
            </w14:solidFill>
            <w14:prstDash w14:val="solid"/>
            <w14:miter w14:lim="10"/>
          </w14:textOutline>
        </w:rPr>
        <w:t>下载地址：</w:t>
      </w:r>
      <w:r>
        <w:rPr>
          <w:rFonts w:ascii="SimSun" w:eastAsia="SimSun" w:hAnsi="SimSun" w:cs="SimSun"/>
          <w:spacing w:val="-26"/>
        </w:rPr>
        <w:t xml:space="preserve"> </w:t>
      </w:r>
      <w:hyperlink r:id="rId9" w:history="1">
        <w:r>
          <w:rPr>
            <w:i/>
            <w:iCs/>
            <w:color w:val="0070C0"/>
            <w:spacing w:val="-3"/>
            <w:u w:val="single" w:color="auto"/>
          </w:rPr>
          <w:t>https://www.unep.org/resources/report/global</w:t>
        </w:r>
      </w:hyperlink>
      <w:r>
        <w:rPr>
          <w:i/>
          <w:iCs/>
          <w:color w:val="0070C0"/>
          <w:spacing w:val="-3"/>
          <w:u w:val="single" w:color="auto"/>
        </w:rPr>
        <w:t>-methane-</w:t>
      </w:r>
    </w:p>
    <w:p>
      <w:pPr>
        <w:pStyle w:val="BodyText"/>
        <w:spacing w:before="1" w:line="190" w:lineRule="auto"/>
        <w:ind w:left="34"/>
      </w:pPr>
      <w:r>
        <w:rPr>
          <w:i/>
          <w:iCs/>
          <w:color w:val="0070C0"/>
          <w:u w:val="single" w:color="auto"/>
        </w:rPr>
        <w:t>assessment-2030-baseline-re</w:t>
      </w:r>
      <w:r>
        <w:rPr>
          <w:i/>
          <w:iCs/>
          <w:color w:val="0070C0"/>
          <w:spacing w:val="-1"/>
          <w:u w:val="single" w:color="auto"/>
        </w:rPr>
        <w:t>port</w:t>
      </w:r>
    </w:p>
    <w:p>
      <w:pPr>
        <w:spacing w:line="190" w:lineRule="auto"/>
        <w:sectPr>
          <w:headerReference w:type="default" r:id="rId10"/>
          <w:type w:val="nextPage"/>
          <w:pgSz w:w="11907" w:h="16839"/>
          <w:pgMar w:top="400" w:right="1589" w:bottom="0" w:left="1785" w:header="0" w:footer="0" w:gutter="0"/>
          <w:pgNumType w:start="4"/>
          <w:cols w:space="708"/>
          <w:titlePg w:val="0"/>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BodyText"/>
        <w:spacing w:before="78" w:line="550" w:lineRule="exact"/>
        <w:ind w:left="10"/>
        <w:rPr>
          <w:rFonts w:ascii="SimSun" w:eastAsia="SimSun" w:hAnsi="SimSun" w:cs="SimSun"/>
        </w:rPr>
      </w:pPr>
      <w:r>
        <w:rPr>
          <w:rFonts w:ascii="SimSun" w:eastAsia="SimSun" w:hAnsi="SimSun" w:cs="SimSun"/>
          <w:spacing w:val="6"/>
          <w:position w:val="23"/>
          <w14:textOutline w14:w="4354">
            <w14:solidFill>
              <w14:srgbClr w14:val="000000"/>
            </w14:solidFill>
            <w14:prstDash w14:val="solid"/>
            <w14:miter w14:lim="10"/>
          </w14:textOutline>
        </w:rPr>
        <w:t>本《报告》中文名称：</w:t>
      </w:r>
      <w:r>
        <w:rPr>
          <w:spacing w:val="6"/>
          <w:position w:val="23"/>
        </w:rPr>
        <w:t>2030</w:t>
      </w:r>
      <w:r>
        <w:rPr>
          <w:rFonts w:ascii="SimSun" w:eastAsia="SimSun" w:hAnsi="SimSun" w:cs="SimSun"/>
          <w:spacing w:val="6"/>
          <w:position w:val="23"/>
        </w:rPr>
        <w:t>年全球甲烷评估：基准线报告</w:t>
      </w:r>
    </w:p>
    <w:p>
      <w:pPr>
        <w:spacing w:line="218" w:lineRule="auto"/>
        <w:ind w:left="10"/>
        <w:rPr>
          <w:rFonts w:ascii="SimSun" w:eastAsia="SimSun" w:hAnsi="SimSun" w:cs="SimSun"/>
          <w:sz w:val="24"/>
          <w:szCs w:val="24"/>
        </w:rPr>
      </w:pPr>
      <w:r>
        <w:rPr>
          <w:rFonts w:ascii="SimSun" w:eastAsia="SimSun" w:hAnsi="SimSun" w:cs="SimSun"/>
          <w:spacing w:val="6"/>
          <w:sz w:val="24"/>
          <w:szCs w:val="24"/>
          <w14:textOutline w14:w="4354">
            <w14:solidFill>
              <w14:srgbClr w14:val="000000"/>
            </w14:solidFill>
            <w14:prstDash w14:val="solid"/>
            <w14:miter w14:lim="10"/>
          </w14:textOutline>
        </w:rPr>
        <w:t>本《报告》中文翻译召集人：</w:t>
      </w:r>
      <w:r>
        <w:rPr>
          <w:rFonts w:ascii="SimSun" w:eastAsia="SimSun" w:hAnsi="SimSun" w:cs="SimSun"/>
          <w:spacing w:val="6"/>
          <w:sz w:val="24"/>
          <w:szCs w:val="24"/>
        </w:rPr>
        <w:t>蔡慈澜、王紫琼、张雨宁</w:t>
      </w:r>
    </w:p>
    <w:p>
      <w:pPr>
        <w:spacing w:before="263" w:line="466" w:lineRule="exact"/>
        <w:jc w:val="right"/>
        <w:rPr>
          <w:rFonts w:ascii="SimSun" w:eastAsia="SimSun" w:hAnsi="SimSun" w:cs="SimSun"/>
          <w:sz w:val="24"/>
          <w:szCs w:val="24"/>
        </w:rPr>
      </w:pPr>
      <w:r>
        <w:rPr>
          <w:rFonts w:ascii="SimSun" w:eastAsia="SimSun" w:hAnsi="SimSun" w:cs="SimSun"/>
          <w:spacing w:val="7"/>
          <w:position w:val="17"/>
          <w:sz w:val="24"/>
          <w:szCs w:val="24"/>
          <w14:textOutline w14:w="4354">
            <w14:solidFill>
              <w14:srgbClr w14:val="000000"/>
            </w14:solidFill>
            <w14:prstDash w14:val="solid"/>
            <w14:miter w14:lim="10"/>
          </w14:textOutline>
        </w:rPr>
        <w:t>本《报告》中文翻译：</w:t>
      </w:r>
      <w:r>
        <w:rPr>
          <w:rFonts w:ascii="SimSun" w:eastAsia="SimSun" w:hAnsi="SimSun" w:cs="SimSun"/>
          <w:spacing w:val="7"/>
          <w:position w:val="17"/>
          <w:sz w:val="24"/>
          <w:szCs w:val="24"/>
        </w:rPr>
        <w:t xml:space="preserve"> 卜梦雅、代江玥、丁千惠、何雨璐、黄夏霖、唐岚岚、</w:t>
      </w:r>
    </w:p>
    <w:p>
      <w:pPr>
        <w:spacing w:line="219" w:lineRule="auto"/>
        <w:ind w:left="11"/>
        <w:rPr>
          <w:rFonts w:ascii="SimSun" w:eastAsia="SimSun" w:hAnsi="SimSun" w:cs="SimSun"/>
          <w:sz w:val="24"/>
          <w:szCs w:val="24"/>
        </w:rPr>
      </w:pPr>
      <w:r>
        <w:rPr>
          <w:rFonts w:ascii="SimSun" w:eastAsia="SimSun" w:hAnsi="SimSun" w:cs="SimSun"/>
          <w:spacing w:val="5"/>
          <w:sz w:val="24"/>
          <w:szCs w:val="24"/>
        </w:rPr>
        <w:t>王紫琼、吴锴、张雨宁、周杼樾（按姓氏首字母排序）</w:t>
      </w:r>
    </w:p>
    <w:p>
      <w:pPr>
        <w:spacing w:before="264" w:line="218" w:lineRule="auto"/>
        <w:ind w:left="10"/>
        <w:rPr>
          <w:rFonts w:ascii="SimSun" w:eastAsia="SimSun" w:hAnsi="SimSun" w:cs="SimSun"/>
          <w:sz w:val="24"/>
          <w:szCs w:val="24"/>
        </w:rPr>
      </w:pPr>
      <w:r>
        <w:rPr>
          <w:rFonts w:ascii="SimSun" w:eastAsia="SimSun" w:hAnsi="SimSun" w:cs="SimSun"/>
          <w:spacing w:val="6"/>
          <w:sz w:val="24"/>
          <w:szCs w:val="24"/>
          <w14:textOutline w14:w="4354">
            <w14:solidFill>
              <w14:srgbClr w14:val="000000"/>
            </w14:solidFill>
            <w14:prstDash w14:val="solid"/>
            <w14:miter w14:lim="10"/>
          </w14:textOutline>
        </w:rPr>
        <w:t>本《报告》中文封面设计：</w:t>
      </w:r>
      <w:r>
        <w:rPr>
          <w:rFonts w:ascii="SimSun" w:eastAsia="SimSun" w:hAnsi="SimSun" w:cs="SimSun"/>
          <w:spacing w:val="6"/>
          <w:sz w:val="24"/>
          <w:szCs w:val="24"/>
        </w:rPr>
        <w:t>王紫琼</w:t>
      </w:r>
    </w:p>
    <w:p>
      <w:pPr>
        <w:pStyle w:val="BodyText"/>
        <w:spacing w:before="263" w:line="547" w:lineRule="exact"/>
        <w:ind w:left="10"/>
        <w:rPr>
          <w:rFonts w:ascii="SimSun" w:eastAsia="SimSun" w:hAnsi="SimSun" w:cs="SimSun"/>
        </w:rPr>
      </w:pPr>
      <w:r>
        <w:rPr>
          <w:rFonts w:ascii="SimSun" w:eastAsia="SimSun" w:hAnsi="SimSun" w:cs="SimSun"/>
          <w:spacing w:val="8"/>
          <w:position w:val="23"/>
          <w14:textOutline w14:w="4354">
            <w14:solidFill>
              <w14:srgbClr w14:val="000000"/>
            </w14:solidFill>
            <w14:prstDash w14:val="solid"/>
            <w14:miter w14:lim="10"/>
          </w14:textOutline>
        </w:rPr>
        <w:t>本《报告》中文审阅：</w:t>
      </w:r>
      <w:r>
        <w:rPr>
          <w:position w:val="23"/>
        </w:rPr>
        <w:t>CCAPP</w:t>
      </w:r>
      <w:r>
        <w:rPr>
          <w:rFonts w:ascii="SimSun" w:eastAsia="SimSun" w:hAnsi="SimSun" w:cs="SimSun"/>
          <w:spacing w:val="8"/>
          <w:position w:val="23"/>
        </w:rPr>
        <w:t>志愿者管理团队何学娟、李</w:t>
      </w:r>
      <w:r>
        <w:rPr>
          <w:rFonts w:ascii="SimSun" w:eastAsia="SimSun" w:hAnsi="SimSun" w:cs="SimSun"/>
          <w:spacing w:val="7"/>
          <w:position w:val="23"/>
        </w:rPr>
        <w:t>姝慧、王雨薇</w:t>
      </w:r>
    </w:p>
    <w:p>
      <w:pPr>
        <w:pStyle w:val="BodyText"/>
        <w:spacing w:line="220" w:lineRule="auto"/>
        <w:ind w:left="21"/>
        <w:rPr>
          <w:rFonts w:ascii="SimSun" w:eastAsia="SimSun" w:hAnsi="SimSun" w:cs="SimSun"/>
        </w:rPr>
      </w:pPr>
      <w:r>
        <w:rPr>
          <w:rFonts w:ascii="SimSun" w:eastAsia="SimSun" w:hAnsi="SimSun" w:cs="SimSun"/>
          <w:spacing w:val="2"/>
          <w14:textOutline w14:w="4354">
            <w14:solidFill>
              <w14:srgbClr w14:val="000000"/>
            </w14:solidFill>
            <w14:prstDash w14:val="solid"/>
            <w14:miter w14:lim="10"/>
          </w14:textOutline>
        </w:rPr>
        <w:t>鸣谢：</w:t>
      </w:r>
      <w:r>
        <w:rPr>
          <w:rFonts w:ascii="SimSun" w:eastAsia="SimSun" w:hAnsi="SimSun" w:cs="SimSun"/>
          <w:spacing w:val="2"/>
        </w:rPr>
        <w:t>感谢</w:t>
      </w:r>
      <w:r>
        <w:rPr>
          <w:rFonts w:ascii="SimSun" w:eastAsia="SimSun" w:hAnsi="SimSun" w:cs="SimSun"/>
          <w:spacing w:val="-39"/>
        </w:rPr>
        <w:t xml:space="preserve"> </w:t>
      </w:r>
      <w:r>
        <w:t>CCAPP</w:t>
      </w:r>
      <w:r>
        <w:rPr>
          <w:spacing w:val="34"/>
        </w:rPr>
        <w:t xml:space="preserve"> </w:t>
      </w:r>
      <w:r>
        <w:rPr>
          <w:rFonts w:ascii="SimSun" w:eastAsia="SimSun" w:hAnsi="SimSun" w:cs="SimSun"/>
          <w:spacing w:val="2"/>
        </w:rPr>
        <w:t>志愿者项目“</w:t>
      </w:r>
      <w:r>
        <w:rPr>
          <w:rFonts w:ascii="SimSun" w:eastAsia="SimSun" w:hAnsi="SimSun" w:cs="SimSun"/>
          <w:spacing w:val="-72"/>
        </w:rPr>
        <w:t xml:space="preserve"> </w:t>
      </w:r>
      <w:r>
        <w:rPr>
          <w:rFonts w:ascii="SimSun" w:eastAsia="SimSun" w:hAnsi="SimSun" w:cs="SimSun"/>
          <w:spacing w:val="2"/>
        </w:rPr>
        <w:t>甲烷减排战略小组</w:t>
      </w:r>
      <w:r>
        <w:rPr>
          <w:rFonts w:ascii="SimSun" w:eastAsia="SimSun" w:hAnsi="SimSun" w:cs="SimSun"/>
          <w:spacing w:val="-79"/>
        </w:rPr>
        <w:t xml:space="preserve"> </w:t>
      </w:r>
      <w:r>
        <w:rPr>
          <w:rFonts w:ascii="SimSun" w:eastAsia="SimSun" w:hAnsi="SimSun" w:cs="SimSun"/>
          <w:spacing w:val="2"/>
        </w:rPr>
        <w:t>”全体成员</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04" w:line="190" w:lineRule="auto"/>
        <w:ind w:left="44"/>
        <w:rPr>
          <w:rFonts w:ascii="Microsoft YaHei" w:eastAsia="Microsoft YaHei" w:hAnsi="Microsoft YaHei" w:cs="Microsoft YaHei"/>
          <w:sz w:val="24"/>
          <w:szCs w:val="24"/>
        </w:rPr>
        <w:sectPr>
          <w:headerReference w:type="default" r:id="rId11"/>
          <w:pgSz w:w="11907" w:h="16839"/>
          <w:pgMar w:top="400" w:right="1579" w:bottom="0" w:left="1785" w:header="0" w:footer="0" w:gutter="0"/>
          <w:pgNumType w:start="5"/>
          <w:cols w:space="708"/>
        </w:sectPr>
      </w:pPr>
      <w:r>
        <w:rPr>
          <w:rFonts w:ascii="SimSun" w:eastAsia="SimSun" w:hAnsi="SimSun" w:cs="SimSun"/>
          <w:spacing w:val="1"/>
          <w:sz w:val="24"/>
          <w:szCs w:val="24"/>
          <w14:textOutline w14:w="4354">
            <w14:solidFill>
              <w14:srgbClr w14:val="000000"/>
            </w14:solidFill>
            <w14:prstDash w14:val="solid"/>
            <w14:miter w14:lim="10"/>
          </w14:textOutline>
        </w:rPr>
        <w:t>免责声明</w:t>
      </w:r>
      <w:r>
        <w:rPr>
          <w:rFonts w:ascii="Microsoft YaHei" w:eastAsia="Microsoft YaHei" w:hAnsi="Microsoft YaHei" w:cs="Microsoft YaHei"/>
          <w:spacing w:val="1"/>
          <w:sz w:val="24"/>
          <w:szCs w:val="24"/>
        </w:rPr>
        <w:t>：</w:t>
      </w:r>
    </w:p>
    <w:p>
      <w:pPr>
        <w:pStyle w:val="BodyText"/>
        <w:spacing w:before="221" w:line="359" w:lineRule="auto"/>
        <w:ind w:left="11" w:right="206" w:firstLine="477"/>
        <w:jc w:val="both"/>
        <w:rPr>
          <w:rFonts w:ascii="SimSun" w:eastAsia="SimSun" w:hAnsi="SimSun" w:cs="SimSun"/>
        </w:rPr>
      </w:pPr>
      <w:r>
        <w:t>CCAPP</w:t>
      </w:r>
      <w:r>
        <w:rPr>
          <w:rFonts w:ascii="SimSun" w:eastAsia="SimSun" w:hAnsi="SimSun" w:cs="SimSun"/>
        </w:rPr>
        <w:t>志愿者翻译</w:t>
      </w:r>
      <w:r>
        <w:t>Global</w:t>
      </w:r>
      <w:r>
        <w:rPr>
          <w:spacing w:val="43"/>
        </w:rPr>
        <w:t xml:space="preserve"> </w:t>
      </w:r>
      <w:r>
        <w:t>Methane</w:t>
      </w:r>
      <w:r>
        <w:rPr>
          <w:spacing w:val="41"/>
        </w:rPr>
        <w:t xml:space="preserve"> </w:t>
      </w:r>
      <w:r>
        <w:t>Assessment:</w:t>
      </w:r>
      <w:r>
        <w:rPr>
          <w:spacing w:val="44"/>
        </w:rPr>
        <w:t xml:space="preserve"> </w:t>
      </w:r>
      <w:r>
        <w:t>2030</w:t>
      </w:r>
      <w:r>
        <w:rPr>
          <w:spacing w:val="42"/>
        </w:rPr>
        <w:t xml:space="preserve"> </w:t>
      </w:r>
      <w:r>
        <w:t>Baseline</w:t>
      </w:r>
      <w:r>
        <w:rPr>
          <w:spacing w:val="44"/>
          <w:w w:val="101"/>
        </w:rPr>
        <w:t xml:space="preserve"> </w:t>
      </w:r>
      <w:r>
        <w:t>Report</w:t>
      </w:r>
      <w:r>
        <w:rPr>
          <w:rFonts w:ascii="SimSun" w:eastAsia="SimSun" w:hAnsi="SimSun" w:cs="SimSun"/>
          <w:spacing w:val="-1"/>
        </w:rPr>
        <w:t>出于纯</w:t>
      </w:r>
      <w:r>
        <w:rPr>
          <w:rFonts w:ascii="SimSun" w:eastAsia="SimSun" w:hAnsi="SimSun" w:cs="SimSun"/>
        </w:rPr>
        <w:t xml:space="preserve"> </w:t>
      </w:r>
      <w:r>
        <w:rPr>
          <w:rFonts w:ascii="SimSun" w:eastAsia="SimSun" w:hAnsi="SimSun" w:cs="SimSun"/>
          <w:spacing w:val="3"/>
        </w:rPr>
        <w:t>公益性目的，</w:t>
      </w:r>
      <w:r>
        <w:rPr>
          <w:rFonts w:ascii="SimSun" w:eastAsia="SimSun" w:hAnsi="SimSun" w:cs="SimSun"/>
          <w:spacing w:val="-66"/>
        </w:rPr>
        <w:t xml:space="preserve"> </w:t>
      </w:r>
      <w:r>
        <w:rPr>
          <w:rFonts w:ascii="SimSun" w:eastAsia="SimSun" w:hAnsi="SimSun" w:cs="SimSun"/>
          <w:spacing w:val="3"/>
        </w:rPr>
        <w:t>旨在宣传交流国内外先进经验，报告内容不代表中国清</w:t>
      </w:r>
      <w:r>
        <w:rPr>
          <w:rFonts w:ascii="SimSun" w:eastAsia="SimSun" w:hAnsi="SimSun" w:cs="SimSun"/>
          <w:spacing w:val="2"/>
        </w:rPr>
        <w:t>洁空气政</w:t>
      </w:r>
      <w:r>
        <w:rPr>
          <w:rFonts w:ascii="SimSun" w:eastAsia="SimSun" w:hAnsi="SimSun" w:cs="SimSun"/>
        </w:rPr>
        <w:t xml:space="preserve"> </w:t>
      </w:r>
      <w:r>
        <w:rPr>
          <w:rFonts w:ascii="SimSun" w:eastAsia="SimSun" w:hAnsi="SimSun" w:cs="SimSun"/>
          <w:spacing w:val="4"/>
        </w:rPr>
        <w:t>策伙伴关系及其成员观点。中国清洁空气政策伙伴关系不保证本书中所含数据</w:t>
      </w:r>
      <w:r>
        <w:rPr>
          <w:rFonts w:ascii="SimSun" w:eastAsia="SimSun" w:hAnsi="SimSun" w:cs="SimSun"/>
          <w:spacing w:val="16"/>
        </w:rPr>
        <w:t xml:space="preserve"> </w:t>
      </w:r>
      <w:r>
        <w:rPr>
          <w:rFonts w:ascii="SimSun" w:eastAsia="SimSun" w:hAnsi="SimSun" w:cs="SimSun"/>
          <w:spacing w:val="4"/>
        </w:rPr>
        <w:t>的精确性，对使用这些数据所产生的任何后果不承担责任。本中文翻译报告由</w:t>
      </w:r>
      <w:r>
        <w:rPr>
          <w:rFonts w:ascii="SimSun" w:eastAsia="SimSun" w:hAnsi="SimSun" w:cs="SimSun"/>
          <w:spacing w:val="16"/>
        </w:rPr>
        <w:t xml:space="preserve"> </w:t>
      </w:r>
      <w:r>
        <w:rPr>
          <w:rFonts w:ascii="SimSun" w:eastAsia="SimSun" w:hAnsi="SimSun" w:cs="SimSun"/>
          <w:spacing w:val="4"/>
        </w:rPr>
        <w:t>中国清洁空气政策伙伴关系所有，对外公开发布，使用者不得出于商业目的销</w:t>
      </w:r>
    </w:p>
    <w:p>
      <w:pPr>
        <w:spacing w:before="1" w:line="218" w:lineRule="auto"/>
        <w:ind w:left="9"/>
        <w:rPr>
          <w:rFonts w:ascii="SimSun" w:eastAsia="SimSun" w:hAnsi="SimSun" w:cs="SimSun"/>
          <w:sz w:val="24"/>
          <w:szCs w:val="24"/>
        </w:rPr>
      </w:pPr>
      <w:r>
        <w:rPr>
          <w:rFonts w:ascii="SimSun" w:eastAsia="SimSun" w:hAnsi="SimSun" w:cs="SimSun"/>
          <w:spacing w:val="-3"/>
          <w:sz w:val="24"/>
          <w:szCs w:val="24"/>
        </w:rPr>
        <w:t>售、传播或制作相关衍生作品。</w:t>
      </w:r>
    </w:p>
    <w:p>
      <w:pPr>
        <w:spacing w:line="218" w:lineRule="auto"/>
        <w:rPr>
          <w:rFonts w:ascii="SimSun" w:eastAsia="SimSun" w:hAnsi="SimSun" w:cs="SimSun"/>
          <w:sz w:val="24"/>
          <w:szCs w:val="24"/>
        </w:rPr>
        <w:sectPr>
          <w:headerReference w:type="default" r:id="rId12"/>
          <w:type w:val="nextPage"/>
          <w:pgSz w:w="11907" w:h="16839"/>
          <w:pgMar w:top="400" w:right="1579" w:bottom="0" w:left="1785" w:header="0" w:footer="0" w:gutter="0"/>
          <w:pgNumType w:start="6"/>
          <w:cols w:space="708"/>
          <w:titlePg w:val="0"/>
        </w:sect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91" w:line="221" w:lineRule="auto"/>
        <w:ind w:left="3896"/>
        <w:rPr>
          <w:rFonts w:ascii="SimSun" w:eastAsia="SimSun" w:hAnsi="SimSun" w:cs="SimSun"/>
          <w:sz w:val="28"/>
          <w:szCs w:val="28"/>
        </w:rPr>
      </w:pPr>
      <w:r>
        <w:rPr>
          <w:rFonts w:ascii="SimSun" w:eastAsia="SimSun" w:hAnsi="SimSun" w:cs="SimSun"/>
          <w:color w:val="1F4E79"/>
          <w:spacing w:val="-3"/>
          <w:sz w:val="28"/>
          <w:szCs w:val="28"/>
          <w14:textOutline w14:w="5094">
            <w14:solidFill>
              <w14:srgbClr w14:val="1F4E79"/>
            </w14:solidFill>
            <w14:prstDash w14:val="solid"/>
            <w14:miter w14:lim="10"/>
          </w14:textOutline>
        </w:rPr>
        <w:t>序言</w:t>
      </w: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1673" w:lineRule="exact"/>
        <w:ind w:firstLine="14"/>
      </w:pPr>
      <w:r>
        <w:rPr>
          <w:position w:val="-33"/>
        </w:rPr>
        <w:drawing>
          <wp:inline distT="0" distB="0" distL="0" distR="0">
            <wp:extent cx="981405" cy="106235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3"/>
                    <a:stretch>
                      <a:fillRect/>
                    </a:stretch>
                  </pic:blipFill>
                  <pic:spPr>
                    <a:xfrm>
                      <a:off x="0" y="0"/>
                      <a:ext cx="981405" cy="1062355"/>
                    </a:xfrm>
                    <a:prstGeom prst="rect">
                      <a:avLst/>
                    </a:prstGeom>
                  </pic:spPr>
                </pic:pic>
              </a:graphicData>
            </a:graphic>
          </wp:inline>
        </w:drawing>
      </w:r>
    </w:p>
    <w:p>
      <w:pPr>
        <w:spacing w:before="228" w:line="221" w:lineRule="auto"/>
        <w:ind w:left="22"/>
        <w:rPr>
          <w:rFonts w:ascii="SimSun" w:eastAsia="SimSun" w:hAnsi="SimSun" w:cs="SimSun"/>
          <w:sz w:val="22"/>
          <w:szCs w:val="22"/>
        </w:rPr>
      </w:pPr>
      <w:r>
        <w:rPr>
          <w:rFonts w:ascii="SimSun" w:eastAsia="SimSun" w:hAnsi="SimSun" w:cs="SimSun"/>
          <w:spacing w:val="-2"/>
          <w:sz w:val="22"/>
          <w:szCs w:val="22"/>
          <w14:textOutline w14:w="4005">
            <w14:solidFill>
              <w14:srgbClr w14:val="000000"/>
            </w14:solidFill>
            <w14:prstDash w14:val="solid"/>
            <w14:miter w14:lim="10"/>
          </w14:textOutline>
        </w:rPr>
        <w:t>刘欣</w:t>
      </w:r>
    </w:p>
    <w:p>
      <w:pPr>
        <w:spacing w:before="205" w:line="219" w:lineRule="auto"/>
        <w:ind w:left="31"/>
        <w:rPr>
          <w:rFonts w:ascii="SimSun" w:eastAsia="SimSun" w:hAnsi="SimSun" w:cs="SimSun"/>
          <w:sz w:val="22"/>
          <w:szCs w:val="22"/>
        </w:rPr>
      </w:pPr>
      <w:r>
        <w:rPr>
          <w:rFonts w:ascii="SimSun" w:eastAsia="SimSun" w:hAnsi="SimSun" w:cs="SimSun"/>
          <w:spacing w:val="-1"/>
          <w:sz w:val="22"/>
          <w:szCs w:val="22"/>
          <w14:textOutline w14:w="4005">
            <w14:solidFill>
              <w14:srgbClr w14:val="000000"/>
            </w14:solidFill>
            <w14:prstDash w14:val="solid"/>
            <w14:miter w14:lim="10"/>
          </w14:textOutline>
        </w:rPr>
        <w:t>能源基金会环境管理项目主任</w:t>
      </w:r>
    </w:p>
    <w:p>
      <w:pPr>
        <w:spacing w:line="299" w:lineRule="auto"/>
        <w:rPr>
          <w:rFonts w:ascii="Arial"/>
          <w:sz w:val="21"/>
        </w:rPr>
      </w:pPr>
    </w:p>
    <w:p>
      <w:pPr>
        <w:spacing w:line="299" w:lineRule="auto"/>
        <w:rPr>
          <w:rFonts w:ascii="Arial"/>
          <w:sz w:val="21"/>
        </w:rPr>
      </w:pPr>
    </w:p>
    <w:p>
      <w:pPr>
        <w:pStyle w:val="BodyText"/>
        <w:spacing w:before="72" w:line="393" w:lineRule="auto"/>
        <w:ind w:left="23" w:firstLine="467"/>
        <w:rPr>
          <w:rFonts w:ascii="SimSun" w:eastAsia="SimSun" w:hAnsi="SimSun" w:cs="SimSun"/>
          <w:sz w:val="22"/>
          <w:szCs w:val="22"/>
        </w:rPr>
      </w:pPr>
      <w:r>
        <w:rPr>
          <w:rFonts w:ascii="SimSun" w:eastAsia="SimSun" w:hAnsi="SimSun" w:cs="SimSun"/>
          <w:spacing w:val="-10"/>
          <w:sz w:val="22"/>
          <w:szCs w:val="22"/>
        </w:rPr>
        <w:t>甲烷作为一种“短寿命超级气候污染物”，对当前人类感知的全球变暖贡献率为</w:t>
      </w:r>
      <w:r>
        <w:rPr>
          <w:rFonts w:ascii="SimSun" w:eastAsia="SimSun" w:hAnsi="SimSun" w:cs="SimSun"/>
          <w:spacing w:val="-44"/>
          <w:sz w:val="22"/>
          <w:szCs w:val="22"/>
        </w:rPr>
        <w:t xml:space="preserve"> </w:t>
      </w:r>
      <w:r>
        <w:rPr>
          <w:spacing w:val="-10"/>
          <w:sz w:val="22"/>
          <w:szCs w:val="22"/>
        </w:rPr>
        <w:t>25%</w:t>
      </w:r>
      <w:r>
        <w:rPr>
          <w:rFonts w:ascii="SimSun" w:eastAsia="SimSun" w:hAnsi="SimSun" w:cs="SimSun"/>
          <w:spacing w:val="-10"/>
          <w:sz w:val="22"/>
          <w:szCs w:val="22"/>
        </w:rPr>
        <w:t>，</w:t>
      </w:r>
      <w:r>
        <w:rPr>
          <w:rFonts w:ascii="SimSun" w:eastAsia="SimSun" w:hAnsi="SimSun" w:cs="SimSun"/>
          <w:sz w:val="22"/>
          <w:szCs w:val="22"/>
        </w:rPr>
        <w:t xml:space="preserve"> </w:t>
      </w:r>
      <w:r>
        <w:rPr>
          <w:rFonts w:ascii="SimSun" w:eastAsia="SimSun" w:hAnsi="SimSun" w:cs="SimSun"/>
          <w:spacing w:val="-2"/>
          <w:sz w:val="22"/>
          <w:szCs w:val="22"/>
        </w:rPr>
        <w:t>其也是能源开采加工、农业生产及废弃物产生过程中的产物，</w:t>
      </w:r>
      <w:r>
        <w:rPr>
          <w:rFonts w:ascii="SimSun" w:eastAsia="SimSun" w:hAnsi="SimSun" w:cs="SimSun"/>
          <w:spacing w:val="-3"/>
          <w:sz w:val="22"/>
          <w:szCs w:val="22"/>
        </w:rPr>
        <w:t xml:space="preserve">协同控制甲烷和其他污染  </w:t>
      </w:r>
      <w:r>
        <w:rPr>
          <w:rFonts w:ascii="SimSun" w:eastAsia="SimSun" w:hAnsi="SimSun" w:cs="SimSun"/>
          <w:spacing w:val="-7"/>
          <w:sz w:val="22"/>
          <w:szCs w:val="22"/>
        </w:rPr>
        <w:t>物排放， 兼具气候、经济、环境和安全效益， 且与碳减排相比在近中期具有不可替</w:t>
      </w:r>
      <w:r>
        <w:rPr>
          <w:rFonts w:ascii="SimSun" w:eastAsia="SimSun" w:hAnsi="SimSun" w:cs="SimSun"/>
          <w:spacing w:val="-8"/>
          <w:sz w:val="22"/>
          <w:szCs w:val="22"/>
        </w:rPr>
        <w:t>代的</w:t>
      </w:r>
    </w:p>
    <w:p>
      <w:pPr>
        <w:pStyle w:val="BodyText"/>
        <w:spacing w:line="220" w:lineRule="auto"/>
        <w:ind w:left="40"/>
        <w:rPr>
          <w:rFonts w:ascii="SimSun" w:eastAsia="SimSun" w:hAnsi="SimSun" w:cs="SimSun"/>
          <w:sz w:val="22"/>
          <w:szCs w:val="22"/>
        </w:rPr>
      </w:pPr>
      <w:r>
        <w:rPr>
          <w:rFonts w:ascii="SimSun" w:eastAsia="SimSun" w:hAnsi="SimSun" w:cs="SimSun"/>
          <w:spacing w:val="-1"/>
          <w:sz w:val="22"/>
          <w:szCs w:val="22"/>
        </w:rPr>
        <w:t>降温作用。当前中国已制定实施排放控制行动方案，但仍然面临</w:t>
      </w:r>
      <w:r>
        <w:rPr>
          <w:rFonts w:ascii="SimSun" w:eastAsia="SimSun" w:hAnsi="SimSun" w:cs="SimSun"/>
          <w:spacing w:val="-46"/>
          <w:sz w:val="22"/>
          <w:szCs w:val="22"/>
        </w:rPr>
        <w:t xml:space="preserve"> </w:t>
      </w:r>
      <w:r>
        <w:rPr>
          <w:spacing w:val="-1"/>
          <w:sz w:val="22"/>
          <w:szCs w:val="22"/>
        </w:rPr>
        <w:t xml:space="preserve">MRV </w:t>
      </w:r>
      <w:r>
        <w:rPr>
          <w:rFonts w:ascii="SimSun" w:eastAsia="SimSun" w:hAnsi="SimSun" w:cs="SimSun"/>
          <w:spacing w:val="-1"/>
          <w:sz w:val="22"/>
          <w:szCs w:val="22"/>
        </w:rPr>
        <w:t>体系较为薄弱、</w:t>
      </w:r>
    </w:p>
    <w:p>
      <w:pPr>
        <w:spacing w:before="206" w:line="468" w:lineRule="exact"/>
        <w:ind w:left="28"/>
        <w:rPr>
          <w:rFonts w:ascii="SimSun" w:eastAsia="SimSun" w:hAnsi="SimSun" w:cs="SimSun"/>
          <w:sz w:val="22"/>
          <w:szCs w:val="22"/>
        </w:rPr>
      </w:pPr>
      <w:r>
        <w:rPr>
          <w:rFonts w:ascii="SimSun" w:eastAsia="SimSun" w:hAnsi="SimSun" w:cs="SimSun"/>
          <w:spacing w:val="-2"/>
          <w:position w:val="18"/>
          <w:sz w:val="22"/>
          <w:szCs w:val="22"/>
        </w:rPr>
        <w:t>管理制度体系不完备，治理技术有待突破，关键领域和全球主要区域减排责任不明确等</w:t>
      </w:r>
    </w:p>
    <w:p>
      <w:pPr>
        <w:spacing w:line="219" w:lineRule="auto"/>
        <w:ind w:left="48"/>
        <w:rPr>
          <w:rFonts w:ascii="SimSun" w:eastAsia="SimSun" w:hAnsi="SimSun" w:cs="SimSun"/>
          <w:sz w:val="22"/>
          <w:szCs w:val="22"/>
        </w:rPr>
      </w:pPr>
      <w:r>
        <w:rPr>
          <w:rFonts w:ascii="SimSun" w:eastAsia="SimSun" w:hAnsi="SimSun" w:cs="SimSun"/>
          <w:spacing w:val="-2"/>
          <w:sz w:val="22"/>
          <w:szCs w:val="22"/>
        </w:rPr>
        <w:t>问题。需要采取更加有力的措施， 切实提升甲烷排放</w:t>
      </w:r>
      <w:r>
        <w:rPr>
          <w:rFonts w:ascii="SimSun" w:eastAsia="SimSun" w:hAnsi="SimSun" w:cs="SimSun"/>
          <w:spacing w:val="-3"/>
          <w:sz w:val="22"/>
          <w:szCs w:val="22"/>
        </w:rPr>
        <w:t>统计核算、监测监管等基础能力。</w:t>
      </w:r>
    </w:p>
    <w:p>
      <w:pPr>
        <w:spacing w:line="443" w:lineRule="auto"/>
        <w:rPr>
          <w:rFonts w:ascii="Arial"/>
          <w:sz w:val="21"/>
        </w:rPr>
      </w:pPr>
    </w:p>
    <w:p>
      <w:pPr>
        <w:pStyle w:val="BodyText"/>
        <w:spacing w:before="72" w:line="393" w:lineRule="auto"/>
        <w:ind w:left="23" w:right="166" w:firstLine="438"/>
        <w:jc w:val="both"/>
        <w:rPr>
          <w:rFonts w:ascii="SimSun" w:eastAsia="SimSun" w:hAnsi="SimSun" w:cs="SimSun"/>
          <w:sz w:val="22"/>
          <w:szCs w:val="22"/>
        </w:rPr>
      </w:pPr>
      <w:r>
        <w:rPr>
          <w:spacing w:val="-2"/>
          <w:sz w:val="22"/>
          <w:szCs w:val="22"/>
        </w:rPr>
        <w:t>CCAPP</w:t>
      </w:r>
      <w:r>
        <w:rPr>
          <w:spacing w:val="19"/>
          <w:sz w:val="22"/>
          <w:szCs w:val="22"/>
        </w:rPr>
        <w:t xml:space="preserve"> </w:t>
      </w:r>
      <w:r>
        <w:rPr>
          <w:rFonts w:ascii="SimSun" w:eastAsia="SimSun" w:hAnsi="SimSun" w:cs="SimSun"/>
          <w:spacing w:val="-2"/>
          <w:sz w:val="22"/>
          <w:szCs w:val="22"/>
        </w:rPr>
        <w:t>志愿者团队利用业余时间翻译了</w:t>
      </w:r>
      <w:r>
        <w:rPr>
          <w:rFonts w:ascii="SimSun" w:eastAsia="SimSun" w:hAnsi="SimSun" w:cs="SimSun"/>
          <w:spacing w:val="-53"/>
          <w:sz w:val="22"/>
          <w:szCs w:val="22"/>
        </w:rPr>
        <w:t xml:space="preserve"> </w:t>
      </w:r>
      <w:r>
        <w:rPr>
          <w:spacing w:val="-2"/>
          <w:sz w:val="22"/>
          <w:szCs w:val="22"/>
        </w:rPr>
        <w:t xml:space="preserve">UNEP </w:t>
      </w:r>
      <w:r>
        <w:rPr>
          <w:rFonts w:ascii="SimSun" w:eastAsia="SimSun" w:hAnsi="SimSun" w:cs="SimSun"/>
          <w:spacing w:val="-2"/>
          <w:sz w:val="22"/>
          <w:szCs w:val="22"/>
        </w:rPr>
        <w:t>和</w:t>
      </w:r>
      <w:r>
        <w:rPr>
          <w:rFonts w:ascii="SimSun" w:eastAsia="SimSun" w:hAnsi="SimSun" w:cs="SimSun"/>
          <w:spacing w:val="-47"/>
          <w:sz w:val="22"/>
          <w:szCs w:val="22"/>
        </w:rPr>
        <w:t xml:space="preserve"> </w:t>
      </w:r>
      <w:r>
        <w:rPr>
          <w:spacing w:val="-2"/>
          <w:sz w:val="22"/>
          <w:szCs w:val="22"/>
        </w:rPr>
        <w:t xml:space="preserve">CCAC </w:t>
      </w:r>
      <w:r>
        <w:rPr>
          <w:rFonts w:ascii="SimSun" w:eastAsia="SimSun" w:hAnsi="SimSun" w:cs="SimSun"/>
          <w:spacing w:val="-2"/>
          <w:sz w:val="22"/>
          <w:szCs w:val="22"/>
        </w:rPr>
        <w:t>共同编写的《</w:t>
      </w:r>
      <w:r>
        <w:rPr>
          <w:spacing w:val="-2"/>
          <w:sz w:val="22"/>
          <w:szCs w:val="22"/>
        </w:rPr>
        <w:t xml:space="preserve">2030 </w:t>
      </w:r>
      <w:r>
        <w:rPr>
          <w:rFonts w:ascii="SimSun" w:eastAsia="SimSun" w:hAnsi="SimSun" w:cs="SimSun"/>
          <w:spacing w:val="-2"/>
          <w:sz w:val="22"/>
          <w:szCs w:val="22"/>
        </w:rPr>
        <w:t>年全球</w:t>
      </w:r>
      <w:r>
        <w:rPr>
          <w:rFonts w:ascii="SimSun" w:eastAsia="SimSun" w:hAnsi="SimSun" w:cs="SimSun"/>
          <w:sz w:val="22"/>
          <w:szCs w:val="22"/>
        </w:rPr>
        <w:t xml:space="preserve"> </w:t>
      </w:r>
      <w:r>
        <w:rPr>
          <w:rFonts w:ascii="SimSun" w:eastAsia="SimSun" w:hAnsi="SimSun" w:cs="SimSun"/>
          <w:spacing w:val="-4"/>
          <w:sz w:val="22"/>
          <w:szCs w:val="22"/>
        </w:rPr>
        <w:t>甲烷评估：基准线报告》。该报告分析了不同模型系统在各基线</w:t>
      </w:r>
      <w:r>
        <w:rPr>
          <w:rFonts w:ascii="SimSun" w:eastAsia="SimSun" w:hAnsi="SimSun" w:cs="SimSun"/>
          <w:spacing w:val="-5"/>
          <w:sz w:val="22"/>
          <w:szCs w:val="22"/>
        </w:rPr>
        <w:t>情景下对</w:t>
      </w:r>
      <w:r>
        <w:rPr>
          <w:rFonts w:ascii="SimSun" w:eastAsia="SimSun" w:hAnsi="SimSun" w:cs="SimSun"/>
          <w:spacing w:val="-51"/>
          <w:sz w:val="22"/>
          <w:szCs w:val="22"/>
        </w:rPr>
        <w:t xml:space="preserve"> </w:t>
      </w:r>
      <w:r>
        <w:rPr>
          <w:spacing w:val="-5"/>
          <w:sz w:val="22"/>
          <w:szCs w:val="22"/>
        </w:rPr>
        <w:t xml:space="preserve">2030 </w:t>
      </w:r>
      <w:r>
        <w:rPr>
          <w:rFonts w:ascii="SimSun" w:eastAsia="SimSun" w:hAnsi="SimSun" w:cs="SimSun"/>
          <w:spacing w:val="-5"/>
          <w:sz w:val="22"/>
          <w:szCs w:val="22"/>
        </w:rPr>
        <w:t>年甲烷排</w:t>
      </w:r>
      <w:r>
        <w:rPr>
          <w:rFonts w:ascii="SimSun" w:eastAsia="SimSun" w:hAnsi="SimSun" w:cs="SimSun"/>
          <w:sz w:val="22"/>
          <w:szCs w:val="22"/>
        </w:rPr>
        <w:t xml:space="preserve"> </w:t>
      </w:r>
      <w:r>
        <w:rPr>
          <w:rFonts w:ascii="SimSun" w:eastAsia="SimSun" w:hAnsi="SimSun" w:cs="SimSun"/>
          <w:spacing w:val="-2"/>
          <w:sz w:val="22"/>
          <w:szCs w:val="22"/>
        </w:rPr>
        <w:t>放预测，特别是量化了全球不同区域、不同行业的甲烷排放贡献及变化趋势，并对各模</w:t>
      </w:r>
      <w:r>
        <w:rPr>
          <w:rFonts w:ascii="SimSun" w:eastAsia="SimSun" w:hAnsi="SimSun" w:cs="SimSun"/>
          <w:spacing w:val="14"/>
          <w:sz w:val="22"/>
          <w:szCs w:val="22"/>
        </w:rPr>
        <w:t xml:space="preserve"> </w:t>
      </w:r>
      <w:r>
        <w:rPr>
          <w:rFonts w:ascii="SimSun" w:eastAsia="SimSun" w:hAnsi="SimSun" w:cs="SimSun"/>
          <w:spacing w:val="-3"/>
          <w:sz w:val="22"/>
          <w:szCs w:val="22"/>
        </w:rPr>
        <w:t>型建立的排放清单不确定性进行了分析，</w:t>
      </w:r>
      <w:r>
        <w:rPr>
          <w:rFonts w:ascii="SimSun" w:eastAsia="SimSun" w:hAnsi="SimSun" w:cs="SimSun"/>
          <w:spacing w:val="-49"/>
          <w:sz w:val="22"/>
          <w:szCs w:val="22"/>
        </w:rPr>
        <w:t xml:space="preserve"> </w:t>
      </w:r>
      <w:r>
        <w:rPr>
          <w:rFonts w:ascii="SimSun" w:eastAsia="SimSun" w:hAnsi="SimSun" w:cs="SimSun"/>
          <w:spacing w:val="-3"/>
          <w:sz w:val="22"/>
          <w:szCs w:val="22"/>
        </w:rPr>
        <w:t>这有助于我们更好了</w:t>
      </w:r>
      <w:r>
        <w:rPr>
          <w:rFonts w:ascii="SimSun" w:eastAsia="SimSun" w:hAnsi="SimSun" w:cs="SimSun"/>
          <w:spacing w:val="-4"/>
          <w:sz w:val="22"/>
          <w:szCs w:val="22"/>
        </w:rPr>
        <w:t>解不同模型工具的测算方</w:t>
      </w:r>
      <w:r>
        <w:rPr>
          <w:rFonts w:ascii="SimSun" w:eastAsia="SimSun" w:hAnsi="SimSun" w:cs="SimSun"/>
          <w:sz w:val="22"/>
          <w:szCs w:val="22"/>
        </w:rPr>
        <w:t xml:space="preserve"> </w:t>
      </w:r>
      <w:r>
        <w:rPr>
          <w:rFonts w:ascii="SimSun" w:eastAsia="SimSun" w:hAnsi="SimSun" w:cs="SimSun"/>
          <w:spacing w:val="-4"/>
          <w:sz w:val="22"/>
          <w:szCs w:val="22"/>
        </w:rPr>
        <w:t>法、应用范围等特性，对于中国全面有序推进甲烷排</w:t>
      </w:r>
      <w:r>
        <w:rPr>
          <w:rFonts w:ascii="SimSun" w:eastAsia="SimSun" w:hAnsi="SimSun" w:cs="SimSun"/>
          <w:spacing w:val="-5"/>
          <w:sz w:val="22"/>
          <w:szCs w:val="22"/>
        </w:rPr>
        <w:t>放控制工作， 积极参与应对气候变</w:t>
      </w:r>
    </w:p>
    <w:p>
      <w:pPr>
        <w:spacing w:line="220" w:lineRule="auto"/>
        <w:ind w:left="24"/>
        <w:rPr>
          <w:rFonts w:ascii="SimSun" w:eastAsia="SimSun" w:hAnsi="SimSun" w:cs="SimSun"/>
          <w:sz w:val="22"/>
          <w:szCs w:val="22"/>
        </w:rPr>
      </w:pPr>
      <w:r>
        <w:rPr>
          <w:rFonts w:ascii="SimSun" w:eastAsia="SimSun" w:hAnsi="SimSun" w:cs="SimSun"/>
          <w:spacing w:val="-3"/>
          <w:sz w:val="22"/>
          <w:szCs w:val="22"/>
        </w:rPr>
        <w:t>化全球治理具有较强的参考意义。</w:t>
      </w:r>
    </w:p>
    <w:p>
      <w:pPr>
        <w:spacing w:line="220" w:lineRule="auto"/>
        <w:rPr>
          <w:rFonts w:ascii="SimSun" w:eastAsia="SimSun" w:hAnsi="SimSun" w:cs="SimSun"/>
          <w:sz w:val="22"/>
          <w:szCs w:val="22"/>
        </w:rPr>
        <w:sectPr>
          <w:headerReference w:type="default" r:id="rId14"/>
          <w:pgSz w:w="11907" w:h="16839"/>
          <w:pgMar w:top="400" w:right="1629" w:bottom="0" w:left="1785" w:header="0" w:footer="0" w:gutter="0"/>
          <w:pgNumType w:start="7"/>
          <w:cols w:space="708"/>
        </w:sect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1657" w:lineRule="exact"/>
        <w:ind w:firstLine="14"/>
      </w:pPr>
      <w:r>
        <w:rPr>
          <w:position w:val="-33"/>
        </w:rPr>
        <w:drawing>
          <wp:inline distT="0" distB="0" distL="0" distR="0">
            <wp:extent cx="982345" cy="105213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5"/>
                    <a:stretch>
                      <a:fillRect/>
                    </a:stretch>
                  </pic:blipFill>
                  <pic:spPr>
                    <a:xfrm>
                      <a:off x="0" y="0"/>
                      <a:ext cx="982345" cy="1052131"/>
                    </a:xfrm>
                    <a:prstGeom prst="rect">
                      <a:avLst/>
                    </a:prstGeom>
                  </pic:spPr>
                </pic:pic>
              </a:graphicData>
            </a:graphic>
          </wp:inline>
        </w:drawing>
      </w:r>
    </w:p>
    <w:p>
      <w:pPr>
        <w:spacing w:before="232" w:line="221" w:lineRule="auto"/>
        <w:ind w:left="24"/>
        <w:rPr>
          <w:rFonts w:ascii="SimSun" w:eastAsia="SimSun" w:hAnsi="SimSun" w:cs="SimSun"/>
          <w:sz w:val="22"/>
          <w:szCs w:val="22"/>
        </w:rPr>
      </w:pPr>
      <w:r>
        <w:rPr>
          <w:rFonts w:ascii="SimSun" w:eastAsia="SimSun" w:hAnsi="SimSun" w:cs="SimSun"/>
          <w:spacing w:val="-3"/>
          <w:sz w:val="22"/>
          <w:szCs w:val="22"/>
          <w14:textOutline w14:w="4005">
            <w14:solidFill>
              <w14:srgbClr w14:val="000000"/>
            </w14:solidFill>
            <w14:prstDash w14:val="solid"/>
            <w14:miter w14:lim="10"/>
          </w14:textOutline>
        </w:rPr>
        <w:t>傅莎</w:t>
      </w:r>
    </w:p>
    <w:p>
      <w:pPr>
        <w:spacing w:before="205" w:line="219" w:lineRule="auto"/>
        <w:ind w:left="31"/>
        <w:rPr>
          <w:rFonts w:ascii="SimSun" w:eastAsia="SimSun" w:hAnsi="SimSun" w:cs="SimSun"/>
          <w:sz w:val="22"/>
          <w:szCs w:val="22"/>
        </w:rPr>
      </w:pPr>
      <w:r>
        <w:rPr>
          <w:rFonts w:ascii="SimSun" w:eastAsia="SimSun" w:hAnsi="SimSun" w:cs="SimSun"/>
          <w:spacing w:val="-1"/>
          <w:sz w:val="22"/>
          <w:szCs w:val="22"/>
          <w14:textOutline w14:w="4005">
            <w14:solidFill>
              <w14:srgbClr w14:val="000000"/>
            </w14:solidFill>
            <w14:prstDash w14:val="solid"/>
            <w14:miter w14:lim="10"/>
          </w14:textOutline>
        </w:rPr>
        <w:t>能源基金会战略规划主任</w:t>
      </w:r>
    </w:p>
    <w:p>
      <w:pPr>
        <w:spacing w:line="298" w:lineRule="auto"/>
        <w:rPr>
          <w:rFonts w:ascii="Arial"/>
          <w:sz w:val="21"/>
        </w:rPr>
      </w:pPr>
    </w:p>
    <w:p>
      <w:pPr>
        <w:spacing w:line="299" w:lineRule="auto"/>
        <w:rPr>
          <w:rFonts w:ascii="Arial"/>
          <w:sz w:val="21"/>
        </w:rPr>
      </w:pPr>
    </w:p>
    <w:p>
      <w:pPr>
        <w:spacing w:before="72" w:line="393" w:lineRule="auto"/>
        <w:ind w:left="22" w:right="185" w:firstLine="468"/>
        <w:jc w:val="both"/>
        <w:rPr>
          <w:rFonts w:ascii="SimSun" w:eastAsia="SimSun" w:hAnsi="SimSun" w:cs="SimSun"/>
          <w:sz w:val="22"/>
          <w:szCs w:val="22"/>
        </w:rPr>
      </w:pPr>
      <w:r>
        <w:rPr>
          <w:rFonts w:ascii="SimSun" w:eastAsia="SimSun" w:hAnsi="SimSun" w:cs="SimSun"/>
          <w:spacing w:val="-2"/>
          <w:sz w:val="22"/>
          <w:szCs w:val="22"/>
        </w:rPr>
        <w:t>甲烷是仅次于二氧化碳的第二大温室气体，基于最新的 IP</w:t>
      </w:r>
      <w:r>
        <w:rPr>
          <w:rFonts w:ascii="SimSun" w:eastAsia="SimSun" w:hAnsi="SimSun" w:cs="SimSun"/>
          <w:spacing w:val="-3"/>
          <w:sz w:val="22"/>
          <w:szCs w:val="22"/>
        </w:rPr>
        <w:t>CC 第六次评估报告，其</w:t>
      </w:r>
      <w:r>
        <w:rPr>
          <w:rFonts w:ascii="SimSun" w:eastAsia="SimSun" w:hAnsi="SimSun" w:cs="SimSun"/>
          <w:sz w:val="22"/>
          <w:szCs w:val="22"/>
        </w:rPr>
        <w:t xml:space="preserve"> </w:t>
      </w:r>
      <w:r>
        <w:rPr>
          <w:rFonts w:ascii="SimSun" w:eastAsia="SimSun" w:hAnsi="SimSun" w:cs="SimSun"/>
          <w:spacing w:val="-4"/>
          <w:sz w:val="22"/>
          <w:szCs w:val="22"/>
        </w:rPr>
        <w:t>在百年尺度下的全球增温潜势是二氧化碳的</w:t>
      </w:r>
      <w:r>
        <w:rPr>
          <w:rFonts w:ascii="SimSun" w:eastAsia="SimSun" w:hAnsi="SimSun" w:cs="SimSun"/>
          <w:spacing w:val="-38"/>
          <w:sz w:val="22"/>
          <w:szCs w:val="22"/>
        </w:rPr>
        <w:t xml:space="preserve"> </w:t>
      </w:r>
      <w:r>
        <w:rPr>
          <w:rFonts w:ascii="SimSun" w:eastAsia="SimSun" w:hAnsi="SimSun" w:cs="SimSun"/>
          <w:spacing w:val="-4"/>
          <w:sz w:val="22"/>
          <w:szCs w:val="22"/>
        </w:rPr>
        <w:t>27.9</w:t>
      </w:r>
      <w:r>
        <w:rPr>
          <w:rFonts w:ascii="SimSun" w:eastAsia="SimSun" w:hAnsi="SimSun" w:cs="SimSun"/>
          <w:spacing w:val="-49"/>
          <w:sz w:val="22"/>
          <w:szCs w:val="22"/>
        </w:rPr>
        <w:t xml:space="preserve"> </w:t>
      </w:r>
      <w:r>
        <w:rPr>
          <w:rFonts w:ascii="SimSun" w:eastAsia="SimSun" w:hAnsi="SimSun" w:cs="SimSun"/>
          <w:spacing w:val="-4"/>
          <w:sz w:val="22"/>
          <w:szCs w:val="22"/>
        </w:rPr>
        <w:t>倍，</w:t>
      </w:r>
      <w:r>
        <w:rPr>
          <w:rFonts w:ascii="SimSun" w:eastAsia="SimSun" w:hAnsi="SimSun" w:cs="SimSun"/>
          <w:spacing w:val="-48"/>
          <w:sz w:val="22"/>
          <w:szCs w:val="22"/>
        </w:rPr>
        <w:t xml:space="preserve"> </w:t>
      </w:r>
      <w:r>
        <w:rPr>
          <w:rFonts w:ascii="SimSun" w:eastAsia="SimSun" w:hAnsi="SimSun" w:cs="SimSun"/>
          <w:spacing w:val="-4"/>
          <w:sz w:val="22"/>
          <w:szCs w:val="22"/>
        </w:rPr>
        <w:t>二十年尺度下为</w:t>
      </w:r>
      <w:r>
        <w:rPr>
          <w:rFonts w:ascii="SimSun" w:eastAsia="SimSun" w:hAnsi="SimSun" w:cs="SimSun"/>
          <w:spacing w:val="-45"/>
          <w:sz w:val="22"/>
          <w:szCs w:val="22"/>
        </w:rPr>
        <w:t xml:space="preserve"> </w:t>
      </w:r>
      <w:r>
        <w:rPr>
          <w:rFonts w:ascii="SimSun" w:eastAsia="SimSun" w:hAnsi="SimSun" w:cs="SimSun"/>
          <w:spacing w:val="-4"/>
          <w:sz w:val="22"/>
          <w:szCs w:val="22"/>
        </w:rPr>
        <w:t>81.2</w:t>
      </w:r>
      <w:r>
        <w:rPr>
          <w:rFonts w:ascii="SimSun" w:eastAsia="SimSun" w:hAnsi="SimSun" w:cs="SimSun"/>
          <w:spacing w:val="-46"/>
          <w:sz w:val="22"/>
          <w:szCs w:val="22"/>
        </w:rPr>
        <w:t xml:space="preserve"> </w:t>
      </w:r>
      <w:r>
        <w:rPr>
          <w:rFonts w:ascii="SimSun" w:eastAsia="SimSun" w:hAnsi="SimSun" w:cs="SimSun"/>
          <w:spacing w:val="-4"/>
          <w:sz w:val="22"/>
          <w:szCs w:val="22"/>
        </w:rPr>
        <w:t>倍。相比二</w:t>
      </w:r>
      <w:r>
        <w:rPr>
          <w:rFonts w:ascii="SimSun" w:eastAsia="SimSun" w:hAnsi="SimSun" w:cs="SimSun"/>
          <w:sz w:val="22"/>
          <w:szCs w:val="22"/>
        </w:rPr>
        <w:t xml:space="preserve"> </w:t>
      </w:r>
      <w:r>
        <w:rPr>
          <w:rFonts w:ascii="SimSun" w:eastAsia="SimSun" w:hAnsi="SimSun" w:cs="SimSun"/>
          <w:spacing w:val="-7"/>
          <w:sz w:val="22"/>
          <w:szCs w:val="22"/>
        </w:rPr>
        <w:t>氧化碳，甲烷的减排可在短期内迅速降低温室气体浓度， 控制全球温升， 对实现</w:t>
      </w:r>
      <w:r>
        <w:rPr>
          <w:rFonts w:ascii="SimSun" w:eastAsia="SimSun" w:hAnsi="SimSun" w:cs="SimSun"/>
          <w:spacing w:val="-8"/>
          <w:sz w:val="22"/>
          <w:szCs w:val="22"/>
        </w:rPr>
        <w:t>全球气</w:t>
      </w:r>
      <w:r>
        <w:rPr>
          <w:rFonts w:ascii="SimSun" w:eastAsia="SimSun" w:hAnsi="SimSun" w:cs="SimSun"/>
          <w:sz w:val="22"/>
          <w:szCs w:val="22"/>
        </w:rPr>
        <w:t xml:space="preserve"> </w:t>
      </w:r>
      <w:r>
        <w:rPr>
          <w:rFonts w:ascii="SimSun" w:eastAsia="SimSun" w:hAnsi="SimSun" w:cs="SimSun"/>
          <w:spacing w:val="-4"/>
          <w:sz w:val="22"/>
          <w:szCs w:val="22"/>
        </w:rPr>
        <w:t>候目标具有重要意义。中国甲烷排放量居世界首位，据欧盟联合研究中心的测算，</w:t>
      </w:r>
      <w:r>
        <w:rPr>
          <w:rFonts w:ascii="SimSun" w:eastAsia="SimSun" w:hAnsi="SimSun" w:cs="SimSun"/>
          <w:spacing w:val="-5"/>
          <w:sz w:val="22"/>
          <w:szCs w:val="22"/>
        </w:rPr>
        <w:t xml:space="preserve"> 2021</w:t>
      </w:r>
      <w:r>
        <w:rPr>
          <w:rFonts w:ascii="SimSun" w:eastAsia="SimSun" w:hAnsi="SimSun" w:cs="SimSun"/>
          <w:sz w:val="22"/>
          <w:szCs w:val="22"/>
        </w:rPr>
        <w:t xml:space="preserve"> </w:t>
      </w:r>
      <w:r>
        <w:rPr>
          <w:rFonts w:ascii="SimSun" w:eastAsia="SimSun" w:hAnsi="SimSun" w:cs="SimSun"/>
          <w:spacing w:val="-2"/>
          <w:sz w:val="22"/>
          <w:szCs w:val="22"/>
        </w:rPr>
        <w:t>年中国甲烷排放占全球总排放的</w:t>
      </w:r>
      <w:r>
        <w:rPr>
          <w:rFonts w:ascii="SimSun" w:eastAsia="SimSun" w:hAnsi="SimSun" w:cs="SimSun"/>
          <w:spacing w:val="-11"/>
          <w:sz w:val="22"/>
          <w:szCs w:val="22"/>
        </w:rPr>
        <w:t xml:space="preserve"> </w:t>
      </w:r>
      <w:r>
        <w:rPr>
          <w:rFonts w:ascii="SimSun" w:eastAsia="SimSun" w:hAnsi="SimSun" w:cs="SimSun"/>
          <w:spacing w:val="-2"/>
          <w:sz w:val="22"/>
          <w:szCs w:val="22"/>
        </w:rPr>
        <w:t>19%左右。中国的甲烷减排对全球实现</w:t>
      </w:r>
      <w:r>
        <w:rPr>
          <w:rFonts w:ascii="SimSun" w:eastAsia="SimSun" w:hAnsi="SimSun" w:cs="SimSun"/>
          <w:spacing w:val="-29"/>
          <w:sz w:val="22"/>
          <w:szCs w:val="22"/>
        </w:rPr>
        <w:t xml:space="preserve"> </w:t>
      </w:r>
      <w:r>
        <w:rPr>
          <w:rFonts w:ascii="SimSun" w:eastAsia="SimSun" w:hAnsi="SimSun" w:cs="SimSun"/>
          <w:spacing w:val="-2"/>
          <w:sz w:val="22"/>
          <w:szCs w:val="22"/>
        </w:rPr>
        <w:t>1.5</w:t>
      </w:r>
      <w:r>
        <w:rPr>
          <w:rFonts w:ascii="SimSun" w:eastAsia="SimSun" w:hAnsi="SimSun" w:cs="SimSun"/>
          <w:spacing w:val="-50"/>
          <w:sz w:val="22"/>
          <w:szCs w:val="22"/>
        </w:rPr>
        <w:t xml:space="preserve"> </w:t>
      </w:r>
      <w:r>
        <w:rPr>
          <w:rFonts w:ascii="SimSun" w:eastAsia="SimSun" w:hAnsi="SimSun" w:cs="SimSun"/>
          <w:spacing w:val="-2"/>
          <w:sz w:val="22"/>
          <w:szCs w:val="22"/>
        </w:rPr>
        <w:t>度温升目标</w:t>
      </w:r>
      <w:r>
        <w:rPr>
          <w:rFonts w:ascii="SimSun" w:eastAsia="SimSun" w:hAnsi="SimSun" w:cs="SimSun"/>
          <w:sz w:val="22"/>
          <w:szCs w:val="22"/>
        </w:rPr>
        <w:t xml:space="preserve"> </w:t>
      </w:r>
      <w:r>
        <w:rPr>
          <w:rFonts w:ascii="SimSun" w:eastAsia="SimSun" w:hAnsi="SimSun" w:cs="SimSun"/>
          <w:spacing w:val="-4"/>
          <w:sz w:val="22"/>
          <w:szCs w:val="22"/>
        </w:rPr>
        <w:t>以及避免短期内的温升过冲意义重大，</w:t>
      </w:r>
      <w:r>
        <w:rPr>
          <w:rFonts w:ascii="SimSun" w:eastAsia="SimSun" w:hAnsi="SimSun" w:cs="SimSun"/>
          <w:spacing w:val="-20"/>
          <w:sz w:val="22"/>
          <w:szCs w:val="22"/>
        </w:rPr>
        <w:t xml:space="preserve"> </w:t>
      </w:r>
      <w:r>
        <w:rPr>
          <w:rFonts w:ascii="SimSun" w:eastAsia="SimSun" w:hAnsi="SimSun" w:cs="SimSun"/>
          <w:spacing w:val="-4"/>
          <w:sz w:val="22"/>
          <w:szCs w:val="22"/>
        </w:rPr>
        <w:t>同时还能改善本土空气质量，带来经济和健康方</w:t>
      </w:r>
    </w:p>
    <w:p>
      <w:pPr>
        <w:spacing w:before="1" w:line="220" w:lineRule="auto"/>
        <w:ind w:left="24"/>
        <w:rPr>
          <w:rFonts w:ascii="SimSun" w:eastAsia="SimSun" w:hAnsi="SimSun" w:cs="SimSun"/>
          <w:sz w:val="22"/>
          <w:szCs w:val="22"/>
        </w:rPr>
      </w:pPr>
      <w:r>
        <w:rPr>
          <w:rFonts w:ascii="SimSun" w:eastAsia="SimSun" w:hAnsi="SimSun" w:cs="SimSun"/>
          <w:spacing w:val="-2"/>
          <w:sz w:val="22"/>
          <w:szCs w:val="22"/>
        </w:rPr>
        <w:t>面的效益。</w:t>
      </w:r>
    </w:p>
    <w:p>
      <w:pPr>
        <w:spacing w:line="440" w:lineRule="auto"/>
        <w:rPr>
          <w:rFonts w:ascii="Arial"/>
          <w:sz w:val="21"/>
        </w:rPr>
      </w:pPr>
    </w:p>
    <w:p>
      <w:pPr>
        <w:spacing w:before="71" w:line="393" w:lineRule="auto"/>
        <w:ind w:left="8" w:right="129" w:firstLine="453"/>
        <w:jc w:val="both"/>
        <w:rPr>
          <w:rFonts w:ascii="SimSun" w:eastAsia="SimSun" w:hAnsi="SimSun" w:cs="SimSun"/>
          <w:sz w:val="22"/>
          <w:szCs w:val="22"/>
        </w:rPr>
      </w:pPr>
      <w:r>
        <w:rPr>
          <w:rFonts w:ascii="SimSun" w:eastAsia="SimSun" w:hAnsi="SimSun" w:cs="SimSun"/>
          <w:spacing w:val="-2"/>
          <w:sz w:val="22"/>
          <w:szCs w:val="22"/>
        </w:rPr>
        <w:t>近年来，甲烷控排已成为全球气候治理的重要议题之一，屡次出现在国际气候谈判</w:t>
      </w:r>
      <w:r>
        <w:rPr>
          <w:rFonts w:ascii="SimSun" w:eastAsia="SimSun" w:hAnsi="SimSun" w:cs="SimSun"/>
          <w:spacing w:val="11"/>
          <w:sz w:val="22"/>
          <w:szCs w:val="22"/>
        </w:rPr>
        <w:t xml:space="preserve"> </w:t>
      </w:r>
      <w:r>
        <w:rPr>
          <w:rFonts w:ascii="SimSun" w:eastAsia="SimSun" w:hAnsi="SimSun" w:cs="SimSun"/>
          <w:spacing w:val="-7"/>
          <w:sz w:val="22"/>
          <w:szCs w:val="22"/>
        </w:rPr>
        <w:t>议程上，</w:t>
      </w:r>
      <w:r>
        <w:rPr>
          <w:rFonts w:ascii="SimSun" w:eastAsia="SimSun" w:hAnsi="SimSun" w:cs="SimSun"/>
          <w:spacing w:val="47"/>
          <w:sz w:val="22"/>
          <w:szCs w:val="22"/>
        </w:rPr>
        <w:t xml:space="preserve"> </w:t>
      </w:r>
      <w:r>
        <w:rPr>
          <w:rFonts w:ascii="SimSun" w:eastAsia="SimSun" w:hAnsi="SimSun" w:cs="SimSun"/>
          <w:spacing w:val="-7"/>
          <w:sz w:val="22"/>
          <w:szCs w:val="22"/>
        </w:rPr>
        <w:t>中国也高度重视甲烷控排以推动全球气候治理。 2021 年在 COP26 期间发布的</w:t>
      </w:r>
      <w:r>
        <w:rPr>
          <w:rFonts w:ascii="SimSun" w:eastAsia="SimSun" w:hAnsi="SimSun" w:cs="SimSun"/>
          <w:sz w:val="22"/>
          <w:szCs w:val="22"/>
        </w:rPr>
        <w:t xml:space="preserve"> </w:t>
      </w:r>
      <w:r>
        <w:rPr>
          <w:rFonts w:ascii="SimSun" w:eastAsia="SimSun" w:hAnsi="SimSun" w:cs="SimSun"/>
          <w:spacing w:val="-1"/>
          <w:sz w:val="22"/>
          <w:szCs w:val="22"/>
        </w:rPr>
        <w:t>《中美格拉斯哥宣言》和 2023 年底中美发布的《关于加强合作应对气候危</w:t>
      </w:r>
      <w:r>
        <w:rPr>
          <w:rFonts w:ascii="SimSun" w:eastAsia="SimSun" w:hAnsi="SimSun" w:cs="SimSun"/>
          <w:spacing w:val="-2"/>
          <w:sz w:val="22"/>
          <w:szCs w:val="22"/>
        </w:rPr>
        <w:t>机的阳光之</w:t>
      </w:r>
      <w:r>
        <w:rPr>
          <w:rFonts w:ascii="SimSun" w:eastAsia="SimSun" w:hAnsi="SimSun" w:cs="SimSun"/>
          <w:sz w:val="22"/>
          <w:szCs w:val="22"/>
        </w:rPr>
        <w:t xml:space="preserve"> </w:t>
      </w:r>
      <w:r>
        <w:rPr>
          <w:rFonts w:ascii="SimSun" w:eastAsia="SimSun" w:hAnsi="SimSun" w:cs="SimSun"/>
          <w:spacing w:val="-7"/>
          <w:sz w:val="22"/>
          <w:szCs w:val="22"/>
        </w:rPr>
        <w:t>乡声明》均提及要加强两国在甲烷减排议题上的合作。</w:t>
      </w:r>
      <w:r>
        <w:rPr>
          <w:rFonts w:ascii="SimSun" w:eastAsia="SimSun" w:hAnsi="SimSun" w:cs="SimSun"/>
          <w:spacing w:val="-16"/>
          <w:sz w:val="22"/>
          <w:szCs w:val="22"/>
        </w:rPr>
        <w:t xml:space="preserve"> </w:t>
      </w:r>
      <w:r>
        <w:rPr>
          <w:rFonts w:ascii="SimSun" w:eastAsia="SimSun" w:hAnsi="SimSun" w:cs="SimSun"/>
          <w:spacing w:val="-7"/>
          <w:sz w:val="22"/>
          <w:szCs w:val="22"/>
        </w:rPr>
        <w:t>2023</w:t>
      </w:r>
      <w:r>
        <w:rPr>
          <w:rFonts w:ascii="SimSun" w:eastAsia="SimSun" w:hAnsi="SimSun" w:cs="SimSun"/>
          <w:spacing w:val="-47"/>
          <w:sz w:val="22"/>
          <w:szCs w:val="22"/>
        </w:rPr>
        <w:t xml:space="preserve"> </w:t>
      </w:r>
      <w:r>
        <w:rPr>
          <w:rFonts w:ascii="SimSun" w:eastAsia="SimSun" w:hAnsi="SimSun" w:cs="SimSun"/>
          <w:spacing w:val="-7"/>
          <w:sz w:val="22"/>
          <w:szCs w:val="22"/>
        </w:rPr>
        <w:t>年</w:t>
      </w:r>
      <w:r>
        <w:rPr>
          <w:rFonts w:ascii="SimSun" w:eastAsia="SimSun" w:hAnsi="SimSun" w:cs="SimSun"/>
          <w:spacing w:val="-30"/>
          <w:sz w:val="22"/>
          <w:szCs w:val="22"/>
        </w:rPr>
        <w:t xml:space="preserve"> </w:t>
      </w:r>
      <w:r>
        <w:rPr>
          <w:rFonts w:ascii="SimSun" w:eastAsia="SimSun" w:hAnsi="SimSun" w:cs="SimSun"/>
          <w:spacing w:val="-7"/>
          <w:sz w:val="22"/>
          <w:szCs w:val="22"/>
        </w:rPr>
        <w:t>11</w:t>
      </w:r>
      <w:r>
        <w:rPr>
          <w:rFonts w:ascii="SimSun" w:eastAsia="SimSun" w:hAnsi="SimSun" w:cs="SimSun"/>
          <w:spacing w:val="-41"/>
          <w:sz w:val="22"/>
          <w:szCs w:val="22"/>
        </w:rPr>
        <w:t xml:space="preserve"> </w:t>
      </w:r>
      <w:r>
        <w:rPr>
          <w:rFonts w:ascii="SimSun" w:eastAsia="SimSun" w:hAnsi="SimSun" w:cs="SimSun"/>
          <w:spacing w:val="-7"/>
          <w:sz w:val="22"/>
          <w:szCs w:val="22"/>
        </w:rPr>
        <w:t>月</w:t>
      </w:r>
      <w:r>
        <w:rPr>
          <w:rFonts w:ascii="SimSun" w:eastAsia="SimSun" w:hAnsi="SimSun" w:cs="SimSun"/>
          <w:spacing w:val="-41"/>
          <w:sz w:val="22"/>
          <w:szCs w:val="22"/>
        </w:rPr>
        <w:t xml:space="preserve"> </w:t>
      </w:r>
      <w:r>
        <w:rPr>
          <w:rFonts w:ascii="SimSun" w:eastAsia="SimSun" w:hAnsi="SimSun" w:cs="SimSun"/>
          <w:spacing w:val="-7"/>
          <w:sz w:val="22"/>
          <w:szCs w:val="22"/>
        </w:rPr>
        <w:t>7 日，</w:t>
      </w:r>
      <w:r>
        <w:rPr>
          <w:rFonts w:ascii="SimSun" w:eastAsia="SimSun" w:hAnsi="SimSun" w:cs="SimSun"/>
          <w:spacing w:val="-26"/>
          <w:sz w:val="22"/>
          <w:szCs w:val="22"/>
        </w:rPr>
        <w:t xml:space="preserve"> </w:t>
      </w:r>
      <w:r>
        <w:rPr>
          <w:rFonts w:ascii="SimSun" w:eastAsia="SimSun" w:hAnsi="SimSun" w:cs="SimSun"/>
          <w:spacing w:val="-7"/>
          <w:sz w:val="22"/>
          <w:szCs w:val="22"/>
        </w:rPr>
        <w:t>中国发布了</w:t>
      </w:r>
      <w:r>
        <w:rPr>
          <w:rFonts w:ascii="SimSun" w:eastAsia="SimSun" w:hAnsi="SimSun" w:cs="SimSun"/>
          <w:sz w:val="22"/>
          <w:szCs w:val="22"/>
        </w:rPr>
        <w:t xml:space="preserve"> </w:t>
      </w:r>
      <w:r>
        <w:rPr>
          <w:rFonts w:ascii="SimSun" w:eastAsia="SimSun" w:hAnsi="SimSun" w:cs="SimSun"/>
          <w:spacing w:val="-1"/>
          <w:sz w:val="22"/>
          <w:szCs w:val="22"/>
        </w:rPr>
        <w:t>《甲烷排放控制行动方案》，作为中国开展甲烷排放管理控制的顶</w:t>
      </w:r>
      <w:r>
        <w:rPr>
          <w:rFonts w:ascii="SimSun" w:eastAsia="SimSun" w:hAnsi="SimSun" w:cs="SimSun"/>
          <w:spacing w:val="-2"/>
          <w:sz w:val="22"/>
          <w:szCs w:val="22"/>
        </w:rPr>
        <w:t>层设计文件，明确了</w:t>
      </w:r>
      <w:r>
        <w:rPr>
          <w:rFonts w:ascii="SimSun" w:eastAsia="SimSun" w:hAnsi="SimSun" w:cs="SimSun"/>
          <w:sz w:val="22"/>
          <w:szCs w:val="22"/>
        </w:rPr>
        <w:t xml:space="preserve"> </w:t>
      </w:r>
      <w:r>
        <w:rPr>
          <w:rFonts w:ascii="SimSun" w:eastAsia="SimSun" w:hAnsi="SimSun" w:cs="SimSun"/>
          <w:spacing w:val="-3"/>
          <w:sz w:val="22"/>
          <w:szCs w:val="22"/>
        </w:rPr>
        <w:t>“十四五</w:t>
      </w:r>
      <w:r>
        <w:rPr>
          <w:rFonts w:ascii="SimSun" w:eastAsia="SimSun" w:hAnsi="SimSun" w:cs="SimSun"/>
          <w:spacing w:val="-72"/>
          <w:sz w:val="22"/>
          <w:szCs w:val="22"/>
        </w:rPr>
        <w:t xml:space="preserve"> </w:t>
      </w:r>
      <w:r>
        <w:rPr>
          <w:rFonts w:ascii="SimSun" w:eastAsia="SimSun" w:hAnsi="SimSun" w:cs="SimSun"/>
          <w:spacing w:val="-3"/>
          <w:sz w:val="22"/>
          <w:szCs w:val="22"/>
        </w:rPr>
        <w:t>”和“十五五</w:t>
      </w:r>
      <w:r>
        <w:rPr>
          <w:rFonts w:ascii="SimSun" w:eastAsia="SimSun" w:hAnsi="SimSun" w:cs="SimSun"/>
          <w:spacing w:val="-82"/>
          <w:sz w:val="22"/>
          <w:szCs w:val="22"/>
        </w:rPr>
        <w:t xml:space="preserve"> </w:t>
      </w:r>
      <w:r>
        <w:rPr>
          <w:rFonts w:ascii="SimSun" w:eastAsia="SimSun" w:hAnsi="SimSun" w:cs="SimSun"/>
          <w:spacing w:val="-3"/>
          <w:sz w:val="22"/>
          <w:szCs w:val="22"/>
        </w:rPr>
        <w:t>”期间甲烷控排的主要目标和重点任务。由于甲烷排放的不确定</w:t>
      </w:r>
      <w:r>
        <w:rPr>
          <w:rFonts w:ascii="SimSun" w:eastAsia="SimSun" w:hAnsi="SimSun" w:cs="SimSun"/>
          <w:sz w:val="22"/>
          <w:szCs w:val="22"/>
        </w:rPr>
        <w:t xml:space="preserve"> </w:t>
      </w:r>
      <w:r>
        <w:rPr>
          <w:rFonts w:ascii="SimSun" w:eastAsia="SimSun" w:hAnsi="SimSun" w:cs="SimSun"/>
          <w:sz w:val="22"/>
          <w:szCs w:val="22"/>
        </w:rPr>
        <w:t>性远高于二氧化碳且相关研究基础薄弱，中国甲烷控排仍需在制定中长期控减排目标，</w:t>
      </w:r>
      <w:r>
        <w:rPr>
          <w:rFonts w:ascii="SimSun" w:eastAsia="SimSun" w:hAnsi="SimSun" w:cs="SimSun"/>
          <w:spacing w:val="12"/>
          <w:sz w:val="22"/>
          <w:szCs w:val="22"/>
        </w:rPr>
        <w:t xml:space="preserve"> </w:t>
      </w:r>
      <w:r>
        <w:rPr>
          <w:rFonts w:ascii="SimSun" w:eastAsia="SimSun" w:hAnsi="SimSun" w:cs="SimSun"/>
          <w:spacing w:val="-6"/>
          <w:sz w:val="22"/>
          <w:szCs w:val="22"/>
        </w:rPr>
        <w:t>改善监测、报告和核查（MRV）体系夯实数据基础，完善激励机制，</w:t>
      </w:r>
      <w:r>
        <w:rPr>
          <w:rFonts w:ascii="SimSun" w:eastAsia="SimSun" w:hAnsi="SimSun" w:cs="SimSun"/>
          <w:spacing w:val="-25"/>
          <w:sz w:val="22"/>
          <w:szCs w:val="22"/>
        </w:rPr>
        <w:t xml:space="preserve"> </w:t>
      </w:r>
      <w:r>
        <w:rPr>
          <w:rFonts w:ascii="SimSun" w:eastAsia="SimSun" w:hAnsi="SimSun" w:cs="SimSun"/>
          <w:spacing w:val="-6"/>
          <w:sz w:val="22"/>
          <w:szCs w:val="22"/>
        </w:rPr>
        <w:t>加强污染物与甲烷的</w:t>
      </w:r>
    </w:p>
    <w:p>
      <w:pPr>
        <w:spacing w:line="220" w:lineRule="auto"/>
        <w:ind w:left="24"/>
        <w:rPr>
          <w:rFonts w:ascii="SimSun" w:eastAsia="SimSun" w:hAnsi="SimSun" w:cs="SimSun"/>
          <w:sz w:val="22"/>
          <w:szCs w:val="22"/>
        </w:rPr>
      </w:pPr>
      <w:r>
        <w:rPr>
          <w:rFonts w:ascii="SimSun" w:eastAsia="SimSun" w:hAnsi="SimSun" w:cs="SimSun"/>
          <w:spacing w:val="-1"/>
          <w:sz w:val="22"/>
          <w:szCs w:val="22"/>
        </w:rPr>
        <w:t>协同控制，分类施策、先行先试等方面进一步落实和强化工作。</w:t>
      </w:r>
    </w:p>
    <w:p>
      <w:pPr>
        <w:spacing w:line="443" w:lineRule="auto"/>
        <w:rPr>
          <w:rFonts w:ascii="Arial"/>
          <w:sz w:val="21"/>
        </w:rPr>
      </w:pPr>
    </w:p>
    <w:p>
      <w:pPr>
        <w:spacing w:before="72" w:line="393" w:lineRule="auto"/>
        <w:ind w:left="23" w:right="189" w:firstLine="459"/>
        <w:jc w:val="both"/>
        <w:rPr>
          <w:rFonts w:ascii="SimSun" w:eastAsia="SimSun" w:hAnsi="SimSun" w:cs="SimSun"/>
          <w:sz w:val="22"/>
          <w:szCs w:val="22"/>
        </w:rPr>
      </w:pPr>
      <w:r>
        <w:rPr>
          <w:rFonts w:ascii="SimSun" w:eastAsia="SimSun" w:hAnsi="SimSun" w:cs="SimSun"/>
          <w:spacing w:val="1"/>
          <w:sz w:val="22"/>
          <w:szCs w:val="22"/>
        </w:rPr>
        <w:t>中国清洁空气政策伙伴关系志愿者团队翻译的《2030 年</w:t>
      </w:r>
      <w:r>
        <w:rPr>
          <w:rFonts w:ascii="SimSun" w:eastAsia="SimSun" w:hAnsi="SimSun" w:cs="SimSun"/>
          <w:sz w:val="22"/>
          <w:szCs w:val="22"/>
        </w:rPr>
        <w:t xml:space="preserve">全球甲烷评估：基准线报 </w:t>
      </w:r>
      <w:r>
        <w:rPr>
          <w:rFonts w:ascii="SimSun" w:eastAsia="SimSun" w:hAnsi="SimSun" w:cs="SimSun"/>
          <w:spacing w:val="-7"/>
          <w:sz w:val="22"/>
          <w:szCs w:val="22"/>
        </w:rPr>
        <w:t>告》，利用多模型比较的方法，</w:t>
      </w:r>
      <w:r>
        <w:rPr>
          <w:rFonts w:ascii="SimSun" w:eastAsia="SimSun" w:hAnsi="SimSun" w:cs="SimSun"/>
          <w:spacing w:val="-25"/>
          <w:sz w:val="22"/>
          <w:szCs w:val="22"/>
        </w:rPr>
        <w:t xml:space="preserve"> </w:t>
      </w:r>
      <w:r>
        <w:rPr>
          <w:rFonts w:ascii="SimSun" w:eastAsia="SimSun" w:hAnsi="SimSun" w:cs="SimSun"/>
          <w:spacing w:val="-7"/>
          <w:sz w:val="22"/>
          <w:szCs w:val="22"/>
        </w:rPr>
        <w:t>对不施加额外政策干预的基准情景下的</w:t>
      </w:r>
      <w:r>
        <w:rPr>
          <w:rFonts w:ascii="SimSun" w:eastAsia="SimSun" w:hAnsi="SimSun" w:cs="SimSun"/>
          <w:spacing w:val="-43"/>
          <w:sz w:val="22"/>
          <w:szCs w:val="22"/>
        </w:rPr>
        <w:t xml:space="preserve"> </w:t>
      </w:r>
      <w:r>
        <w:rPr>
          <w:rFonts w:ascii="SimSun" w:eastAsia="SimSun" w:hAnsi="SimSun" w:cs="SimSun"/>
          <w:spacing w:val="-7"/>
          <w:sz w:val="22"/>
          <w:szCs w:val="22"/>
        </w:rPr>
        <w:t>2030</w:t>
      </w:r>
      <w:r>
        <w:rPr>
          <w:rFonts w:ascii="SimSun" w:eastAsia="SimSun" w:hAnsi="SimSun" w:cs="SimSun"/>
          <w:spacing w:val="-45"/>
          <w:sz w:val="22"/>
          <w:szCs w:val="22"/>
        </w:rPr>
        <w:t xml:space="preserve"> </w:t>
      </w:r>
      <w:r>
        <w:rPr>
          <w:rFonts w:ascii="SimSun" w:eastAsia="SimSun" w:hAnsi="SimSun" w:cs="SimSun"/>
          <w:spacing w:val="-7"/>
          <w:sz w:val="22"/>
          <w:szCs w:val="22"/>
        </w:rPr>
        <w:t>年全球主要</w:t>
      </w:r>
      <w:r>
        <w:rPr>
          <w:rFonts w:ascii="SimSun" w:eastAsia="SimSun" w:hAnsi="SimSun" w:cs="SimSun"/>
          <w:sz w:val="22"/>
          <w:szCs w:val="22"/>
        </w:rPr>
        <w:t xml:space="preserve"> </w:t>
      </w:r>
      <w:r>
        <w:rPr>
          <w:rFonts w:ascii="SimSun" w:eastAsia="SimSun" w:hAnsi="SimSun" w:cs="SimSun"/>
          <w:spacing w:val="-4"/>
          <w:sz w:val="22"/>
          <w:szCs w:val="22"/>
        </w:rPr>
        <w:t>地区和重点行业甲烷排放趋势进行了预测，</w:t>
      </w:r>
      <w:r>
        <w:rPr>
          <w:rFonts w:ascii="SimSun" w:eastAsia="SimSun" w:hAnsi="SimSun" w:cs="SimSun"/>
          <w:spacing w:val="-22"/>
          <w:sz w:val="22"/>
          <w:szCs w:val="22"/>
        </w:rPr>
        <w:t xml:space="preserve"> </w:t>
      </w:r>
      <w:r>
        <w:rPr>
          <w:rFonts w:ascii="SimSun" w:eastAsia="SimSun" w:hAnsi="SimSun" w:cs="SimSun"/>
          <w:spacing w:val="-4"/>
          <w:sz w:val="22"/>
          <w:szCs w:val="22"/>
        </w:rPr>
        <w:t>并对削减甲烷排放的气候健康影响进行了评</w:t>
      </w:r>
    </w:p>
    <w:p>
      <w:pPr>
        <w:spacing w:before="1" w:line="218" w:lineRule="auto"/>
        <w:jc w:val="right"/>
        <w:rPr>
          <w:rFonts w:ascii="SimSun" w:eastAsia="SimSun" w:hAnsi="SimSun" w:cs="SimSun"/>
          <w:sz w:val="22"/>
          <w:szCs w:val="22"/>
        </w:rPr>
      </w:pPr>
      <w:r>
        <w:rPr>
          <w:rFonts w:ascii="SimSun" w:eastAsia="SimSun" w:hAnsi="SimSun" w:cs="SimSun"/>
          <w:spacing w:val="-2"/>
          <w:sz w:val="22"/>
          <w:szCs w:val="22"/>
        </w:rPr>
        <w:t>估，为各方认识甲烷减排的重要性和制定科学合理的</w:t>
      </w:r>
      <w:r>
        <w:rPr>
          <w:rFonts w:ascii="SimSun" w:eastAsia="SimSun" w:hAnsi="SimSun" w:cs="SimSun"/>
          <w:spacing w:val="-3"/>
          <w:sz w:val="22"/>
          <w:szCs w:val="22"/>
        </w:rPr>
        <w:t>控减排措施提供了很好的技术参考。</w:t>
      </w:r>
    </w:p>
    <w:p>
      <w:pPr>
        <w:spacing w:line="218" w:lineRule="auto"/>
        <w:rPr>
          <w:rFonts w:ascii="SimSun" w:eastAsia="SimSun" w:hAnsi="SimSun" w:cs="SimSun"/>
          <w:sz w:val="22"/>
          <w:szCs w:val="22"/>
        </w:rPr>
        <w:sectPr>
          <w:headerReference w:type="default" r:id="rId16"/>
          <w:pgSz w:w="11907" w:h="16839"/>
          <w:pgMar w:top="400" w:right="1609" w:bottom="0" w:left="1785" w:header="0" w:footer="0" w:gutter="0"/>
          <w:pgNumType w:start="8"/>
          <w:cols w:space="708"/>
        </w:sect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sdt>
      <w:sdtPr>
        <w:rPr>
          <w:rFonts w:ascii="SimSun" w:eastAsia="SimSun" w:hAnsi="SimSun" w:cs="SimSun"/>
          <w:sz w:val="28"/>
          <w:szCs w:val="28"/>
        </w:rPr>
        <w:id w:val="438538145"/>
        <w:docPartObj>
          <w:docPartGallery w:val="Table of Contents"/>
          <w:docPartUnique/>
        </w:docPartObj>
      </w:sdtPr>
      <w:sdtEndPr>
        <w:rPr>
          <w:rFonts w:ascii="Calibri" w:eastAsia="Calibri" w:hAnsi="Calibri" w:cs="Calibri"/>
          <w:sz w:val="22"/>
          <w:szCs w:val="22"/>
        </w:rPr>
      </w:sdtEndPr>
      <w:sdtContent>
        <w:p>
          <w:pPr>
            <w:spacing w:before="91" w:line="222" w:lineRule="auto"/>
            <w:ind w:left="3949"/>
            <w:rPr>
              <w:rFonts w:ascii="SimSun" w:eastAsia="SimSun" w:hAnsi="SimSun" w:cs="SimSun"/>
              <w:sz w:val="28"/>
              <w:szCs w:val="28"/>
            </w:rPr>
          </w:pPr>
          <w:bookmarkStart w:id="0" w:name="bookmark1"/>
          <w:bookmarkEnd w:id="0"/>
          <w:r>
            <w:rPr>
              <w:rFonts w:ascii="SimSun" w:eastAsia="SimSun" w:hAnsi="SimSun" w:cs="SimSun"/>
              <w:color w:val="1F4E79"/>
              <w:spacing w:val="-32"/>
              <w:sz w:val="28"/>
              <w:szCs w:val="28"/>
              <w14:textOutline w14:w="5103" w14:cap="sq">
                <w14:solidFill>
                  <w14:srgbClr w14:val="1F4E79"/>
                </w14:solidFill>
                <w14:prstDash w14:val="solid"/>
                <w14:bevel/>
              </w14:textOutline>
            </w:rPr>
            <w:t>目录</w:t>
          </w:r>
        </w:p>
        <w:p>
          <w:pPr>
            <w:spacing w:line="264" w:lineRule="auto"/>
            <w:rPr>
              <w:rFonts w:ascii="Arial"/>
              <w:sz w:val="21"/>
            </w:rPr>
          </w:pPr>
        </w:p>
        <w:p>
          <w:pPr>
            <w:tabs>
              <w:tab w:val="right" w:leader="dot" w:pos="8309"/>
            </w:tabs>
            <w:spacing w:before="75" w:line="214" w:lineRule="auto"/>
            <w:ind w:left="16"/>
            <w:rPr>
              <w:rFonts w:ascii="Calibri" w:eastAsia="Calibri" w:hAnsi="Calibri" w:cs="Calibri"/>
              <w:sz w:val="22"/>
              <w:szCs w:val="22"/>
            </w:rPr>
          </w:pPr>
          <w:r>
            <w:rPr>
              <w:rFonts w:ascii="DengXian" w:eastAsia="DengXian" w:hAnsi="DengXian" w:cs="DengXian"/>
              <w:b/>
              <w:bCs/>
              <w:spacing w:val="-1"/>
              <w:sz w:val="22"/>
              <w:szCs w:val="22"/>
            </w:rPr>
            <w:t>执行摘要</w:t>
          </w:r>
          <w:r>
            <w:rPr>
              <w:rFonts w:ascii="DengXian" w:eastAsia="DengXian" w:hAnsi="DengXian" w:cs="DengXian"/>
              <w:b/>
              <w:bCs/>
              <w:spacing w:val="-17"/>
              <w:sz w:val="22"/>
              <w:szCs w:val="22"/>
            </w:rPr>
            <w:t xml:space="preserve"> </w:t>
          </w:r>
          <w:r>
            <w:rPr>
              <w:rFonts w:ascii="DengXian" w:eastAsia="DengXian" w:hAnsi="DengXian" w:cs="DengXian"/>
              <w:b/>
              <w:bCs/>
              <w:sz w:val="22"/>
              <w:szCs w:val="22"/>
            </w:rPr>
            <w:tab/>
          </w:r>
          <w:r>
            <w:rPr>
              <w:rFonts w:ascii="DengXian" w:eastAsia="DengXian" w:hAnsi="DengXian" w:cs="DengXian"/>
              <w:b/>
              <w:bCs/>
              <w:spacing w:val="-32"/>
              <w:sz w:val="22"/>
              <w:szCs w:val="22"/>
            </w:rPr>
            <w:t xml:space="preserve"> </w:t>
          </w:r>
          <w:hyperlink w:anchor="bookmark2" w:history="1">
            <w:r>
              <w:rPr>
                <w:rFonts w:ascii="Calibri" w:eastAsia="Calibri" w:hAnsi="Calibri" w:cs="Calibri"/>
                <w:sz w:val="22"/>
                <w:szCs w:val="22"/>
              </w:rPr>
              <w:t>2</w:t>
            </w:r>
          </w:hyperlink>
        </w:p>
        <w:p>
          <w:pPr>
            <w:tabs>
              <w:tab w:val="right" w:leader="dot" w:pos="8309"/>
            </w:tabs>
            <w:spacing w:before="215" w:line="213" w:lineRule="auto"/>
            <w:ind w:left="20"/>
            <w:rPr>
              <w:rFonts w:ascii="Calibri" w:eastAsia="Calibri" w:hAnsi="Calibri" w:cs="Calibri"/>
              <w:sz w:val="22"/>
              <w:szCs w:val="22"/>
            </w:rPr>
          </w:pPr>
          <w:r>
            <w:rPr>
              <w:rFonts w:ascii="DengXian" w:eastAsia="DengXian" w:hAnsi="DengXian" w:cs="DengXian"/>
              <w:b/>
              <w:bCs/>
              <w:spacing w:val="-2"/>
              <w:sz w:val="22"/>
              <w:szCs w:val="22"/>
            </w:rPr>
            <w:t>第一章  引言：</w:t>
          </w:r>
          <w:r>
            <w:rPr>
              <w:rFonts w:ascii="DengXian" w:eastAsia="DengXian" w:hAnsi="DengXian" w:cs="DengXian"/>
              <w:b/>
              <w:bCs/>
              <w:spacing w:val="-30"/>
              <w:sz w:val="22"/>
              <w:szCs w:val="22"/>
            </w:rPr>
            <w:t xml:space="preserve"> </w:t>
          </w:r>
          <w:r>
            <w:rPr>
              <w:rFonts w:ascii="DengXian" w:eastAsia="DengXian" w:hAnsi="DengXian" w:cs="DengXian"/>
              <w:b/>
              <w:bCs/>
              <w:spacing w:val="-2"/>
              <w:sz w:val="22"/>
              <w:szCs w:val="22"/>
            </w:rPr>
            <w:t>当前大气甲烷浓度、来源和相关政策</w:t>
          </w:r>
          <w:r>
            <w:rPr>
              <w:rFonts w:ascii="DengXian" w:eastAsia="DengXian" w:hAnsi="DengXian" w:cs="DengXian"/>
              <w:b/>
              <w:bCs/>
              <w:spacing w:val="-18"/>
              <w:sz w:val="22"/>
              <w:szCs w:val="22"/>
            </w:rPr>
            <w:t xml:space="preserve"> </w:t>
          </w:r>
          <w:r>
            <w:rPr>
              <w:rFonts w:ascii="DengXian" w:eastAsia="DengXian" w:hAnsi="DengXian" w:cs="DengXian"/>
              <w:b/>
              <w:bCs/>
              <w:sz w:val="22"/>
              <w:szCs w:val="22"/>
            </w:rPr>
            <w:tab/>
          </w:r>
          <w:r>
            <w:rPr>
              <w:rFonts w:ascii="DengXian" w:eastAsia="DengXian" w:hAnsi="DengXian" w:cs="DengXian"/>
              <w:b/>
              <w:bCs/>
              <w:spacing w:val="-34"/>
              <w:sz w:val="22"/>
              <w:szCs w:val="22"/>
            </w:rPr>
            <w:t xml:space="preserve"> </w:t>
          </w:r>
          <w:hyperlink w:anchor="bookmark3" w:history="1">
            <w:r>
              <w:rPr>
                <w:rFonts w:ascii="Calibri" w:eastAsia="Calibri" w:hAnsi="Calibri" w:cs="Calibri"/>
                <w:sz w:val="22"/>
                <w:szCs w:val="22"/>
              </w:rPr>
              <w:t>3</w:t>
            </w:r>
          </w:hyperlink>
        </w:p>
        <w:p>
          <w:pPr>
            <w:tabs>
              <w:tab w:val="right" w:leader="dot" w:pos="8309"/>
            </w:tabs>
            <w:spacing w:before="216" w:line="221" w:lineRule="auto"/>
            <w:ind w:left="465"/>
            <w:rPr>
              <w:rFonts w:ascii="Calibri" w:eastAsia="Calibri" w:hAnsi="Calibri" w:cs="Calibri"/>
              <w:sz w:val="22"/>
              <w:szCs w:val="22"/>
            </w:rPr>
          </w:pPr>
          <w:r>
            <w:rPr>
              <w:rFonts w:ascii="SimSun" w:eastAsia="SimSun" w:hAnsi="SimSun" w:cs="SimSun"/>
              <w:spacing w:val="-2"/>
              <w:sz w:val="22"/>
              <w:szCs w:val="22"/>
            </w:rPr>
            <w:t>一、 大气甲烷浓度</w:t>
          </w:r>
          <w:r>
            <w:rPr>
              <w:rFonts w:ascii="SimSun" w:eastAsia="SimSun" w:hAnsi="SimSun" w:cs="SimSun"/>
              <w:spacing w:val="-61"/>
              <w:sz w:val="22"/>
              <w:szCs w:val="22"/>
            </w:rPr>
            <w:t xml:space="preserve"> </w:t>
          </w:r>
          <w:r>
            <w:rPr>
              <w:rFonts w:ascii="SimSun" w:eastAsia="SimSun" w:hAnsi="SimSun" w:cs="SimSun"/>
              <w:sz w:val="22"/>
              <w:szCs w:val="22"/>
            </w:rPr>
            <w:tab/>
          </w:r>
          <w:r>
            <w:rPr>
              <w:rFonts w:ascii="SimSun" w:eastAsia="SimSun" w:hAnsi="SimSun" w:cs="SimSun"/>
              <w:spacing w:val="-83"/>
              <w:sz w:val="22"/>
              <w:szCs w:val="22"/>
            </w:rPr>
            <w:t xml:space="preserve"> </w:t>
          </w:r>
          <w:hyperlink w:anchor="bookmark4" w:history="1">
            <w:r>
              <w:rPr>
                <w:rFonts w:ascii="Calibri" w:eastAsia="Calibri" w:hAnsi="Calibri" w:cs="Calibri"/>
                <w:sz w:val="22"/>
                <w:szCs w:val="22"/>
              </w:rPr>
              <w:t>3</w:t>
            </w:r>
          </w:hyperlink>
        </w:p>
        <w:p>
          <w:pPr>
            <w:tabs>
              <w:tab w:val="right" w:leader="dot" w:pos="8309"/>
            </w:tabs>
            <w:spacing w:before="205" w:line="220" w:lineRule="auto"/>
            <w:ind w:left="465"/>
            <w:rPr>
              <w:rFonts w:ascii="Calibri" w:eastAsia="Calibri" w:hAnsi="Calibri" w:cs="Calibri"/>
              <w:sz w:val="22"/>
              <w:szCs w:val="22"/>
            </w:rPr>
          </w:pPr>
          <w:r>
            <w:rPr>
              <w:rFonts w:ascii="SimSun" w:eastAsia="SimSun" w:hAnsi="SimSun" w:cs="SimSun"/>
              <w:spacing w:val="-1"/>
              <w:sz w:val="22"/>
              <w:szCs w:val="22"/>
            </w:rPr>
            <w:t>二、 各来源、各地区的甲烷人为源排放量</w:t>
          </w:r>
          <w:r>
            <w:rPr>
              <w:rFonts w:ascii="SimSun" w:eastAsia="SimSun" w:hAnsi="SimSun" w:cs="SimSun"/>
              <w:spacing w:val="-61"/>
              <w:sz w:val="22"/>
              <w:szCs w:val="22"/>
            </w:rPr>
            <w:t xml:space="preserve"> </w:t>
          </w:r>
          <w:r>
            <w:rPr>
              <w:rFonts w:ascii="SimSun" w:eastAsia="SimSun" w:hAnsi="SimSun" w:cs="SimSun"/>
              <w:sz w:val="22"/>
              <w:szCs w:val="22"/>
            </w:rPr>
            <w:tab/>
          </w:r>
          <w:r>
            <w:rPr>
              <w:rFonts w:ascii="SimSun" w:eastAsia="SimSun" w:hAnsi="SimSun" w:cs="SimSun"/>
              <w:spacing w:val="-81"/>
              <w:sz w:val="22"/>
              <w:szCs w:val="22"/>
            </w:rPr>
            <w:t xml:space="preserve"> </w:t>
          </w:r>
          <w:hyperlink w:anchor="bookmark5" w:history="1">
            <w:r>
              <w:rPr>
                <w:rFonts w:ascii="Calibri" w:eastAsia="Calibri" w:hAnsi="Calibri" w:cs="Calibri"/>
                <w:sz w:val="22"/>
                <w:szCs w:val="22"/>
              </w:rPr>
              <w:t>3</w:t>
            </w:r>
          </w:hyperlink>
        </w:p>
        <w:p>
          <w:pPr>
            <w:tabs>
              <w:tab w:val="right" w:leader="dot" w:pos="8309"/>
            </w:tabs>
            <w:spacing w:before="205" w:line="221" w:lineRule="auto"/>
            <w:ind w:left="461"/>
            <w:rPr>
              <w:rFonts w:ascii="Calibri" w:eastAsia="Calibri" w:hAnsi="Calibri" w:cs="Calibri"/>
              <w:sz w:val="22"/>
              <w:szCs w:val="22"/>
            </w:rPr>
          </w:pPr>
          <w:r>
            <w:rPr>
              <w:rFonts w:ascii="SimSun" w:eastAsia="SimSun" w:hAnsi="SimSun" w:cs="SimSun"/>
              <w:spacing w:val="-4"/>
              <w:sz w:val="22"/>
              <w:szCs w:val="22"/>
            </w:rPr>
            <w:t>三、</w:t>
          </w:r>
          <w:r>
            <w:rPr>
              <w:rFonts w:ascii="SimSun" w:eastAsia="SimSun" w:hAnsi="SimSun" w:cs="SimSun"/>
              <w:spacing w:val="41"/>
              <w:sz w:val="22"/>
              <w:szCs w:val="22"/>
            </w:rPr>
            <w:t xml:space="preserve"> </w:t>
          </w:r>
          <w:r>
            <w:rPr>
              <w:rFonts w:ascii="SimSun" w:eastAsia="SimSun" w:hAnsi="SimSun" w:cs="SimSun"/>
              <w:spacing w:val="-4"/>
              <w:sz w:val="22"/>
              <w:szCs w:val="22"/>
            </w:rPr>
            <w:t>甲烷排放的自然源和汇</w:t>
          </w:r>
          <w:r>
            <w:rPr>
              <w:rFonts w:ascii="SimSun" w:eastAsia="SimSun" w:hAnsi="SimSun" w:cs="SimSun"/>
              <w:spacing w:val="-70"/>
              <w:sz w:val="22"/>
              <w:szCs w:val="22"/>
            </w:rPr>
            <w:t xml:space="preserve"> </w:t>
          </w:r>
          <w:r>
            <w:rPr>
              <w:rFonts w:ascii="SimSun" w:eastAsia="SimSun" w:hAnsi="SimSun" w:cs="SimSun"/>
              <w:sz w:val="22"/>
              <w:szCs w:val="22"/>
            </w:rPr>
            <w:tab/>
          </w:r>
          <w:r>
            <w:rPr>
              <w:rFonts w:ascii="SimSun" w:eastAsia="SimSun" w:hAnsi="SimSun" w:cs="SimSun"/>
              <w:spacing w:val="-81"/>
              <w:sz w:val="22"/>
              <w:szCs w:val="22"/>
            </w:rPr>
            <w:t xml:space="preserve"> </w:t>
          </w:r>
          <w:hyperlink w:anchor="bookmark1" w:history="1">
            <w:r>
              <w:rPr>
                <w:rFonts w:ascii="Calibri" w:eastAsia="Calibri" w:hAnsi="Calibri" w:cs="Calibri"/>
                <w:sz w:val="22"/>
                <w:szCs w:val="22"/>
              </w:rPr>
              <w:t>6</w:t>
            </w:r>
          </w:hyperlink>
        </w:p>
        <w:p>
          <w:pPr>
            <w:tabs>
              <w:tab w:val="right" w:leader="dot" w:pos="8309"/>
            </w:tabs>
            <w:spacing w:before="203" w:line="220" w:lineRule="auto"/>
            <w:ind w:left="482"/>
            <w:rPr>
              <w:rFonts w:ascii="Calibri" w:eastAsia="Calibri" w:hAnsi="Calibri" w:cs="Calibri"/>
              <w:sz w:val="22"/>
              <w:szCs w:val="22"/>
            </w:rPr>
          </w:pPr>
          <w:r>
            <w:rPr>
              <w:rFonts w:ascii="SimSun" w:eastAsia="SimSun" w:hAnsi="SimSun" w:cs="SimSun"/>
              <w:spacing w:val="-3"/>
              <w:sz w:val="22"/>
              <w:szCs w:val="22"/>
            </w:rPr>
            <w:t>四、 与甲烷有关的最新政策</w:t>
          </w:r>
          <w:r>
            <w:rPr>
              <w:rFonts w:ascii="SimSun" w:eastAsia="SimSun" w:hAnsi="SimSun" w:cs="SimSun"/>
              <w:spacing w:val="-59"/>
              <w:sz w:val="22"/>
              <w:szCs w:val="22"/>
            </w:rPr>
            <w:t xml:space="preserve"> </w:t>
          </w:r>
          <w:r>
            <w:rPr>
              <w:rFonts w:ascii="SimSun" w:eastAsia="SimSun" w:hAnsi="SimSun" w:cs="SimSun"/>
              <w:sz w:val="22"/>
              <w:szCs w:val="22"/>
            </w:rPr>
            <w:tab/>
          </w:r>
          <w:r>
            <w:rPr>
              <w:rFonts w:ascii="SimSun" w:eastAsia="SimSun" w:hAnsi="SimSun" w:cs="SimSun"/>
              <w:spacing w:val="-82"/>
              <w:sz w:val="22"/>
              <w:szCs w:val="22"/>
            </w:rPr>
            <w:t xml:space="preserve"> </w:t>
          </w:r>
          <w:hyperlink w:anchor="bookmark6" w:history="1">
            <w:r>
              <w:rPr>
                <w:rFonts w:ascii="Calibri" w:eastAsia="Calibri" w:hAnsi="Calibri" w:cs="Calibri"/>
                <w:sz w:val="22"/>
                <w:szCs w:val="22"/>
              </w:rPr>
              <w:t>7</w:t>
            </w:r>
          </w:hyperlink>
        </w:p>
        <w:p>
          <w:pPr>
            <w:tabs>
              <w:tab w:val="right" w:leader="dot" w:pos="8309"/>
            </w:tabs>
            <w:spacing w:before="209" w:line="213" w:lineRule="auto"/>
            <w:ind w:left="20"/>
            <w:rPr>
              <w:rFonts w:ascii="Calibri" w:eastAsia="Calibri" w:hAnsi="Calibri" w:cs="Calibri"/>
              <w:sz w:val="22"/>
              <w:szCs w:val="22"/>
            </w:rPr>
          </w:pPr>
          <w:r>
            <w:rPr>
              <w:rFonts w:ascii="DengXian" w:eastAsia="DengXian" w:hAnsi="DengXian" w:cs="DengXian"/>
              <w:b/>
              <w:bCs/>
              <w:spacing w:val="-3"/>
              <w:sz w:val="22"/>
              <w:szCs w:val="22"/>
            </w:rPr>
            <w:t>第二章</w:t>
          </w:r>
          <w:r>
            <w:rPr>
              <w:rFonts w:ascii="DengXian" w:eastAsia="DengXian" w:hAnsi="DengXian" w:cs="DengXian"/>
              <w:b/>
              <w:bCs/>
              <w:spacing w:val="58"/>
              <w:sz w:val="22"/>
              <w:szCs w:val="22"/>
            </w:rPr>
            <w:t xml:space="preserve"> </w:t>
          </w:r>
          <w:r>
            <w:rPr>
              <w:rFonts w:ascii="DengXian" w:eastAsia="DengXian" w:hAnsi="DengXian" w:cs="DengXian"/>
              <w:b/>
              <w:bCs/>
              <w:spacing w:val="-3"/>
              <w:sz w:val="22"/>
              <w:szCs w:val="22"/>
            </w:rPr>
            <w:t>基准线人为甲烷排放量</w:t>
          </w:r>
          <w:r>
            <w:rPr>
              <w:rFonts w:ascii="DengXian" w:eastAsia="DengXian" w:hAnsi="DengXian" w:cs="DengXian"/>
              <w:b/>
              <w:bCs/>
              <w:spacing w:val="-22"/>
              <w:sz w:val="22"/>
              <w:szCs w:val="22"/>
            </w:rPr>
            <w:t xml:space="preserve"> </w:t>
          </w:r>
          <w:r>
            <w:rPr>
              <w:rFonts w:ascii="DengXian" w:eastAsia="DengXian" w:hAnsi="DengXian" w:cs="DengXian"/>
              <w:b/>
              <w:bCs/>
              <w:spacing w:val="-3"/>
              <w:sz w:val="22"/>
              <w:szCs w:val="22"/>
            </w:rPr>
            <w:t>：预测方法</w:t>
          </w:r>
          <w:r>
            <w:rPr>
              <w:rFonts w:ascii="DengXian" w:eastAsia="DengXian" w:hAnsi="DengXian" w:cs="DengXian"/>
              <w:b/>
              <w:bCs/>
              <w:spacing w:val="-18"/>
              <w:sz w:val="22"/>
              <w:szCs w:val="22"/>
            </w:rPr>
            <w:t xml:space="preserve"> </w:t>
          </w:r>
          <w:r>
            <w:rPr>
              <w:rFonts w:ascii="DengXian" w:eastAsia="DengXian" w:hAnsi="DengXian" w:cs="DengXian"/>
              <w:b/>
              <w:bCs/>
              <w:sz w:val="22"/>
              <w:szCs w:val="22"/>
            </w:rPr>
            <w:tab/>
          </w:r>
          <w:hyperlink w:anchor="bookmark7" w:history="1">
            <w:r>
              <w:rPr>
                <w:rFonts w:ascii="Calibri" w:eastAsia="Calibri" w:hAnsi="Calibri" w:cs="Calibri"/>
                <w:spacing w:val="17"/>
                <w:sz w:val="22"/>
                <w:szCs w:val="22"/>
              </w:rPr>
              <w:t>8</w:t>
            </w:r>
          </w:hyperlink>
        </w:p>
        <w:p>
          <w:pPr>
            <w:tabs>
              <w:tab w:val="right" w:leader="dot" w:pos="8309"/>
            </w:tabs>
            <w:spacing w:before="214" w:line="219" w:lineRule="auto"/>
            <w:ind w:left="465"/>
            <w:rPr>
              <w:rFonts w:ascii="Calibri" w:eastAsia="Calibri" w:hAnsi="Calibri" w:cs="Calibri"/>
              <w:sz w:val="22"/>
              <w:szCs w:val="22"/>
            </w:rPr>
          </w:pPr>
          <w:r>
            <w:rPr>
              <w:rFonts w:ascii="SimSun" w:eastAsia="SimSun" w:hAnsi="SimSun" w:cs="SimSun"/>
              <w:spacing w:val="-1"/>
              <w:sz w:val="22"/>
              <w:szCs w:val="22"/>
            </w:rPr>
            <w:t>一、 基于综合评估模型和模拟模型的预测</w:t>
          </w:r>
          <w:r>
            <w:rPr>
              <w:rFonts w:ascii="SimSun" w:eastAsia="SimSun" w:hAnsi="SimSun" w:cs="SimSun"/>
              <w:spacing w:val="-61"/>
              <w:sz w:val="22"/>
              <w:szCs w:val="22"/>
            </w:rPr>
            <w:t xml:space="preserve"> </w:t>
          </w:r>
          <w:r>
            <w:rPr>
              <w:rFonts w:ascii="SimSun" w:eastAsia="SimSun" w:hAnsi="SimSun" w:cs="SimSun"/>
              <w:sz w:val="22"/>
              <w:szCs w:val="22"/>
            </w:rPr>
            <w:tab/>
          </w:r>
          <w:r>
            <w:rPr>
              <w:rFonts w:ascii="SimSun" w:eastAsia="SimSun" w:hAnsi="SimSun" w:cs="SimSun"/>
              <w:spacing w:val="-84"/>
              <w:sz w:val="22"/>
              <w:szCs w:val="22"/>
            </w:rPr>
            <w:t xml:space="preserve"> </w:t>
          </w:r>
          <w:hyperlink w:anchor="bookmark8" w:history="1">
            <w:r>
              <w:rPr>
                <w:rFonts w:ascii="Calibri" w:eastAsia="Calibri" w:hAnsi="Calibri" w:cs="Calibri"/>
                <w:sz w:val="22"/>
                <w:szCs w:val="22"/>
              </w:rPr>
              <w:t>8</w:t>
            </w:r>
          </w:hyperlink>
        </w:p>
        <w:p>
          <w:pPr>
            <w:pStyle w:val="BodyText"/>
            <w:tabs>
              <w:tab w:val="right" w:leader="dot" w:pos="8312"/>
            </w:tabs>
            <w:spacing w:before="207" w:line="220" w:lineRule="auto"/>
            <w:ind w:left="465"/>
            <w:rPr>
              <w:rFonts w:ascii="Calibri" w:eastAsia="Calibri" w:hAnsi="Calibri" w:cs="Calibri"/>
              <w:sz w:val="22"/>
              <w:szCs w:val="22"/>
            </w:rPr>
          </w:pPr>
          <w:r>
            <w:rPr>
              <w:rFonts w:ascii="SimSun" w:eastAsia="SimSun" w:hAnsi="SimSun" w:cs="SimSun"/>
              <w:spacing w:val="-4"/>
              <w:sz w:val="22"/>
              <w:szCs w:val="22"/>
            </w:rPr>
            <w:t>二、 基于</w:t>
          </w:r>
          <w:r>
            <w:rPr>
              <w:spacing w:val="-4"/>
              <w:sz w:val="22"/>
              <w:szCs w:val="22"/>
            </w:rPr>
            <w:t>“</w:t>
          </w:r>
          <w:r>
            <w:rPr>
              <w:spacing w:val="1"/>
              <w:sz w:val="22"/>
              <w:szCs w:val="22"/>
            </w:rPr>
            <w:t xml:space="preserve"> </w:t>
          </w:r>
          <w:r>
            <w:rPr>
              <w:rFonts w:ascii="SimSun" w:eastAsia="SimSun" w:hAnsi="SimSun" w:cs="SimSun"/>
              <w:spacing w:val="-4"/>
              <w:sz w:val="22"/>
              <w:szCs w:val="22"/>
            </w:rPr>
            <w:t>自下而上</w:t>
          </w:r>
          <w:r>
            <w:rPr>
              <w:spacing w:val="-4"/>
              <w:sz w:val="22"/>
              <w:szCs w:val="22"/>
            </w:rPr>
            <w:t>”</w:t>
          </w:r>
          <w:r>
            <w:rPr>
              <w:rFonts w:ascii="SimSun" w:eastAsia="SimSun" w:hAnsi="SimSun" w:cs="SimSun"/>
              <w:spacing w:val="-4"/>
              <w:sz w:val="22"/>
              <w:szCs w:val="22"/>
            </w:rPr>
            <w:t>清单模型预测</w:t>
          </w:r>
          <w:r>
            <w:rPr>
              <w:rFonts w:ascii="SimSun" w:eastAsia="SimSun" w:hAnsi="SimSun" w:cs="SimSun"/>
              <w:spacing w:val="-68"/>
              <w:sz w:val="22"/>
              <w:szCs w:val="22"/>
            </w:rPr>
            <w:t xml:space="preserve"> </w:t>
          </w:r>
          <w:r>
            <w:rPr>
              <w:rFonts w:ascii="SimSun" w:eastAsia="SimSun" w:hAnsi="SimSun" w:cs="SimSun"/>
              <w:sz w:val="22"/>
              <w:szCs w:val="22"/>
            </w:rPr>
            <w:tab/>
          </w:r>
          <w:r>
            <w:rPr>
              <w:rFonts w:ascii="SimSun" w:eastAsia="SimSun" w:hAnsi="SimSun" w:cs="SimSun"/>
              <w:spacing w:val="-50"/>
              <w:sz w:val="22"/>
              <w:szCs w:val="22"/>
            </w:rPr>
            <w:t xml:space="preserve"> </w:t>
          </w:r>
          <w:hyperlink w:anchor="bookmark9" w:history="1">
            <w:r>
              <w:rPr>
                <w:rFonts w:ascii="Calibri" w:eastAsia="Calibri" w:hAnsi="Calibri" w:cs="Calibri"/>
                <w:spacing w:val="-9"/>
                <w:sz w:val="22"/>
                <w:szCs w:val="22"/>
              </w:rPr>
              <w:t>1</w:t>
            </w:r>
          </w:hyperlink>
          <w:r>
            <w:rPr>
              <w:rFonts w:ascii="Calibri" w:eastAsia="Calibri" w:hAnsi="Calibri" w:cs="Calibri"/>
              <w:spacing w:val="-9"/>
              <w:sz w:val="22"/>
              <w:szCs w:val="22"/>
            </w:rPr>
            <w:t>0</w:t>
          </w:r>
        </w:p>
        <w:p>
          <w:pPr>
            <w:tabs>
              <w:tab w:val="right" w:leader="dot" w:pos="8312"/>
            </w:tabs>
            <w:spacing w:before="206" w:line="222" w:lineRule="auto"/>
            <w:ind w:left="461"/>
            <w:rPr>
              <w:rFonts w:ascii="Calibri" w:eastAsia="Calibri" w:hAnsi="Calibri" w:cs="Calibri"/>
              <w:sz w:val="22"/>
              <w:szCs w:val="22"/>
            </w:rPr>
          </w:pPr>
          <w:r>
            <w:rPr>
              <w:rFonts w:ascii="SimSun" w:eastAsia="SimSun" w:hAnsi="SimSun" w:cs="SimSun"/>
              <w:spacing w:val="-1"/>
              <w:sz w:val="22"/>
              <w:szCs w:val="22"/>
            </w:rPr>
            <w:t>三、 统一化方法</w:t>
          </w:r>
          <w:r>
            <w:rPr>
              <w:rFonts w:ascii="SimSun" w:eastAsia="SimSun" w:hAnsi="SimSun" w:cs="SimSun"/>
              <w:spacing w:val="-68"/>
              <w:sz w:val="22"/>
              <w:szCs w:val="22"/>
            </w:rPr>
            <w:t xml:space="preserve"> </w:t>
          </w:r>
          <w:r>
            <w:rPr>
              <w:rFonts w:ascii="SimSun" w:eastAsia="SimSun" w:hAnsi="SimSun" w:cs="SimSun"/>
              <w:sz w:val="22"/>
              <w:szCs w:val="22"/>
            </w:rPr>
            <w:tab/>
          </w:r>
          <w:r>
            <w:rPr>
              <w:rFonts w:ascii="SimSun" w:eastAsia="SimSun" w:hAnsi="SimSun" w:cs="SimSun"/>
              <w:spacing w:val="-75"/>
              <w:sz w:val="22"/>
              <w:szCs w:val="22"/>
            </w:rPr>
            <w:t xml:space="preserve"> </w:t>
          </w:r>
          <w:hyperlink w:anchor="bookmark10" w:history="1">
            <w:r>
              <w:rPr>
                <w:rFonts w:ascii="Calibri" w:eastAsia="Calibri" w:hAnsi="Calibri" w:cs="Calibri"/>
                <w:spacing w:val="-9"/>
                <w:sz w:val="22"/>
                <w:szCs w:val="22"/>
              </w:rPr>
              <w:t>1</w:t>
            </w:r>
          </w:hyperlink>
          <w:r>
            <w:rPr>
              <w:rFonts w:ascii="Calibri" w:eastAsia="Calibri" w:hAnsi="Calibri" w:cs="Calibri"/>
              <w:spacing w:val="-9"/>
              <w:sz w:val="22"/>
              <w:szCs w:val="22"/>
            </w:rPr>
            <w:t>0</w:t>
          </w:r>
        </w:p>
        <w:p>
          <w:pPr>
            <w:tabs>
              <w:tab w:val="right" w:leader="dot" w:pos="8312"/>
            </w:tabs>
            <w:spacing w:before="206" w:line="212" w:lineRule="auto"/>
            <w:ind w:left="20"/>
            <w:rPr>
              <w:rFonts w:ascii="Calibri" w:eastAsia="Calibri" w:hAnsi="Calibri" w:cs="Calibri"/>
              <w:sz w:val="22"/>
              <w:szCs w:val="22"/>
            </w:rPr>
          </w:pPr>
          <w:r>
            <w:rPr>
              <w:rFonts w:ascii="DengXian" w:eastAsia="DengXian" w:hAnsi="DengXian" w:cs="DengXian"/>
              <w:b/>
              <w:bCs/>
              <w:spacing w:val="-1"/>
              <w:sz w:val="22"/>
              <w:szCs w:val="22"/>
            </w:rPr>
            <w:t>第三章</w:t>
          </w:r>
          <w:r>
            <w:rPr>
              <w:rFonts w:ascii="DengXian" w:eastAsia="DengXian" w:hAnsi="DengXian" w:cs="DengXian"/>
              <w:b/>
              <w:bCs/>
              <w:spacing w:val="56"/>
              <w:sz w:val="22"/>
              <w:szCs w:val="22"/>
            </w:rPr>
            <w:t xml:space="preserve"> </w:t>
          </w:r>
          <w:r>
            <w:rPr>
              <w:rFonts w:ascii="DengXian" w:eastAsia="DengXian" w:hAnsi="DengXian" w:cs="DengXian"/>
              <w:b/>
              <w:bCs/>
              <w:spacing w:val="-1"/>
              <w:sz w:val="22"/>
              <w:szCs w:val="22"/>
            </w:rPr>
            <w:t>基准线排放量预测结果</w:t>
          </w:r>
          <w:r>
            <w:rPr>
              <w:rFonts w:ascii="DengXian" w:eastAsia="DengXian" w:hAnsi="DengXian" w:cs="DengXian"/>
              <w:b/>
              <w:bCs/>
              <w:spacing w:val="-18"/>
              <w:sz w:val="22"/>
              <w:szCs w:val="22"/>
            </w:rPr>
            <w:t xml:space="preserve"> </w:t>
          </w:r>
          <w:r>
            <w:rPr>
              <w:rFonts w:ascii="DengXian" w:eastAsia="DengXian" w:hAnsi="DengXian" w:cs="DengXian"/>
              <w:b/>
              <w:bCs/>
              <w:sz w:val="22"/>
              <w:szCs w:val="22"/>
            </w:rPr>
            <w:tab/>
          </w:r>
          <w:r>
            <w:rPr>
              <w:rFonts w:ascii="DengXian" w:eastAsia="DengXian" w:hAnsi="DengXian" w:cs="DengXian"/>
              <w:b/>
              <w:bCs/>
              <w:spacing w:val="-26"/>
              <w:sz w:val="22"/>
              <w:szCs w:val="22"/>
            </w:rPr>
            <w:t xml:space="preserve"> </w:t>
          </w:r>
          <w:hyperlink w:anchor="bookmark11" w:history="1">
            <w:r>
              <w:rPr>
                <w:rFonts w:ascii="Calibri" w:eastAsia="Calibri" w:hAnsi="Calibri" w:cs="Calibri"/>
                <w:spacing w:val="-9"/>
                <w:sz w:val="22"/>
                <w:szCs w:val="22"/>
              </w:rPr>
              <w:t>1</w:t>
            </w:r>
          </w:hyperlink>
          <w:r>
            <w:rPr>
              <w:rFonts w:ascii="Calibri" w:eastAsia="Calibri" w:hAnsi="Calibri" w:cs="Calibri"/>
              <w:spacing w:val="-9"/>
              <w:sz w:val="22"/>
              <w:szCs w:val="22"/>
            </w:rPr>
            <w:t>1</w:t>
          </w:r>
        </w:p>
        <w:p>
          <w:pPr>
            <w:tabs>
              <w:tab w:val="right" w:leader="dot" w:pos="8312"/>
            </w:tabs>
            <w:spacing w:before="217" w:line="220" w:lineRule="auto"/>
            <w:ind w:left="465"/>
            <w:rPr>
              <w:rFonts w:ascii="Calibri" w:eastAsia="Calibri" w:hAnsi="Calibri" w:cs="Calibri"/>
              <w:sz w:val="22"/>
              <w:szCs w:val="22"/>
            </w:rPr>
          </w:pPr>
          <w:r>
            <w:rPr>
              <w:rFonts w:ascii="SimSun" w:eastAsia="SimSun" w:hAnsi="SimSun" w:cs="SimSun"/>
              <w:spacing w:val="-1"/>
              <w:sz w:val="22"/>
              <w:szCs w:val="22"/>
            </w:rPr>
            <w:t>一、 全球基准线排放总量及部门排放量</w:t>
          </w:r>
          <w:r>
            <w:rPr>
              <w:rFonts w:ascii="SimSun" w:eastAsia="SimSun" w:hAnsi="SimSun" w:cs="SimSun"/>
              <w:spacing w:val="-61"/>
              <w:sz w:val="22"/>
              <w:szCs w:val="22"/>
            </w:rPr>
            <w:t xml:space="preserve"> </w:t>
          </w:r>
          <w:r>
            <w:rPr>
              <w:rFonts w:ascii="SimSun" w:eastAsia="SimSun" w:hAnsi="SimSun" w:cs="SimSun"/>
              <w:sz w:val="22"/>
              <w:szCs w:val="22"/>
            </w:rPr>
            <w:tab/>
          </w:r>
          <w:r>
            <w:rPr>
              <w:rFonts w:ascii="SimSun" w:eastAsia="SimSun" w:hAnsi="SimSun" w:cs="SimSun"/>
              <w:spacing w:val="-76"/>
              <w:sz w:val="22"/>
              <w:szCs w:val="22"/>
            </w:rPr>
            <w:t xml:space="preserve"> </w:t>
          </w:r>
          <w:hyperlink w:anchor="bookmark12" w:history="1">
            <w:r>
              <w:rPr>
                <w:rFonts w:ascii="Calibri" w:eastAsia="Calibri" w:hAnsi="Calibri" w:cs="Calibri"/>
                <w:spacing w:val="-9"/>
                <w:sz w:val="22"/>
                <w:szCs w:val="22"/>
              </w:rPr>
              <w:t>1</w:t>
            </w:r>
          </w:hyperlink>
          <w:r>
            <w:rPr>
              <w:rFonts w:ascii="Calibri" w:eastAsia="Calibri" w:hAnsi="Calibri" w:cs="Calibri"/>
              <w:spacing w:val="-9"/>
              <w:sz w:val="22"/>
              <w:szCs w:val="22"/>
            </w:rPr>
            <w:t>1</w:t>
          </w:r>
        </w:p>
        <w:p>
          <w:pPr>
            <w:tabs>
              <w:tab w:val="right" w:leader="dot" w:pos="8312"/>
            </w:tabs>
            <w:spacing w:before="206" w:line="219" w:lineRule="auto"/>
            <w:ind w:left="465"/>
            <w:rPr>
              <w:rFonts w:ascii="Calibri" w:eastAsia="Calibri" w:hAnsi="Calibri" w:cs="Calibri"/>
              <w:sz w:val="22"/>
              <w:szCs w:val="22"/>
            </w:rPr>
          </w:pPr>
          <w:r>
            <w:rPr>
              <w:rFonts w:ascii="SimSun" w:eastAsia="SimSun" w:hAnsi="SimSun" w:cs="SimSun"/>
              <w:spacing w:val="-1"/>
              <w:sz w:val="22"/>
              <w:szCs w:val="22"/>
            </w:rPr>
            <w:t>二、 区域尺度的总量及部门排放量</w:t>
          </w:r>
          <w:r>
            <w:rPr>
              <w:rFonts w:ascii="SimSun" w:eastAsia="SimSun" w:hAnsi="SimSun" w:cs="SimSun"/>
              <w:spacing w:val="-64"/>
              <w:sz w:val="22"/>
              <w:szCs w:val="22"/>
            </w:rPr>
            <w:t xml:space="preserve"> </w:t>
          </w:r>
          <w:r>
            <w:rPr>
              <w:rFonts w:ascii="SimSun" w:eastAsia="SimSun" w:hAnsi="SimSun" w:cs="SimSun"/>
              <w:sz w:val="22"/>
              <w:szCs w:val="22"/>
            </w:rPr>
            <w:tab/>
          </w:r>
          <w:r>
            <w:rPr>
              <w:rFonts w:ascii="SimSun" w:eastAsia="SimSun" w:hAnsi="SimSun" w:cs="SimSun"/>
              <w:spacing w:val="-74"/>
              <w:sz w:val="22"/>
              <w:szCs w:val="22"/>
            </w:rPr>
            <w:t xml:space="preserve"> </w:t>
          </w:r>
          <w:hyperlink w:anchor="bookmark13" w:history="1">
            <w:r>
              <w:rPr>
                <w:rFonts w:ascii="Calibri" w:eastAsia="Calibri" w:hAnsi="Calibri" w:cs="Calibri"/>
                <w:spacing w:val="-9"/>
                <w:sz w:val="22"/>
                <w:szCs w:val="22"/>
              </w:rPr>
              <w:t>1</w:t>
            </w:r>
          </w:hyperlink>
          <w:r>
            <w:rPr>
              <w:rFonts w:ascii="Calibri" w:eastAsia="Calibri" w:hAnsi="Calibri" w:cs="Calibri"/>
              <w:spacing w:val="-9"/>
              <w:sz w:val="22"/>
              <w:szCs w:val="22"/>
            </w:rPr>
            <w:t>4</w:t>
          </w:r>
        </w:p>
        <w:p>
          <w:pPr>
            <w:tabs>
              <w:tab w:val="right" w:leader="dot" w:pos="8312"/>
            </w:tabs>
            <w:spacing w:before="206" w:line="221" w:lineRule="auto"/>
            <w:ind w:left="909"/>
            <w:rPr>
              <w:rFonts w:ascii="Calibri" w:eastAsia="Calibri" w:hAnsi="Calibri" w:cs="Calibri"/>
              <w:sz w:val="22"/>
              <w:szCs w:val="22"/>
            </w:rPr>
          </w:pPr>
          <w:r>
            <w:rPr>
              <w:rFonts w:ascii="SimSun" w:eastAsia="SimSun" w:hAnsi="SimSun" w:cs="SimSun"/>
              <w:spacing w:val="-6"/>
              <w:sz w:val="22"/>
              <w:szCs w:val="22"/>
            </w:rPr>
            <w:t>（一）</w:t>
          </w:r>
          <w:r>
            <w:rPr>
              <w:rFonts w:ascii="SimSun" w:eastAsia="SimSun" w:hAnsi="SimSun" w:cs="SimSun"/>
              <w:spacing w:val="24"/>
              <w:sz w:val="22"/>
              <w:szCs w:val="22"/>
            </w:rPr>
            <w:t xml:space="preserve"> </w:t>
          </w:r>
          <w:r>
            <w:rPr>
              <w:rFonts w:ascii="SimSun" w:eastAsia="SimSun" w:hAnsi="SimSun" w:cs="SimSun"/>
              <w:spacing w:val="-6"/>
              <w:sz w:val="22"/>
              <w:szCs w:val="22"/>
            </w:rPr>
            <w:t>区域总量</w:t>
          </w:r>
          <w:r>
            <w:rPr>
              <w:rFonts w:ascii="SimSun" w:eastAsia="SimSun" w:hAnsi="SimSun" w:cs="SimSun"/>
              <w:spacing w:val="-67"/>
              <w:sz w:val="22"/>
              <w:szCs w:val="22"/>
            </w:rPr>
            <w:t xml:space="preserve"> </w:t>
          </w:r>
          <w:r>
            <w:rPr>
              <w:rFonts w:ascii="SimSun" w:eastAsia="SimSun" w:hAnsi="SimSun" w:cs="SimSun"/>
              <w:sz w:val="22"/>
              <w:szCs w:val="22"/>
            </w:rPr>
            <w:tab/>
          </w:r>
          <w:r>
            <w:rPr>
              <w:rFonts w:ascii="SimSun" w:eastAsia="SimSun" w:hAnsi="SimSun" w:cs="SimSun"/>
              <w:spacing w:val="-74"/>
              <w:sz w:val="22"/>
              <w:szCs w:val="22"/>
            </w:rPr>
            <w:t xml:space="preserve"> </w:t>
          </w:r>
          <w:hyperlink w:anchor="bookmark14" w:history="1">
            <w:r>
              <w:rPr>
                <w:rFonts w:ascii="Calibri" w:eastAsia="Calibri" w:hAnsi="Calibri" w:cs="Calibri"/>
                <w:spacing w:val="-9"/>
                <w:sz w:val="22"/>
                <w:szCs w:val="22"/>
              </w:rPr>
              <w:t>1</w:t>
            </w:r>
          </w:hyperlink>
          <w:r>
            <w:rPr>
              <w:rFonts w:ascii="Calibri" w:eastAsia="Calibri" w:hAnsi="Calibri" w:cs="Calibri"/>
              <w:spacing w:val="-9"/>
              <w:sz w:val="22"/>
              <w:szCs w:val="22"/>
            </w:rPr>
            <w:t>5</w:t>
          </w:r>
        </w:p>
        <w:p>
          <w:pPr>
            <w:tabs>
              <w:tab w:val="right" w:leader="dot" w:pos="8312"/>
            </w:tabs>
            <w:spacing w:before="205" w:line="219" w:lineRule="auto"/>
            <w:ind w:left="909"/>
            <w:rPr>
              <w:rFonts w:ascii="Calibri" w:eastAsia="Calibri" w:hAnsi="Calibri" w:cs="Calibri"/>
              <w:sz w:val="22"/>
              <w:szCs w:val="22"/>
            </w:rPr>
          </w:pPr>
          <w:r>
            <w:rPr>
              <w:rFonts w:ascii="SimSun" w:eastAsia="SimSun" w:hAnsi="SimSun" w:cs="SimSun"/>
              <w:spacing w:val="-2"/>
              <w:sz w:val="22"/>
              <w:szCs w:val="22"/>
            </w:rPr>
            <w:t>（二） 区域各部门排放变化预估</w:t>
          </w:r>
          <w:r>
            <w:rPr>
              <w:rFonts w:ascii="SimSun" w:eastAsia="SimSun" w:hAnsi="SimSun" w:cs="SimSun"/>
              <w:spacing w:val="-54"/>
              <w:sz w:val="22"/>
              <w:szCs w:val="22"/>
            </w:rPr>
            <w:t xml:space="preserve"> </w:t>
          </w:r>
          <w:r>
            <w:rPr>
              <w:rFonts w:ascii="SimSun" w:eastAsia="SimSun" w:hAnsi="SimSun" w:cs="SimSun"/>
              <w:sz w:val="22"/>
              <w:szCs w:val="22"/>
            </w:rPr>
            <w:tab/>
          </w:r>
          <w:r>
            <w:rPr>
              <w:rFonts w:ascii="SimSun" w:eastAsia="SimSun" w:hAnsi="SimSun" w:cs="SimSun"/>
              <w:spacing w:val="-75"/>
              <w:sz w:val="22"/>
              <w:szCs w:val="22"/>
            </w:rPr>
            <w:t xml:space="preserve"> </w:t>
          </w:r>
          <w:hyperlink w:anchor="bookmark15" w:history="1">
            <w:r>
              <w:rPr>
                <w:rFonts w:ascii="Calibri" w:eastAsia="Calibri" w:hAnsi="Calibri" w:cs="Calibri"/>
                <w:spacing w:val="-9"/>
                <w:sz w:val="22"/>
                <w:szCs w:val="22"/>
              </w:rPr>
              <w:t>1</w:t>
            </w:r>
          </w:hyperlink>
          <w:r>
            <w:rPr>
              <w:rFonts w:ascii="Calibri" w:eastAsia="Calibri" w:hAnsi="Calibri" w:cs="Calibri"/>
              <w:spacing w:val="-9"/>
              <w:sz w:val="22"/>
              <w:szCs w:val="22"/>
            </w:rPr>
            <w:t>8</w:t>
          </w:r>
        </w:p>
        <w:p>
          <w:pPr>
            <w:tabs>
              <w:tab w:val="right" w:leader="dot" w:pos="8312"/>
            </w:tabs>
            <w:spacing w:before="208" w:line="219" w:lineRule="auto"/>
            <w:ind w:left="461"/>
            <w:rPr>
              <w:rFonts w:ascii="Calibri" w:eastAsia="Calibri" w:hAnsi="Calibri" w:cs="Calibri"/>
              <w:sz w:val="22"/>
              <w:szCs w:val="22"/>
            </w:rPr>
          </w:pPr>
          <w:r>
            <w:rPr>
              <w:rFonts w:ascii="SimSun" w:eastAsia="SimSun" w:hAnsi="SimSun" w:cs="SimSun"/>
              <w:spacing w:val="-1"/>
              <w:sz w:val="22"/>
              <w:szCs w:val="22"/>
            </w:rPr>
            <w:t>三、 敏感性分析：社会经济情景及所用模型</w:t>
          </w:r>
          <w:r>
            <w:rPr>
              <w:rFonts w:ascii="SimSun" w:eastAsia="SimSun" w:hAnsi="SimSun" w:cs="SimSun"/>
              <w:spacing w:val="-56"/>
              <w:sz w:val="22"/>
              <w:szCs w:val="22"/>
            </w:rPr>
            <w:t xml:space="preserve"> </w:t>
          </w:r>
          <w:r>
            <w:rPr>
              <w:rFonts w:ascii="SimSun" w:eastAsia="SimSun" w:hAnsi="SimSun" w:cs="SimSun"/>
              <w:sz w:val="22"/>
              <w:szCs w:val="22"/>
            </w:rPr>
            <w:tab/>
          </w:r>
          <w:r>
            <w:rPr>
              <w:rFonts w:ascii="SimSun" w:eastAsia="SimSun" w:hAnsi="SimSun" w:cs="SimSun"/>
              <w:spacing w:val="-81"/>
              <w:sz w:val="22"/>
              <w:szCs w:val="22"/>
            </w:rPr>
            <w:t xml:space="preserve"> </w:t>
          </w:r>
          <w:hyperlink w:anchor="bookmark16" w:history="1">
            <w:r>
              <w:rPr>
                <w:rFonts w:ascii="Calibri" w:eastAsia="Calibri" w:hAnsi="Calibri" w:cs="Calibri"/>
                <w:spacing w:val="-6"/>
                <w:sz w:val="22"/>
                <w:szCs w:val="22"/>
              </w:rPr>
              <w:t>2</w:t>
            </w:r>
          </w:hyperlink>
          <w:r>
            <w:rPr>
              <w:rFonts w:ascii="Calibri" w:eastAsia="Calibri" w:hAnsi="Calibri" w:cs="Calibri"/>
              <w:spacing w:val="-6"/>
              <w:sz w:val="22"/>
              <w:szCs w:val="22"/>
            </w:rPr>
            <w:t>0</w:t>
          </w:r>
        </w:p>
        <w:p>
          <w:pPr>
            <w:tabs>
              <w:tab w:val="right" w:leader="dot" w:pos="8312"/>
            </w:tabs>
            <w:spacing w:before="206" w:line="220" w:lineRule="auto"/>
            <w:ind w:left="482"/>
            <w:rPr>
              <w:rFonts w:ascii="Calibri" w:eastAsia="Calibri" w:hAnsi="Calibri" w:cs="Calibri"/>
              <w:sz w:val="22"/>
              <w:szCs w:val="22"/>
            </w:rPr>
          </w:pPr>
          <w:r>
            <w:rPr>
              <w:rFonts w:ascii="SimSun" w:eastAsia="SimSun" w:hAnsi="SimSun" w:cs="SimSun"/>
              <w:spacing w:val="-2"/>
              <w:sz w:val="22"/>
              <w:szCs w:val="22"/>
            </w:rPr>
            <w:t>四、 敏感性分析：统一过程对于结果的影响</w:t>
          </w:r>
          <w:r>
            <w:rPr>
              <w:rFonts w:ascii="SimSun" w:eastAsia="SimSun" w:hAnsi="SimSun" w:cs="SimSun"/>
              <w:spacing w:val="-57"/>
              <w:sz w:val="22"/>
              <w:szCs w:val="22"/>
            </w:rPr>
            <w:t xml:space="preserve"> </w:t>
          </w:r>
          <w:r>
            <w:rPr>
              <w:rFonts w:ascii="SimSun" w:eastAsia="SimSun" w:hAnsi="SimSun" w:cs="SimSun"/>
              <w:sz w:val="22"/>
              <w:szCs w:val="22"/>
            </w:rPr>
            <w:tab/>
          </w:r>
          <w:r>
            <w:rPr>
              <w:rFonts w:ascii="SimSun" w:eastAsia="SimSun" w:hAnsi="SimSun" w:cs="SimSun"/>
              <w:spacing w:val="-81"/>
              <w:sz w:val="22"/>
              <w:szCs w:val="22"/>
            </w:rPr>
            <w:t xml:space="preserve"> </w:t>
          </w:r>
          <w:hyperlink w:anchor="bookmark17" w:history="1">
            <w:r>
              <w:rPr>
                <w:rFonts w:ascii="Calibri" w:eastAsia="Calibri" w:hAnsi="Calibri" w:cs="Calibri"/>
                <w:spacing w:val="-6"/>
                <w:sz w:val="22"/>
                <w:szCs w:val="22"/>
              </w:rPr>
              <w:t>2</w:t>
            </w:r>
          </w:hyperlink>
          <w:r>
            <w:rPr>
              <w:rFonts w:ascii="Calibri" w:eastAsia="Calibri" w:hAnsi="Calibri" w:cs="Calibri"/>
              <w:spacing w:val="-6"/>
              <w:sz w:val="22"/>
              <w:szCs w:val="22"/>
            </w:rPr>
            <w:t>2</w:t>
          </w:r>
        </w:p>
        <w:p>
          <w:pPr>
            <w:tabs>
              <w:tab w:val="right" w:leader="dot" w:pos="8312"/>
            </w:tabs>
            <w:spacing w:before="207" w:line="213" w:lineRule="auto"/>
            <w:ind w:left="20"/>
            <w:rPr>
              <w:rFonts w:ascii="Calibri" w:eastAsia="Calibri" w:hAnsi="Calibri" w:cs="Calibri"/>
              <w:sz w:val="22"/>
              <w:szCs w:val="22"/>
            </w:rPr>
          </w:pPr>
          <w:r>
            <w:rPr>
              <w:rFonts w:ascii="DengXian" w:eastAsia="DengXian" w:hAnsi="DengXian" w:cs="DengXian"/>
              <w:b/>
              <w:bCs/>
              <w:spacing w:val="-1"/>
              <w:sz w:val="22"/>
              <w:szCs w:val="22"/>
            </w:rPr>
            <w:t>第四章  甲烷排放预测及潜在减排对气候和健康的影响</w:t>
          </w:r>
          <w:r>
            <w:rPr>
              <w:rFonts w:ascii="DengXian" w:eastAsia="DengXian" w:hAnsi="DengXian" w:cs="DengXian"/>
              <w:b/>
              <w:bCs/>
              <w:spacing w:val="-12"/>
              <w:sz w:val="22"/>
              <w:szCs w:val="22"/>
            </w:rPr>
            <w:t xml:space="preserve"> </w:t>
          </w:r>
          <w:r>
            <w:rPr>
              <w:rFonts w:ascii="DengXian" w:eastAsia="DengXian" w:hAnsi="DengXian" w:cs="DengXian"/>
              <w:b/>
              <w:bCs/>
              <w:sz w:val="22"/>
              <w:szCs w:val="22"/>
            </w:rPr>
            <w:tab/>
          </w:r>
          <w:r>
            <w:rPr>
              <w:rFonts w:ascii="DengXian" w:eastAsia="DengXian" w:hAnsi="DengXian" w:cs="DengXian"/>
              <w:b/>
              <w:bCs/>
              <w:spacing w:val="-31"/>
              <w:sz w:val="22"/>
              <w:szCs w:val="22"/>
            </w:rPr>
            <w:t xml:space="preserve"> </w:t>
          </w:r>
          <w:hyperlink w:anchor="bookmark18" w:history="1">
            <w:r>
              <w:rPr>
                <w:rFonts w:ascii="Calibri" w:eastAsia="Calibri" w:hAnsi="Calibri" w:cs="Calibri"/>
                <w:spacing w:val="-6"/>
                <w:sz w:val="22"/>
                <w:szCs w:val="22"/>
              </w:rPr>
              <w:t>2</w:t>
            </w:r>
          </w:hyperlink>
          <w:r>
            <w:rPr>
              <w:rFonts w:ascii="Calibri" w:eastAsia="Calibri" w:hAnsi="Calibri" w:cs="Calibri"/>
              <w:spacing w:val="-6"/>
              <w:sz w:val="22"/>
              <w:szCs w:val="22"/>
            </w:rPr>
            <w:t>6</w:t>
          </w:r>
        </w:p>
        <w:p>
          <w:pPr>
            <w:tabs>
              <w:tab w:val="right" w:leader="dot" w:pos="8312"/>
            </w:tabs>
            <w:spacing w:before="214" w:line="219" w:lineRule="auto"/>
            <w:ind w:left="465"/>
            <w:rPr>
              <w:rFonts w:ascii="Calibri" w:eastAsia="Calibri" w:hAnsi="Calibri" w:cs="Calibri"/>
              <w:sz w:val="22"/>
              <w:szCs w:val="22"/>
            </w:rPr>
          </w:pPr>
          <w:r>
            <w:rPr>
              <w:rFonts w:ascii="SimSun" w:eastAsia="SimSun" w:hAnsi="SimSun" w:cs="SimSun"/>
              <w:spacing w:val="-1"/>
              <w:sz w:val="22"/>
              <w:szCs w:val="22"/>
            </w:rPr>
            <w:t>一、 情景气候影响评价方法</w:t>
          </w:r>
          <w:r>
            <w:rPr>
              <w:rFonts w:ascii="SimSun" w:eastAsia="SimSun" w:hAnsi="SimSun" w:cs="SimSun"/>
              <w:spacing w:val="-67"/>
              <w:sz w:val="22"/>
              <w:szCs w:val="22"/>
            </w:rPr>
            <w:t xml:space="preserve"> </w:t>
          </w:r>
          <w:r>
            <w:rPr>
              <w:rFonts w:ascii="SimSun" w:eastAsia="SimSun" w:hAnsi="SimSun" w:cs="SimSun"/>
              <w:sz w:val="22"/>
              <w:szCs w:val="22"/>
            </w:rPr>
            <w:tab/>
          </w:r>
          <w:r>
            <w:rPr>
              <w:rFonts w:ascii="SimSun" w:eastAsia="SimSun" w:hAnsi="SimSun" w:cs="SimSun"/>
              <w:spacing w:val="-80"/>
              <w:sz w:val="22"/>
              <w:szCs w:val="22"/>
            </w:rPr>
            <w:t xml:space="preserve"> </w:t>
          </w:r>
          <w:hyperlink w:anchor="bookmark19" w:history="1">
            <w:r>
              <w:rPr>
                <w:rFonts w:ascii="Calibri" w:eastAsia="Calibri" w:hAnsi="Calibri" w:cs="Calibri"/>
                <w:spacing w:val="-6"/>
                <w:sz w:val="22"/>
                <w:szCs w:val="22"/>
              </w:rPr>
              <w:t>2</w:t>
            </w:r>
          </w:hyperlink>
          <w:r>
            <w:rPr>
              <w:rFonts w:ascii="Calibri" w:eastAsia="Calibri" w:hAnsi="Calibri" w:cs="Calibri"/>
              <w:spacing w:val="-6"/>
              <w:sz w:val="22"/>
              <w:szCs w:val="22"/>
            </w:rPr>
            <w:t>6</w:t>
          </w:r>
        </w:p>
        <w:p>
          <w:pPr>
            <w:tabs>
              <w:tab w:val="right" w:leader="dot" w:pos="8312"/>
            </w:tabs>
            <w:spacing w:before="208" w:line="220" w:lineRule="auto"/>
            <w:ind w:left="465"/>
            <w:rPr>
              <w:rFonts w:ascii="Calibri" w:eastAsia="Calibri" w:hAnsi="Calibri" w:cs="Calibri"/>
              <w:sz w:val="22"/>
              <w:szCs w:val="22"/>
            </w:rPr>
          </w:pPr>
          <w:r>
            <w:rPr>
              <w:rFonts w:ascii="SimSun" w:eastAsia="SimSun" w:hAnsi="SimSun" w:cs="SimSun"/>
              <w:spacing w:val="-1"/>
              <w:sz w:val="22"/>
              <w:szCs w:val="22"/>
            </w:rPr>
            <w:t>二、 全球甲烷承诺对气候的影响</w:t>
          </w:r>
          <w:r>
            <w:rPr>
              <w:rFonts w:ascii="SimSun" w:eastAsia="SimSun" w:hAnsi="SimSun" w:cs="SimSun"/>
              <w:spacing w:val="-64"/>
              <w:sz w:val="22"/>
              <w:szCs w:val="22"/>
            </w:rPr>
            <w:t xml:space="preserve"> </w:t>
          </w:r>
          <w:r>
            <w:rPr>
              <w:rFonts w:ascii="SimSun" w:eastAsia="SimSun" w:hAnsi="SimSun" w:cs="SimSun"/>
              <w:sz w:val="22"/>
              <w:szCs w:val="22"/>
            </w:rPr>
            <w:tab/>
          </w:r>
          <w:r>
            <w:rPr>
              <w:rFonts w:ascii="SimSun" w:eastAsia="SimSun" w:hAnsi="SimSun" w:cs="SimSun"/>
              <w:spacing w:val="-82"/>
              <w:sz w:val="22"/>
              <w:szCs w:val="22"/>
            </w:rPr>
            <w:t xml:space="preserve"> </w:t>
          </w:r>
          <w:hyperlink w:anchor="bookmark20" w:history="1">
            <w:r>
              <w:rPr>
                <w:rFonts w:ascii="Calibri" w:eastAsia="Calibri" w:hAnsi="Calibri" w:cs="Calibri"/>
                <w:spacing w:val="-6"/>
                <w:sz w:val="22"/>
                <w:szCs w:val="22"/>
              </w:rPr>
              <w:t>2</w:t>
            </w:r>
          </w:hyperlink>
          <w:r>
            <w:rPr>
              <w:rFonts w:ascii="Calibri" w:eastAsia="Calibri" w:hAnsi="Calibri" w:cs="Calibri"/>
              <w:spacing w:val="-6"/>
              <w:sz w:val="22"/>
              <w:szCs w:val="22"/>
            </w:rPr>
            <w:t>8</w:t>
          </w:r>
        </w:p>
        <w:p>
          <w:pPr>
            <w:tabs>
              <w:tab w:val="right" w:leader="dot" w:pos="8312"/>
            </w:tabs>
            <w:spacing w:before="206" w:line="220" w:lineRule="auto"/>
            <w:ind w:left="461"/>
            <w:rPr>
              <w:rFonts w:ascii="Calibri" w:eastAsia="Calibri" w:hAnsi="Calibri" w:cs="Calibri"/>
              <w:sz w:val="22"/>
              <w:szCs w:val="22"/>
            </w:rPr>
          </w:pPr>
          <w:r>
            <w:rPr>
              <w:rFonts w:ascii="SimSun" w:eastAsia="SimSun" w:hAnsi="SimSun" w:cs="SimSun"/>
              <w:spacing w:val="-1"/>
              <w:sz w:val="22"/>
              <w:szCs w:val="22"/>
            </w:rPr>
            <w:t>三、 广泛脱碳和重点减排甲烷对气候的影响</w:t>
          </w:r>
          <w:r>
            <w:rPr>
              <w:rFonts w:ascii="SimSun" w:eastAsia="SimSun" w:hAnsi="SimSun" w:cs="SimSun"/>
              <w:spacing w:val="-56"/>
              <w:sz w:val="22"/>
              <w:szCs w:val="22"/>
            </w:rPr>
            <w:t xml:space="preserve"> </w:t>
          </w:r>
          <w:r>
            <w:rPr>
              <w:rFonts w:ascii="SimSun" w:eastAsia="SimSun" w:hAnsi="SimSun" w:cs="SimSun"/>
              <w:sz w:val="22"/>
              <w:szCs w:val="22"/>
            </w:rPr>
            <w:tab/>
          </w:r>
          <w:r>
            <w:rPr>
              <w:rFonts w:ascii="SimSun" w:eastAsia="SimSun" w:hAnsi="SimSun" w:cs="SimSun"/>
              <w:spacing w:val="-81"/>
              <w:sz w:val="22"/>
              <w:szCs w:val="22"/>
            </w:rPr>
            <w:t xml:space="preserve"> </w:t>
          </w:r>
          <w:hyperlink w:anchor="bookmark21" w:history="1">
            <w:r>
              <w:rPr>
                <w:rFonts w:ascii="Calibri" w:eastAsia="Calibri" w:hAnsi="Calibri" w:cs="Calibri"/>
                <w:spacing w:val="-6"/>
                <w:sz w:val="22"/>
                <w:szCs w:val="22"/>
              </w:rPr>
              <w:t>2</w:t>
            </w:r>
          </w:hyperlink>
          <w:r>
            <w:rPr>
              <w:rFonts w:ascii="Calibri" w:eastAsia="Calibri" w:hAnsi="Calibri" w:cs="Calibri"/>
              <w:spacing w:val="-6"/>
              <w:sz w:val="22"/>
              <w:szCs w:val="22"/>
            </w:rPr>
            <w:t>9</w:t>
          </w:r>
        </w:p>
        <w:p>
          <w:pPr>
            <w:tabs>
              <w:tab w:val="right" w:leader="dot" w:pos="8312"/>
            </w:tabs>
            <w:spacing w:before="208" w:line="212" w:lineRule="auto"/>
            <w:ind w:left="19"/>
            <w:rPr>
              <w:rFonts w:ascii="Calibri" w:eastAsia="Calibri" w:hAnsi="Calibri" w:cs="Calibri"/>
              <w:sz w:val="22"/>
              <w:szCs w:val="22"/>
            </w:rPr>
          </w:pPr>
          <w:r>
            <w:rPr>
              <w:rFonts w:ascii="DengXian" w:eastAsia="DengXian" w:hAnsi="DengXian" w:cs="DengXian"/>
              <w:b/>
              <w:bCs/>
              <w:spacing w:val="-1"/>
              <w:sz w:val="22"/>
              <w:szCs w:val="22"/>
            </w:rPr>
            <w:t>定义与模型</w:t>
          </w:r>
          <w:r>
            <w:rPr>
              <w:rFonts w:ascii="DengXian" w:eastAsia="DengXian" w:hAnsi="DengXian" w:cs="DengXian"/>
              <w:b/>
              <w:bCs/>
              <w:spacing w:val="-18"/>
              <w:sz w:val="22"/>
              <w:szCs w:val="22"/>
            </w:rPr>
            <w:t xml:space="preserve"> </w:t>
          </w:r>
          <w:r>
            <w:rPr>
              <w:rFonts w:ascii="DengXian" w:eastAsia="DengXian" w:hAnsi="DengXian" w:cs="DengXian"/>
              <w:b/>
              <w:bCs/>
              <w:sz w:val="22"/>
              <w:szCs w:val="22"/>
            </w:rPr>
            <w:tab/>
          </w:r>
          <w:r>
            <w:rPr>
              <w:rFonts w:ascii="DengXian" w:eastAsia="DengXian" w:hAnsi="DengXian" w:cs="DengXian"/>
              <w:b/>
              <w:bCs/>
              <w:spacing w:val="-34"/>
              <w:sz w:val="22"/>
              <w:szCs w:val="22"/>
            </w:rPr>
            <w:t xml:space="preserve"> </w:t>
          </w:r>
          <w:hyperlink w:anchor="bookmark22" w:history="1">
            <w:r>
              <w:rPr>
                <w:rFonts w:ascii="Calibri" w:eastAsia="Calibri" w:hAnsi="Calibri" w:cs="Calibri"/>
                <w:spacing w:val="-5"/>
                <w:sz w:val="22"/>
                <w:szCs w:val="22"/>
              </w:rPr>
              <w:t>3</w:t>
            </w:r>
          </w:hyperlink>
          <w:r>
            <w:rPr>
              <w:rFonts w:ascii="Calibri" w:eastAsia="Calibri" w:hAnsi="Calibri" w:cs="Calibri"/>
              <w:spacing w:val="-5"/>
              <w:sz w:val="22"/>
              <w:szCs w:val="22"/>
            </w:rPr>
            <w:t>2</w:t>
          </w:r>
        </w:p>
        <w:p>
          <w:pPr>
            <w:tabs>
              <w:tab w:val="right" w:leader="dot" w:pos="8312"/>
            </w:tabs>
            <w:spacing w:before="219" w:line="212" w:lineRule="auto"/>
            <w:ind w:left="17"/>
            <w:rPr>
              <w:rFonts w:ascii="Calibri" w:eastAsia="Calibri" w:hAnsi="Calibri" w:cs="Calibri"/>
              <w:sz w:val="22"/>
              <w:szCs w:val="22"/>
            </w:rPr>
          </w:pPr>
          <w:r>
            <w:rPr>
              <w:rFonts w:ascii="DengXian" w:eastAsia="DengXian" w:hAnsi="DengXian" w:cs="DengXian"/>
              <w:b/>
              <w:bCs/>
              <w:spacing w:val="-1"/>
              <w:sz w:val="22"/>
              <w:szCs w:val="22"/>
            </w:rPr>
            <w:t>参考文献</w:t>
          </w:r>
          <w:r>
            <w:rPr>
              <w:rFonts w:ascii="DengXian" w:eastAsia="DengXian" w:hAnsi="DengXian" w:cs="DengXian"/>
              <w:b/>
              <w:bCs/>
              <w:spacing w:val="-18"/>
              <w:sz w:val="22"/>
              <w:szCs w:val="22"/>
            </w:rPr>
            <w:t xml:space="preserve"> </w:t>
          </w:r>
          <w:r>
            <w:rPr>
              <w:rFonts w:ascii="DengXian" w:eastAsia="DengXian" w:hAnsi="DengXian" w:cs="DengXian"/>
              <w:b/>
              <w:bCs/>
              <w:sz w:val="22"/>
              <w:szCs w:val="22"/>
            </w:rPr>
            <w:tab/>
          </w:r>
          <w:r>
            <w:rPr>
              <w:rFonts w:ascii="DengXian" w:eastAsia="DengXian" w:hAnsi="DengXian" w:cs="DengXian"/>
              <w:b/>
              <w:bCs/>
              <w:spacing w:val="-33"/>
              <w:sz w:val="22"/>
              <w:szCs w:val="22"/>
            </w:rPr>
            <w:t xml:space="preserve"> </w:t>
          </w:r>
          <w:hyperlink w:anchor="bookmark23" w:history="1">
            <w:r>
              <w:rPr>
                <w:rFonts w:ascii="Calibri" w:eastAsia="Calibri" w:hAnsi="Calibri" w:cs="Calibri"/>
                <w:spacing w:val="-5"/>
                <w:sz w:val="22"/>
                <w:szCs w:val="22"/>
              </w:rPr>
              <w:t>3</w:t>
            </w:r>
          </w:hyperlink>
          <w:r>
            <w:rPr>
              <w:rFonts w:ascii="Calibri" w:eastAsia="Calibri" w:hAnsi="Calibri" w:cs="Calibri"/>
              <w:spacing w:val="-5"/>
              <w:sz w:val="22"/>
              <w:szCs w:val="22"/>
            </w:rPr>
            <w:t>3</w:t>
          </w:r>
        </w:p>
      </w:sdtContent>
    </w:sdt>
    <w:p>
      <w:pPr>
        <w:spacing w:line="212" w:lineRule="auto"/>
        <w:rPr>
          <w:rFonts w:ascii="Calibri" w:eastAsia="Calibri" w:hAnsi="Calibri" w:cs="Calibri"/>
          <w:sz w:val="22"/>
          <w:szCs w:val="22"/>
        </w:rPr>
        <w:sectPr>
          <w:headerReference w:type="default" r:id="rId17"/>
          <w:footerReference w:type="default" r:id="rId18"/>
          <w:pgSz w:w="11906" w:h="16839"/>
          <w:pgMar w:top="400" w:right="1785" w:bottom="1177" w:left="1785" w:header="0" w:footer="976" w:gutter="0"/>
          <w:pgNumType w:start="9"/>
          <w:cols w:space="708"/>
        </w:sect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1" w:line="220" w:lineRule="auto"/>
        <w:ind w:left="25"/>
        <w:outlineLvl w:val="0"/>
        <w:rPr>
          <w:rFonts w:ascii="SimSun" w:eastAsia="SimSun" w:hAnsi="SimSun" w:cs="SimSun"/>
          <w:sz w:val="28"/>
          <w:szCs w:val="28"/>
        </w:rPr>
      </w:pPr>
      <w:bookmarkStart w:id="1" w:name="bookmark6"/>
      <w:bookmarkEnd w:id="1"/>
      <w:r>
        <w:rPr>
          <w:rFonts w:ascii="SimSun" w:eastAsia="SimSun" w:hAnsi="SimSun" w:cs="SimSun"/>
          <w:color w:val="1F4E79"/>
          <w:spacing w:val="-2"/>
          <w:sz w:val="28"/>
          <w:szCs w:val="28"/>
          <w14:textOutline w14:w="5103" w14:cap="sq">
            <w14:solidFill>
              <w14:srgbClr w14:val="1F4E79"/>
            </w14:solidFill>
            <w14:prstDash w14:val="solid"/>
            <w14:bevel/>
          </w14:textOutline>
        </w:rPr>
        <w:t>执行摘要</w:t>
      </w:r>
    </w:p>
    <w:p>
      <w:pPr>
        <w:spacing w:line="250" w:lineRule="auto"/>
        <w:rPr>
          <w:rFonts w:ascii="Arial"/>
          <w:sz w:val="21"/>
        </w:rPr>
      </w:pPr>
    </w:p>
    <w:p>
      <w:pPr>
        <w:pStyle w:val="BodyText"/>
        <w:spacing w:before="71" w:line="359" w:lineRule="auto"/>
        <w:ind w:left="23" w:right="13" w:firstLine="439"/>
        <w:jc w:val="both"/>
        <w:rPr>
          <w:rFonts w:ascii="SimSun" w:eastAsia="SimSun" w:hAnsi="SimSun" w:cs="SimSun"/>
          <w:sz w:val="22"/>
          <w:szCs w:val="22"/>
        </w:rPr>
      </w:pPr>
      <w:r>
        <w:rPr>
          <w:rFonts w:ascii="SimSun" w:eastAsia="SimSun" w:hAnsi="SimSun" w:cs="SimSun"/>
          <w:spacing w:val="4"/>
          <w:sz w:val="22"/>
          <w:szCs w:val="22"/>
        </w:rPr>
        <w:t>本报告作为全球甲烷评估（</w:t>
      </w:r>
      <w:r>
        <w:rPr>
          <w:sz w:val="22"/>
          <w:szCs w:val="22"/>
        </w:rPr>
        <w:t>Global</w:t>
      </w:r>
      <w:r>
        <w:rPr>
          <w:spacing w:val="4"/>
          <w:sz w:val="22"/>
          <w:szCs w:val="22"/>
        </w:rPr>
        <w:t xml:space="preserve"> </w:t>
      </w:r>
      <w:r>
        <w:rPr>
          <w:sz w:val="22"/>
          <w:szCs w:val="22"/>
        </w:rPr>
        <w:t>Methane Assessment</w:t>
      </w:r>
      <w:r>
        <w:rPr>
          <w:spacing w:val="4"/>
          <w:sz w:val="22"/>
          <w:szCs w:val="22"/>
        </w:rPr>
        <w:t xml:space="preserve">, </w:t>
      </w:r>
      <w:r>
        <w:rPr>
          <w:sz w:val="22"/>
          <w:szCs w:val="22"/>
        </w:rPr>
        <w:t>GMA</w:t>
      </w:r>
      <w:r>
        <w:rPr>
          <w:rFonts w:ascii="SimSun" w:eastAsia="SimSun" w:hAnsi="SimSun" w:cs="SimSun"/>
          <w:spacing w:val="4"/>
          <w:sz w:val="22"/>
          <w:szCs w:val="22"/>
        </w:rPr>
        <w:t>）的成果之一，详细</w:t>
      </w:r>
      <w:r>
        <w:rPr>
          <w:rFonts w:ascii="SimSun" w:eastAsia="SimSun" w:hAnsi="SimSun" w:cs="SimSun"/>
          <w:sz w:val="22"/>
          <w:szCs w:val="22"/>
        </w:rPr>
        <w:t xml:space="preserve"> </w:t>
      </w:r>
      <w:r>
        <w:rPr>
          <w:rFonts w:ascii="SimSun" w:eastAsia="SimSun" w:hAnsi="SimSun" w:cs="SimSun"/>
          <w:spacing w:val="3"/>
          <w:sz w:val="22"/>
          <w:szCs w:val="22"/>
        </w:rPr>
        <w:t>阐述了在各基准线情景下，</w:t>
      </w:r>
      <w:r>
        <w:rPr>
          <w:spacing w:val="3"/>
          <w:sz w:val="22"/>
          <w:szCs w:val="22"/>
        </w:rPr>
        <w:t xml:space="preserve">2030 </w:t>
      </w:r>
      <w:r>
        <w:rPr>
          <w:rFonts w:ascii="SimSun" w:eastAsia="SimSun" w:hAnsi="SimSun" w:cs="SimSun"/>
          <w:spacing w:val="3"/>
          <w:sz w:val="22"/>
          <w:szCs w:val="22"/>
        </w:rPr>
        <w:t>年人为甲</w:t>
      </w:r>
      <w:r>
        <w:rPr>
          <w:rFonts w:ascii="SimSun" w:eastAsia="SimSun" w:hAnsi="SimSun" w:cs="SimSun"/>
          <w:spacing w:val="2"/>
          <w:sz w:val="22"/>
          <w:szCs w:val="22"/>
        </w:rPr>
        <w:t>烷排放预测结果，并介绍了基于这些基准线</w:t>
      </w:r>
      <w:r>
        <w:rPr>
          <w:rFonts w:ascii="SimSun" w:eastAsia="SimSun" w:hAnsi="SimSun" w:cs="SimSun"/>
          <w:sz w:val="22"/>
          <w:szCs w:val="22"/>
        </w:rPr>
        <w:t xml:space="preserve"> </w:t>
      </w:r>
      <w:r>
        <w:rPr>
          <w:rFonts w:ascii="SimSun" w:eastAsia="SimSun" w:hAnsi="SimSun" w:cs="SimSun"/>
          <w:spacing w:val="2"/>
          <w:sz w:val="22"/>
          <w:szCs w:val="22"/>
        </w:rPr>
        <w:t>情景下甲烷排放的影响，比较了推动全球甲烷承诺（</w:t>
      </w:r>
      <w:r>
        <w:rPr>
          <w:sz w:val="22"/>
          <w:szCs w:val="22"/>
        </w:rPr>
        <w:t>Global</w:t>
      </w:r>
      <w:r>
        <w:rPr>
          <w:spacing w:val="2"/>
          <w:sz w:val="22"/>
          <w:szCs w:val="22"/>
        </w:rPr>
        <w:t xml:space="preserve"> </w:t>
      </w:r>
      <w:r>
        <w:rPr>
          <w:sz w:val="22"/>
          <w:szCs w:val="22"/>
        </w:rPr>
        <w:t>Methane</w:t>
      </w:r>
      <w:r>
        <w:rPr>
          <w:spacing w:val="2"/>
          <w:sz w:val="22"/>
          <w:szCs w:val="22"/>
        </w:rPr>
        <w:t xml:space="preserve"> </w:t>
      </w:r>
      <w:r>
        <w:rPr>
          <w:sz w:val="22"/>
          <w:szCs w:val="22"/>
        </w:rPr>
        <w:t>Pledge</w:t>
      </w:r>
      <w:r>
        <w:rPr>
          <w:spacing w:val="2"/>
          <w:sz w:val="22"/>
          <w:szCs w:val="22"/>
        </w:rPr>
        <w:t xml:space="preserve">, </w:t>
      </w:r>
      <w:r>
        <w:rPr>
          <w:sz w:val="22"/>
          <w:szCs w:val="22"/>
        </w:rPr>
        <w:t>GMP</w:t>
      </w:r>
      <w:r>
        <w:rPr>
          <w:rFonts w:ascii="SimSun" w:eastAsia="SimSun" w:hAnsi="SimSun" w:cs="SimSun"/>
          <w:spacing w:val="2"/>
          <w:sz w:val="22"/>
          <w:szCs w:val="22"/>
        </w:rPr>
        <w:t>）</w:t>
      </w:r>
      <w:r>
        <w:rPr>
          <w:rFonts w:ascii="SimSun" w:eastAsia="SimSun" w:hAnsi="SimSun" w:cs="SimSun"/>
          <w:spacing w:val="-36"/>
          <w:sz w:val="22"/>
          <w:szCs w:val="22"/>
        </w:rPr>
        <w:t xml:space="preserve"> </w:t>
      </w:r>
      <w:r>
        <w:rPr>
          <w:rFonts w:ascii="SimSun" w:eastAsia="SimSun" w:hAnsi="SimSun" w:cs="SimSun"/>
          <w:spacing w:val="2"/>
          <w:sz w:val="22"/>
          <w:szCs w:val="22"/>
        </w:rPr>
        <w:t>目</w:t>
      </w:r>
    </w:p>
    <w:p>
      <w:pPr>
        <w:spacing w:line="220" w:lineRule="auto"/>
        <w:ind w:left="23"/>
        <w:rPr>
          <w:rFonts w:ascii="SimSun" w:eastAsia="SimSun" w:hAnsi="SimSun" w:cs="SimSun"/>
          <w:sz w:val="22"/>
          <w:szCs w:val="22"/>
        </w:rPr>
      </w:pPr>
      <w:r>
        <w:rPr>
          <w:rFonts w:ascii="SimSun" w:eastAsia="SimSun" w:hAnsi="SimSun" w:cs="SimSun"/>
          <w:spacing w:val="-1"/>
          <w:sz w:val="22"/>
          <w:szCs w:val="22"/>
        </w:rPr>
        <w:t>标实现所带来的气候效益。</w:t>
      </w:r>
    </w:p>
    <w:p>
      <w:pPr>
        <w:pStyle w:val="BodyText"/>
        <w:spacing w:before="286" w:line="359" w:lineRule="auto"/>
        <w:ind w:left="22" w:right="13" w:firstLine="435"/>
        <w:rPr>
          <w:rFonts w:ascii="SimSun" w:eastAsia="SimSun" w:hAnsi="SimSun" w:cs="SimSun"/>
          <w:sz w:val="22"/>
          <w:szCs w:val="22"/>
        </w:rPr>
      </w:pPr>
      <w:r>
        <w:rPr>
          <w:spacing w:val="1"/>
          <w:sz w:val="22"/>
          <w:szCs w:val="22"/>
        </w:rPr>
        <w:t xml:space="preserve">2021 </w:t>
      </w:r>
      <w:r>
        <w:rPr>
          <w:rFonts w:ascii="SimSun" w:eastAsia="SimSun" w:hAnsi="SimSun" w:cs="SimSun"/>
          <w:spacing w:val="1"/>
          <w:sz w:val="22"/>
          <w:szCs w:val="22"/>
        </w:rPr>
        <w:t>年，由气候与清洁空气联盟（</w:t>
      </w:r>
      <w:r>
        <w:rPr>
          <w:sz w:val="22"/>
          <w:szCs w:val="22"/>
        </w:rPr>
        <w:t>CCAC</w:t>
      </w:r>
      <w:r>
        <w:rPr>
          <w:rFonts w:ascii="SimSun" w:eastAsia="SimSun" w:hAnsi="SimSun" w:cs="SimSun"/>
          <w:spacing w:val="1"/>
          <w:sz w:val="22"/>
          <w:szCs w:val="22"/>
        </w:rPr>
        <w:t>）和联合国环境规划署（</w:t>
      </w:r>
      <w:r>
        <w:rPr>
          <w:sz w:val="22"/>
          <w:szCs w:val="22"/>
        </w:rPr>
        <w:t>UNEP</w:t>
      </w:r>
      <w:r>
        <w:rPr>
          <w:rFonts w:ascii="SimSun" w:eastAsia="SimSun" w:hAnsi="SimSun" w:cs="SimSun"/>
          <w:spacing w:val="1"/>
          <w:sz w:val="22"/>
          <w:szCs w:val="22"/>
        </w:rPr>
        <w:t>）共同发</w:t>
      </w:r>
      <w:r>
        <w:rPr>
          <w:rFonts w:ascii="SimSun" w:eastAsia="SimSun" w:hAnsi="SimSun" w:cs="SimSun"/>
          <w:sz w:val="22"/>
          <w:szCs w:val="22"/>
        </w:rPr>
        <w:t xml:space="preserve"> </w:t>
      </w:r>
      <w:r>
        <w:rPr>
          <w:rFonts w:ascii="SimSun" w:eastAsia="SimSun" w:hAnsi="SimSun" w:cs="SimSun"/>
          <w:sz w:val="22"/>
          <w:szCs w:val="22"/>
        </w:rPr>
        <w:t>布了《全球甲烷评估：减缓甲烷排放的收益和成本》（</w:t>
      </w:r>
      <w:r>
        <w:rPr>
          <w:sz w:val="22"/>
          <w:szCs w:val="22"/>
        </w:rPr>
        <w:t>UNEP</w:t>
      </w:r>
      <w:r>
        <w:rPr>
          <w:spacing w:val="-24"/>
          <w:sz w:val="22"/>
          <w:szCs w:val="22"/>
        </w:rPr>
        <w:t xml:space="preserve"> </w:t>
      </w:r>
      <w:r>
        <w:rPr>
          <w:rFonts w:ascii="SimSun" w:eastAsia="SimSun" w:hAnsi="SimSun" w:cs="SimSun"/>
          <w:sz w:val="22"/>
          <w:szCs w:val="22"/>
        </w:rPr>
        <w:t>，</w:t>
      </w:r>
      <w:r>
        <w:rPr>
          <w:sz w:val="22"/>
          <w:szCs w:val="22"/>
        </w:rPr>
        <w:t>CCAC 2021</w:t>
      </w:r>
      <w:r>
        <w:rPr>
          <w:rFonts w:ascii="SimSun" w:eastAsia="SimSun" w:hAnsi="SimSun" w:cs="SimSun"/>
          <w:sz w:val="22"/>
          <w:szCs w:val="22"/>
        </w:rPr>
        <w:t>）报</w:t>
      </w:r>
      <w:r>
        <w:rPr>
          <w:rFonts w:ascii="SimSun" w:eastAsia="SimSun" w:hAnsi="SimSun" w:cs="SimSun"/>
          <w:spacing w:val="-1"/>
          <w:sz w:val="22"/>
          <w:szCs w:val="22"/>
        </w:rPr>
        <w:t>告，明</w:t>
      </w:r>
      <w:r>
        <w:rPr>
          <w:rFonts w:ascii="SimSun" w:eastAsia="SimSun" w:hAnsi="SimSun" w:cs="SimSun"/>
          <w:sz w:val="22"/>
          <w:szCs w:val="22"/>
        </w:rPr>
        <w:t xml:space="preserve"> </w:t>
      </w:r>
      <w:r>
        <w:rPr>
          <w:rFonts w:ascii="SimSun" w:eastAsia="SimSun" w:hAnsi="SimSun" w:cs="SimSun"/>
          <w:spacing w:val="4"/>
          <w:sz w:val="22"/>
          <w:szCs w:val="22"/>
        </w:rPr>
        <w:t>确指出削减甲烷排放是实现快速减缓全球变暖战略中最具成本效益的手段之一，并将</w:t>
      </w:r>
      <w:r>
        <w:rPr>
          <w:rFonts w:ascii="SimSun" w:eastAsia="SimSun" w:hAnsi="SimSun" w:cs="SimSun"/>
          <w:spacing w:val="8"/>
          <w:sz w:val="22"/>
          <w:szCs w:val="22"/>
        </w:rPr>
        <w:t xml:space="preserve"> </w:t>
      </w:r>
      <w:r>
        <w:rPr>
          <w:rFonts w:ascii="SimSun" w:eastAsia="SimSun" w:hAnsi="SimSun" w:cs="SimSun"/>
          <w:sz w:val="22"/>
          <w:szCs w:val="22"/>
        </w:rPr>
        <w:t>为实现温升控制在</w:t>
      </w:r>
      <w:r>
        <w:rPr>
          <w:rFonts w:ascii="SimSun" w:eastAsia="SimSun" w:hAnsi="SimSun" w:cs="SimSun"/>
          <w:spacing w:val="-11"/>
          <w:sz w:val="22"/>
          <w:szCs w:val="22"/>
        </w:rPr>
        <w:t xml:space="preserve"> </w:t>
      </w:r>
      <w:r>
        <w:rPr>
          <w:sz w:val="22"/>
          <w:szCs w:val="22"/>
        </w:rPr>
        <w:t>1.5</w:t>
      </w:r>
      <w:r>
        <w:rPr>
          <w:rFonts w:ascii="SimSun" w:eastAsia="SimSun" w:hAnsi="SimSun" w:cs="SimSun"/>
          <w:sz w:val="22"/>
          <w:szCs w:val="22"/>
        </w:rPr>
        <w:t xml:space="preserve">℃之内的全球目标做出重大贡献。其主要结论之一是目前可用的 </w:t>
      </w:r>
      <w:r>
        <w:rPr>
          <w:rFonts w:ascii="SimSun" w:eastAsia="SimSun" w:hAnsi="SimSun" w:cs="SimSun"/>
          <w:spacing w:val="4"/>
          <w:sz w:val="22"/>
          <w:szCs w:val="22"/>
        </w:rPr>
        <w:t>技术措施和政策可助力三个主要人为甲烷排放部门减排，其削减量有可能达到甲烷基</w:t>
      </w:r>
      <w:r>
        <w:rPr>
          <w:rFonts w:ascii="SimSun" w:eastAsia="SimSun" w:hAnsi="SimSun" w:cs="SimSun"/>
          <w:spacing w:val="8"/>
          <w:sz w:val="22"/>
          <w:szCs w:val="22"/>
        </w:rPr>
        <w:t xml:space="preserve"> </w:t>
      </w:r>
      <w:r>
        <w:rPr>
          <w:rFonts w:ascii="SimSun" w:eastAsia="SimSun" w:hAnsi="SimSun" w:cs="SimSun"/>
          <w:sz w:val="22"/>
          <w:szCs w:val="22"/>
        </w:rPr>
        <w:t>准线排放水平的</w:t>
      </w:r>
      <w:r>
        <w:rPr>
          <w:rFonts w:ascii="SimSun" w:eastAsia="SimSun" w:hAnsi="SimSun" w:cs="SimSun"/>
          <w:spacing w:val="-41"/>
          <w:sz w:val="22"/>
          <w:szCs w:val="22"/>
        </w:rPr>
        <w:t xml:space="preserve"> </w:t>
      </w:r>
      <w:r>
        <w:rPr>
          <w:sz w:val="22"/>
          <w:szCs w:val="22"/>
        </w:rPr>
        <w:t>45%</w:t>
      </w:r>
      <w:r>
        <w:rPr>
          <w:rFonts w:ascii="SimSun" w:eastAsia="SimSun" w:hAnsi="SimSun" w:cs="SimSun"/>
          <w:sz w:val="22"/>
          <w:szCs w:val="22"/>
        </w:rPr>
        <w:t>（至</w:t>
      </w:r>
      <w:r>
        <w:rPr>
          <w:rFonts w:ascii="SimSun" w:eastAsia="SimSun" w:hAnsi="SimSun" w:cs="SimSun"/>
          <w:spacing w:val="-45"/>
          <w:sz w:val="22"/>
          <w:szCs w:val="22"/>
        </w:rPr>
        <w:t xml:space="preserve"> </w:t>
      </w:r>
      <w:r>
        <w:rPr>
          <w:sz w:val="22"/>
          <w:szCs w:val="22"/>
        </w:rPr>
        <w:t>2030</w:t>
      </w:r>
      <w:r>
        <w:rPr>
          <w:spacing w:val="14"/>
          <w:w w:val="101"/>
          <w:sz w:val="22"/>
          <w:szCs w:val="22"/>
        </w:rPr>
        <w:t xml:space="preserve"> </w:t>
      </w:r>
      <w:r>
        <w:rPr>
          <w:rFonts w:ascii="SimSun" w:eastAsia="SimSun" w:hAnsi="SimSun" w:cs="SimSun"/>
          <w:sz w:val="22"/>
          <w:szCs w:val="22"/>
        </w:rPr>
        <w:t>年，年均排放量约</w:t>
      </w:r>
      <w:r>
        <w:rPr>
          <w:rFonts w:ascii="SimSun" w:eastAsia="SimSun" w:hAnsi="SimSun" w:cs="SimSun"/>
          <w:spacing w:val="-25"/>
          <w:sz w:val="22"/>
          <w:szCs w:val="22"/>
        </w:rPr>
        <w:t xml:space="preserve"> </w:t>
      </w:r>
      <w:r>
        <w:rPr>
          <w:sz w:val="22"/>
          <w:szCs w:val="22"/>
        </w:rPr>
        <w:t>1.8</w:t>
      </w:r>
      <w:r>
        <w:rPr>
          <w:spacing w:val="15"/>
          <w:sz w:val="22"/>
          <w:szCs w:val="22"/>
        </w:rPr>
        <w:t xml:space="preserve"> </w:t>
      </w:r>
      <w:r>
        <w:rPr>
          <w:rFonts w:ascii="SimSun" w:eastAsia="SimSun" w:hAnsi="SimSun" w:cs="SimSun"/>
          <w:sz w:val="22"/>
          <w:szCs w:val="22"/>
        </w:rPr>
        <w:t xml:space="preserve">亿吨）。基准线排放情景假设包 </w:t>
      </w:r>
      <w:r>
        <w:rPr>
          <w:rFonts w:ascii="SimSun" w:eastAsia="SimSun" w:hAnsi="SimSun" w:cs="SimSun"/>
          <w:spacing w:val="4"/>
          <w:sz w:val="22"/>
          <w:szCs w:val="22"/>
        </w:rPr>
        <w:t>括现有政策和目标承诺的执行情况，并不涉及额外的减排行动。在该情景下，若针对</w:t>
      </w:r>
      <w:r>
        <w:rPr>
          <w:rFonts w:ascii="SimSun" w:eastAsia="SimSun" w:hAnsi="SimSun" w:cs="SimSun"/>
          <w:spacing w:val="8"/>
          <w:sz w:val="22"/>
          <w:szCs w:val="22"/>
        </w:rPr>
        <w:t xml:space="preserve"> </w:t>
      </w:r>
      <w:r>
        <w:rPr>
          <w:rFonts w:ascii="SimSun" w:eastAsia="SimSun" w:hAnsi="SimSun" w:cs="SimSun"/>
          <w:spacing w:val="4"/>
          <w:sz w:val="22"/>
          <w:szCs w:val="22"/>
        </w:rPr>
        <w:t>其他主要气候因子（包括二氧化碳和短期气候污染物）和甲烷等共同开展减排行动，</w:t>
      </w:r>
      <w:r>
        <w:rPr>
          <w:rFonts w:ascii="SimSun" w:eastAsia="SimSun" w:hAnsi="SimSun" w:cs="SimSun"/>
          <w:spacing w:val="8"/>
          <w:sz w:val="22"/>
          <w:szCs w:val="22"/>
        </w:rPr>
        <w:t xml:space="preserve"> </w:t>
      </w:r>
      <w:r>
        <w:rPr>
          <w:rFonts w:ascii="SimSun" w:eastAsia="SimSun" w:hAnsi="SimSun" w:cs="SimSun"/>
          <w:spacing w:val="3"/>
          <w:sz w:val="22"/>
          <w:szCs w:val="22"/>
        </w:rPr>
        <w:t>甲烷减排范围与政府间气候变化专门委员会（</w:t>
      </w:r>
      <w:r>
        <w:rPr>
          <w:sz w:val="22"/>
          <w:szCs w:val="22"/>
        </w:rPr>
        <w:t>IPCC</w:t>
      </w:r>
      <w:r>
        <w:rPr>
          <w:rFonts w:ascii="SimSun" w:eastAsia="SimSun" w:hAnsi="SimSun" w:cs="SimSun"/>
          <w:spacing w:val="3"/>
          <w:sz w:val="22"/>
          <w:szCs w:val="22"/>
        </w:rPr>
        <w:t>）提出的将本世纪全球变暖限制在</w:t>
      </w:r>
    </w:p>
    <w:p>
      <w:pPr>
        <w:pStyle w:val="BodyText"/>
        <w:spacing w:line="219" w:lineRule="auto"/>
        <w:ind w:left="39"/>
        <w:rPr>
          <w:rFonts w:ascii="SimSun" w:eastAsia="SimSun" w:hAnsi="SimSun" w:cs="SimSun"/>
          <w:sz w:val="22"/>
          <w:szCs w:val="22"/>
        </w:rPr>
      </w:pPr>
      <w:r>
        <w:rPr>
          <w:spacing w:val="-1"/>
          <w:sz w:val="22"/>
          <w:szCs w:val="22"/>
        </w:rPr>
        <w:t>1.5</w:t>
      </w:r>
      <w:r>
        <w:rPr>
          <w:rFonts w:ascii="SimSun" w:eastAsia="SimSun" w:hAnsi="SimSun" w:cs="SimSun"/>
          <w:spacing w:val="-1"/>
          <w:sz w:val="22"/>
          <w:szCs w:val="22"/>
        </w:rPr>
        <w:t>℃之内的最低成本路径所要求的减排目标</w:t>
      </w:r>
      <w:r>
        <w:rPr>
          <w:rFonts w:ascii="SimSun" w:eastAsia="SimSun" w:hAnsi="SimSun" w:cs="SimSun"/>
          <w:spacing w:val="-2"/>
          <w:sz w:val="22"/>
          <w:szCs w:val="22"/>
        </w:rPr>
        <w:t>一致。</w:t>
      </w:r>
    </w:p>
    <w:p>
      <w:pPr>
        <w:pStyle w:val="BodyText"/>
        <w:spacing w:before="286" w:line="359" w:lineRule="auto"/>
        <w:ind w:left="22" w:right="13" w:firstLine="438"/>
        <w:jc w:val="both"/>
        <w:rPr>
          <w:rFonts w:ascii="SimSun" w:eastAsia="SimSun" w:hAnsi="SimSun" w:cs="SimSun"/>
          <w:sz w:val="22"/>
          <w:szCs w:val="22"/>
        </w:rPr>
      </w:pPr>
      <w:r>
        <w:rPr>
          <w:rFonts w:ascii="SimSun" w:eastAsia="SimSun" w:hAnsi="SimSun" w:cs="SimSun"/>
          <w:spacing w:val="1"/>
          <w:sz w:val="22"/>
          <w:szCs w:val="22"/>
        </w:rPr>
        <w:t>在</w:t>
      </w:r>
      <w:r>
        <w:rPr>
          <w:rFonts w:ascii="SimSun" w:eastAsia="SimSun" w:hAnsi="SimSun" w:cs="SimSun"/>
          <w:spacing w:val="-48"/>
          <w:sz w:val="22"/>
          <w:szCs w:val="22"/>
        </w:rPr>
        <w:t xml:space="preserve"> </w:t>
      </w:r>
      <w:r>
        <w:rPr>
          <w:spacing w:val="1"/>
          <w:sz w:val="22"/>
          <w:szCs w:val="22"/>
        </w:rPr>
        <w:t xml:space="preserve">2021 </w:t>
      </w:r>
      <w:r>
        <w:rPr>
          <w:rFonts w:ascii="SimSun" w:eastAsia="SimSun" w:hAnsi="SimSun" w:cs="SimSun"/>
          <w:spacing w:val="1"/>
          <w:sz w:val="22"/>
          <w:szCs w:val="22"/>
        </w:rPr>
        <w:t>年全球甲烷评估结论的推动下，</w:t>
      </w:r>
      <w:r>
        <w:rPr>
          <w:spacing w:val="1"/>
          <w:sz w:val="22"/>
          <w:szCs w:val="22"/>
        </w:rPr>
        <w:t xml:space="preserve">2021 </w:t>
      </w:r>
      <w:r>
        <w:rPr>
          <w:rFonts w:ascii="SimSun" w:eastAsia="SimSun" w:hAnsi="SimSun" w:cs="SimSun"/>
          <w:spacing w:val="1"/>
          <w:sz w:val="22"/>
          <w:szCs w:val="22"/>
        </w:rPr>
        <w:t>年</w:t>
      </w:r>
      <w:r>
        <w:rPr>
          <w:rFonts w:ascii="SimSun" w:eastAsia="SimSun" w:hAnsi="SimSun" w:cs="SimSun"/>
          <w:spacing w:val="-27"/>
          <w:sz w:val="22"/>
          <w:szCs w:val="22"/>
        </w:rPr>
        <w:t xml:space="preserve"> </w:t>
      </w:r>
      <w:r>
        <w:rPr>
          <w:spacing w:val="1"/>
          <w:sz w:val="22"/>
          <w:szCs w:val="22"/>
        </w:rPr>
        <w:t xml:space="preserve">11 </w:t>
      </w:r>
      <w:r>
        <w:rPr>
          <w:rFonts w:ascii="SimSun" w:eastAsia="SimSun" w:hAnsi="SimSun" w:cs="SimSun"/>
          <w:spacing w:val="1"/>
          <w:sz w:val="22"/>
          <w:szCs w:val="22"/>
        </w:rPr>
        <w:t>月，</w:t>
      </w:r>
      <w:r>
        <w:rPr>
          <w:rFonts w:ascii="SimSun" w:eastAsia="SimSun" w:hAnsi="SimSun" w:cs="SimSun"/>
          <w:sz w:val="22"/>
          <w:szCs w:val="22"/>
        </w:rPr>
        <w:t>全球甲烷承诺（</w:t>
      </w:r>
      <w:r>
        <w:rPr>
          <w:sz w:val="22"/>
          <w:szCs w:val="22"/>
        </w:rPr>
        <w:t>GMP</w:t>
      </w:r>
      <w:r>
        <w:rPr>
          <w:rFonts w:ascii="SimSun" w:eastAsia="SimSun" w:hAnsi="SimSun" w:cs="SimSun"/>
          <w:sz w:val="22"/>
          <w:szCs w:val="22"/>
        </w:rPr>
        <w:t xml:space="preserve">）于 </w:t>
      </w:r>
      <w:r>
        <w:rPr>
          <w:rFonts w:ascii="SimSun" w:eastAsia="SimSun" w:hAnsi="SimSun" w:cs="SimSun"/>
          <w:spacing w:val="1"/>
          <w:sz w:val="22"/>
          <w:szCs w:val="22"/>
        </w:rPr>
        <w:t>格拉斯哥举办的联合国气候变化大会第</w:t>
      </w:r>
      <w:r>
        <w:rPr>
          <w:rFonts w:ascii="SimSun" w:eastAsia="SimSun" w:hAnsi="SimSun" w:cs="SimSun"/>
          <w:spacing w:val="-50"/>
          <w:sz w:val="22"/>
          <w:szCs w:val="22"/>
        </w:rPr>
        <w:t xml:space="preserve"> </w:t>
      </w:r>
      <w:r>
        <w:rPr>
          <w:spacing w:val="1"/>
          <w:sz w:val="22"/>
          <w:szCs w:val="22"/>
        </w:rPr>
        <w:t>26</w:t>
      </w:r>
      <w:r>
        <w:rPr>
          <w:spacing w:val="17"/>
          <w:w w:val="101"/>
          <w:sz w:val="22"/>
          <w:szCs w:val="22"/>
        </w:rPr>
        <w:t xml:space="preserve"> </w:t>
      </w:r>
      <w:r>
        <w:rPr>
          <w:rFonts w:ascii="SimSun" w:eastAsia="SimSun" w:hAnsi="SimSun" w:cs="SimSun"/>
          <w:spacing w:val="1"/>
          <w:sz w:val="22"/>
          <w:szCs w:val="22"/>
        </w:rPr>
        <w:t>次缔约方大会（</w:t>
      </w:r>
      <w:r>
        <w:rPr>
          <w:sz w:val="22"/>
          <w:szCs w:val="22"/>
        </w:rPr>
        <w:t>COP</w:t>
      </w:r>
      <w:r>
        <w:rPr>
          <w:spacing w:val="1"/>
          <w:sz w:val="22"/>
          <w:szCs w:val="22"/>
        </w:rPr>
        <w:t>26</w:t>
      </w:r>
      <w:r>
        <w:rPr>
          <w:rFonts w:ascii="SimSun" w:eastAsia="SimSun" w:hAnsi="SimSun" w:cs="SimSun"/>
          <w:spacing w:val="1"/>
          <w:sz w:val="22"/>
          <w:szCs w:val="22"/>
        </w:rPr>
        <w:t>）上启动。参</w:t>
      </w:r>
      <w:r>
        <w:rPr>
          <w:rFonts w:ascii="SimSun" w:eastAsia="SimSun" w:hAnsi="SimSun" w:cs="SimSun"/>
          <w:sz w:val="22"/>
          <w:szCs w:val="22"/>
        </w:rPr>
        <w:t xml:space="preserve">与承诺 </w:t>
      </w:r>
      <w:r>
        <w:rPr>
          <w:rFonts w:ascii="SimSun" w:eastAsia="SimSun" w:hAnsi="SimSun" w:cs="SimSun"/>
          <w:spacing w:val="3"/>
          <w:sz w:val="22"/>
          <w:szCs w:val="22"/>
        </w:rPr>
        <w:t>的各方同意采取自愿行动，为削减人为甲烷排放做出共同努力，到</w:t>
      </w:r>
      <w:r>
        <w:rPr>
          <w:rFonts w:ascii="SimSun" w:eastAsia="SimSun" w:hAnsi="SimSun" w:cs="SimSun"/>
          <w:spacing w:val="-32"/>
          <w:sz w:val="22"/>
          <w:szCs w:val="22"/>
        </w:rPr>
        <w:t xml:space="preserve"> </w:t>
      </w:r>
      <w:r>
        <w:rPr>
          <w:spacing w:val="3"/>
          <w:sz w:val="22"/>
          <w:szCs w:val="22"/>
        </w:rPr>
        <w:t xml:space="preserve">2030 </w:t>
      </w:r>
      <w:r>
        <w:rPr>
          <w:rFonts w:ascii="SimSun" w:eastAsia="SimSun" w:hAnsi="SimSun" w:cs="SimSun"/>
          <w:spacing w:val="3"/>
          <w:sz w:val="22"/>
          <w:szCs w:val="22"/>
        </w:rPr>
        <w:t>年在</w:t>
      </w:r>
      <w:r>
        <w:rPr>
          <w:rFonts w:ascii="SimSun" w:eastAsia="SimSun" w:hAnsi="SimSun" w:cs="SimSun"/>
          <w:spacing w:val="-48"/>
          <w:sz w:val="22"/>
          <w:szCs w:val="22"/>
        </w:rPr>
        <w:t xml:space="preserve"> </w:t>
      </w:r>
      <w:r>
        <w:rPr>
          <w:spacing w:val="3"/>
          <w:sz w:val="22"/>
          <w:szCs w:val="22"/>
        </w:rPr>
        <w:t xml:space="preserve">2020 </w:t>
      </w:r>
      <w:r>
        <w:rPr>
          <w:rFonts w:ascii="SimSun" w:eastAsia="SimSun" w:hAnsi="SimSun" w:cs="SimSun"/>
          <w:spacing w:val="3"/>
          <w:sz w:val="22"/>
          <w:szCs w:val="22"/>
        </w:rPr>
        <w:t>年</w:t>
      </w:r>
    </w:p>
    <w:p>
      <w:pPr>
        <w:pStyle w:val="BodyText"/>
        <w:spacing w:line="220" w:lineRule="auto"/>
        <w:ind w:left="25"/>
        <w:rPr>
          <w:rFonts w:ascii="SimSun" w:eastAsia="SimSun" w:hAnsi="SimSun" w:cs="SimSun"/>
          <w:sz w:val="22"/>
          <w:szCs w:val="22"/>
        </w:rPr>
      </w:pPr>
      <w:r>
        <w:rPr>
          <w:rFonts w:ascii="SimSun" w:eastAsia="SimSun" w:hAnsi="SimSun" w:cs="SimSun"/>
          <w:spacing w:val="-6"/>
          <w:sz w:val="22"/>
          <w:szCs w:val="22"/>
        </w:rPr>
        <w:t>水平基础上减排</w:t>
      </w:r>
      <w:r>
        <w:rPr>
          <w:rFonts w:ascii="SimSun" w:eastAsia="SimSun" w:hAnsi="SimSun" w:cs="SimSun"/>
          <w:spacing w:val="-31"/>
          <w:sz w:val="22"/>
          <w:szCs w:val="22"/>
        </w:rPr>
        <w:t xml:space="preserve"> </w:t>
      </w:r>
      <w:r>
        <w:rPr>
          <w:spacing w:val="-6"/>
          <w:sz w:val="22"/>
          <w:szCs w:val="22"/>
        </w:rPr>
        <w:t>30%</w:t>
      </w:r>
      <w:r>
        <w:rPr>
          <w:rFonts w:ascii="SimSun" w:eastAsia="SimSun" w:hAnsi="SimSun" w:cs="SimSun"/>
          <w:spacing w:val="-6"/>
          <w:sz w:val="22"/>
          <w:szCs w:val="22"/>
        </w:rPr>
        <w:t>（</w:t>
      </w:r>
      <w:r>
        <w:rPr>
          <w:spacing w:val="-6"/>
          <w:sz w:val="22"/>
          <w:szCs w:val="22"/>
        </w:rPr>
        <w:t>GMP 2022</w:t>
      </w:r>
      <w:r>
        <w:rPr>
          <w:rFonts w:ascii="SimSun" w:eastAsia="SimSun" w:hAnsi="SimSun" w:cs="SimSun"/>
          <w:spacing w:val="-6"/>
          <w:sz w:val="22"/>
          <w:szCs w:val="22"/>
        </w:rPr>
        <w:t>）。</w:t>
      </w:r>
    </w:p>
    <w:p>
      <w:pPr>
        <w:pStyle w:val="BodyText"/>
        <w:spacing w:before="287" w:line="359" w:lineRule="auto"/>
        <w:ind w:left="22" w:right="13" w:firstLine="435"/>
        <w:jc w:val="both"/>
        <w:rPr>
          <w:rFonts w:ascii="SimSun" w:eastAsia="SimSun" w:hAnsi="SimSun" w:cs="SimSun"/>
          <w:sz w:val="22"/>
          <w:szCs w:val="22"/>
        </w:rPr>
      </w:pPr>
      <w:r>
        <w:rPr>
          <w:spacing w:val="5"/>
          <w:sz w:val="22"/>
          <w:szCs w:val="22"/>
        </w:rPr>
        <w:t xml:space="preserve">2022 </w:t>
      </w:r>
      <w:r>
        <w:rPr>
          <w:rFonts w:ascii="SimSun" w:eastAsia="SimSun" w:hAnsi="SimSun" w:cs="SimSun"/>
          <w:spacing w:val="5"/>
          <w:sz w:val="22"/>
          <w:szCs w:val="22"/>
        </w:rPr>
        <w:t>年，全球甲烷承诺的合作伙伴要求联合国规划署（</w:t>
      </w:r>
      <w:r>
        <w:rPr>
          <w:sz w:val="22"/>
          <w:szCs w:val="22"/>
        </w:rPr>
        <w:t>UNEP</w:t>
      </w:r>
      <w:r>
        <w:rPr>
          <w:rFonts w:ascii="SimSun" w:eastAsia="SimSun" w:hAnsi="SimSun" w:cs="SimSun"/>
          <w:spacing w:val="5"/>
          <w:sz w:val="22"/>
          <w:szCs w:val="22"/>
        </w:rPr>
        <w:t>）针对基准排放情</w:t>
      </w:r>
      <w:r>
        <w:rPr>
          <w:rFonts w:ascii="SimSun" w:eastAsia="SimSun" w:hAnsi="SimSun" w:cs="SimSun"/>
          <w:spacing w:val="17"/>
          <w:sz w:val="22"/>
          <w:szCs w:val="22"/>
        </w:rPr>
        <w:t xml:space="preserve"> </w:t>
      </w:r>
      <w:r>
        <w:rPr>
          <w:rFonts w:ascii="SimSun" w:eastAsia="SimSun" w:hAnsi="SimSun" w:cs="SimSun"/>
          <w:spacing w:val="1"/>
          <w:sz w:val="22"/>
          <w:szCs w:val="22"/>
        </w:rPr>
        <w:t>景开展进一步分析，评估不采取额外减排行动的情况下，截至</w:t>
      </w:r>
      <w:r>
        <w:rPr>
          <w:rFonts w:ascii="SimSun" w:eastAsia="SimSun" w:hAnsi="SimSun" w:cs="SimSun"/>
          <w:spacing w:val="-48"/>
          <w:sz w:val="22"/>
          <w:szCs w:val="22"/>
        </w:rPr>
        <w:t xml:space="preserve"> </w:t>
      </w:r>
      <w:r>
        <w:rPr>
          <w:spacing w:val="1"/>
          <w:sz w:val="22"/>
          <w:szCs w:val="22"/>
        </w:rPr>
        <w:t xml:space="preserve">2030 </w:t>
      </w:r>
      <w:r>
        <w:rPr>
          <w:rFonts w:ascii="SimSun" w:eastAsia="SimSun" w:hAnsi="SimSun" w:cs="SimSun"/>
          <w:spacing w:val="1"/>
          <w:sz w:val="22"/>
          <w:szCs w:val="22"/>
        </w:rPr>
        <w:t>年甲烷排放增长情</w:t>
      </w:r>
      <w:r>
        <w:rPr>
          <w:rFonts w:ascii="SimSun" w:eastAsia="SimSun" w:hAnsi="SimSun" w:cs="SimSun"/>
          <w:sz w:val="22"/>
          <w:szCs w:val="22"/>
        </w:rPr>
        <w:t xml:space="preserve"> </w:t>
      </w:r>
      <w:r>
        <w:rPr>
          <w:rFonts w:ascii="SimSun" w:eastAsia="SimSun" w:hAnsi="SimSun" w:cs="SimSun"/>
          <w:spacing w:val="4"/>
          <w:sz w:val="22"/>
          <w:szCs w:val="22"/>
        </w:rPr>
        <w:t>况，以得到较为合理（协调统一）的结果，并将基准情景下排放的影响与兑现全球甲</w:t>
      </w:r>
      <w:r>
        <w:rPr>
          <w:rFonts w:ascii="SimSun" w:eastAsia="SimSun" w:hAnsi="SimSun" w:cs="SimSun"/>
          <w:spacing w:val="8"/>
          <w:sz w:val="22"/>
          <w:szCs w:val="22"/>
        </w:rPr>
        <w:t xml:space="preserve"> </w:t>
      </w:r>
      <w:r>
        <w:rPr>
          <w:rFonts w:ascii="SimSun" w:eastAsia="SimSun" w:hAnsi="SimSun" w:cs="SimSun"/>
          <w:spacing w:val="4"/>
          <w:sz w:val="22"/>
          <w:szCs w:val="22"/>
        </w:rPr>
        <w:t>烷承诺所带来的影响相比较。本报告的目标在于针对未来基准线排放的完整特性进行</w:t>
      </w:r>
      <w:r>
        <w:rPr>
          <w:rFonts w:ascii="SimSun" w:eastAsia="SimSun" w:hAnsi="SimSun" w:cs="SimSun"/>
          <w:spacing w:val="8"/>
          <w:sz w:val="22"/>
          <w:szCs w:val="22"/>
        </w:rPr>
        <w:t xml:space="preserve"> </w:t>
      </w:r>
      <w:r>
        <w:rPr>
          <w:rFonts w:ascii="SimSun" w:eastAsia="SimSun" w:hAnsi="SimSun" w:cs="SimSun"/>
          <w:spacing w:val="2"/>
          <w:sz w:val="22"/>
          <w:szCs w:val="22"/>
        </w:rPr>
        <w:t>描述，同时便于与全球甲烷评估结论进行比较（译者注：全球甲烷评估结论是与</w:t>
      </w:r>
      <w:r>
        <w:rPr>
          <w:rFonts w:ascii="SimSun" w:eastAsia="SimSun" w:hAnsi="SimSun" w:cs="SimSun"/>
          <w:spacing w:val="-32"/>
          <w:sz w:val="22"/>
          <w:szCs w:val="22"/>
        </w:rPr>
        <w:t xml:space="preserve"> </w:t>
      </w:r>
      <w:r>
        <w:rPr>
          <w:spacing w:val="2"/>
          <w:sz w:val="22"/>
          <w:szCs w:val="22"/>
        </w:rPr>
        <w:t>2030</w:t>
      </w:r>
      <w:r>
        <w:rPr>
          <w:sz w:val="22"/>
          <w:szCs w:val="22"/>
        </w:rPr>
        <w:t xml:space="preserve"> </w:t>
      </w:r>
      <w:r>
        <w:rPr>
          <w:rFonts w:ascii="SimSun" w:eastAsia="SimSun" w:hAnsi="SimSun" w:cs="SimSun"/>
          <w:spacing w:val="1"/>
          <w:sz w:val="22"/>
          <w:szCs w:val="22"/>
        </w:rPr>
        <w:t>年的大致基准线排放水平对比得出的，而全球甲烷承诺的目标则是根据</w:t>
      </w:r>
      <w:r>
        <w:rPr>
          <w:rFonts w:ascii="SimSun" w:eastAsia="SimSun" w:hAnsi="SimSun" w:cs="SimSun"/>
          <w:spacing w:val="-49"/>
          <w:sz w:val="22"/>
          <w:szCs w:val="22"/>
        </w:rPr>
        <w:t xml:space="preserve"> </w:t>
      </w:r>
      <w:r>
        <w:rPr>
          <w:spacing w:val="1"/>
          <w:sz w:val="22"/>
          <w:szCs w:val="22"/>
        </w:rPr>
        <w:t xml:space="preserve">2020 </w:t>
      </w:r>
      <w:r>
        <w:rPr>
          <w:rFonts w:ascii="SimSun" w:eastAsia="SimSun" w:hAnsi="SimSun" w:cs="SimSun"/>
          <w:spacing w:val="1"/>
          <w:sz w:val="22"/>
          <w:szCs w:val="22"/>
        </w:rPr>
        <w:t>年的排放</w:t>
      </w:r>
      <w:r>
        <w:rPr>
          <w:rFonts w:ascii="SimSun" w:eastAsia="SimSun" w:hAnsi="SimSun" w:cs="SimSun"/>
          <w:sz w:val="22"/>
          <w:szCs w:val="22"/>
        </w:rPr>
        <w:t xml:space="preserve"> </w:t>
      </w:r>
      <w:r>
        <w:rPr>
          <w:rFonts w:ascii="SimSun" w:eastAsia="SimSun" w:hAnsi="SimSun" w:cs="SimSun"/>
          <w:spacing w:val="-2"/>
          <w:sz w:val="22"/>
          <w:szCs w:val="22"/>
        </w:rPr>
        <w:t>水平设定的）。基于在基准线排放情景中不断增加的预期甲烷排放量，分析全球甲烷承</w:t>
      </w:r>
      <w:r>
        <w:rPr>
          <w:rFonts w:ascii="SimSun" w:eastAsia="SimSun" w:hAnsi="SimSun" w:cs="SimSun"/>
          <w:spacing w:val="12"/>
          <w:sz w:val="22"/>
          <w:szCs w:val="22"/>
        </w:rPr>
        <w:t xml:space="preserve"> </w:t>
      </w:r>
      <w:r>
        <w:rPr>
          <w:rFonts w:ascii="SimSun" w:eastAsia="SimSun" w:hAnsi="SimSun" w:cs="SimSun"/>
          <w:spacing w:val="4"/>
          <w:sz w:val="22"/>
          <w:szCs w:val="22"/>
        </w:rPr>
        <w:t>诺目标所带来的气候收益，并与仅通过脱碳战略减排甲烷的效果进行比较，有助于各</w:t>
      </w:r>
    </w:p>
    <w:p>
      <w:pPr>
        <w:spacing w:before="1" w:line="220" w:lineRule="auto"/>
        <w:ind w:left="23"/>
        <w:rPr>
          <w:rFonts w:ascii="SimSun" w:eastAsia="SimSun" w:hAnsi="SimSun" w:cs="SimSun"/>
          <w:sz w:val="22"/>
          <w:szCs w:val="22"/>
        </w:rPr>
        <w:sectPr>
          <w:headerReference w:type="default" r:id="rId19"/>
          <w:footerReference w:type="default" r:id="rId20"/>
          <w:pgSz w:w="11906" w:h="16839"/>
          <w:pgMar w:top="400" w:right="1785" w:bottom="1179" w:left="1785" w:header="0" w:footer="976" w:gutter="0"/>
          <w:pgNumType w:start="10"/>
          <w:cols w:space="708"/>
        </w:sectPr>
      </w:pPr>
      <w:r>
        <w:rPr>
          <w:rFonts w:ascii="SimSun" w:eastAsia="SimSun" w:hAnsi="SimSun" w:cs="SimSun"/>
          <w:sz w:val="22"/>
          <w:szCs w:val="22"/>
        </w:rPr>
        <w:t>利益相关方意识到早期开展有针对性的甲烷减排行动（即全</w:t>
      </w:r>
      <w:r>
        <w:rPr>
          <w:rFonts w:ascii="SimSun" w:eastAsia="SimSun" w:hAnsi="SimSun" w:cs="SimSun"/>
          <w:spacing w:val="-1"/>
          <w:sz w:val="22"/>
          <w:szCs w:val="22"/>
        </w:rPr>
        <w:t>球甲烷承诺）的重要性。</w:t>
      </w:r>
    </w:p>
    <w:p>
      <w:pPr>
        <w:pStyle w:val="BodyText"/>
        <w:spacing w:before="283" w:line="360" w:lineRule="auto"/>
        <w:ind w:left="23" w:right="13" w:firstLine="439"/>
        <w:jc w:val="both"/>
        <w:rPr>
          <w:rFonts w:ascii="SimSun" w:eastAsia="SimSun" w:hAnsi="SimSun" w:cs="SimSun"/>
          <w:sz w:val="22"/>
          <w:szCs w:val="22"/>
        </w:rPr>
      </w:pPr>
      <w:r>
        <w:rPr>
          <w:rFonts w:ascii="SimSun" w:eastAsia="SimSun" w:hAnsi="SimSun" w:cs="SimSun"/>
          <w:spacing w:val="-1"/>
          <w:sz w:val="22"/>
          <w:szCs w:val="22"/>
        </w:rPr>
        <w:t>本报告第一章更新了《</w:t>
      </w:r>
      <w:r>
        <w:rPr>
          <w:spacing w:val="-1"/>
          <w:sz w:val="22"/>
          <w:szCs w:val="22"/>
        </w:rPr>
        <w:t xml:space="preserve">2021 </w:t>
      </w:r>
      <w:r>
        <w:rPr>
          <w:rFonts w:ascii="SimSun" w:eastAsia="SimSun" w:hAnsi="SimSun" w:cs="SimSun"/>
          <w:spacing w:val="-1"/>
          <w:sz w:val="22"/>
          <w:szCs w:val="22"/>
        </w:rPr>
        <w:t>年全球甲烷评估（</w:t>
      </w:r>
      <w:r>
        <w:rPr>
          <w:spacing w:val="-1"/>
          <w:sz w:val="22"/>
          <w:szCs w:val="22"/>
        </w:rPr>
        <w:t>GMA</w:t>
      </w:r>
      <w:r>
        <w:rPr>
          <w:rFonts w:ascii="SimSun" w:eastAsia="SimSun" w:hAnsi="SimSun" w:cs="SimSun"/>
          <w:spacing w:val="-1"/>
          <w:sz w:val="22"/>
          <w:szCs w:val="22"/>
        </w:rPr>
        <w:t>）》</w:t>
      </w:r>
      <w:r>
        <w:rPr>
          <w:rFonts w:ascii="SimSun" w:eastAsia="SimSun" w:hAnsi="SimSun" w:cs="SimSun"/>
          <w:spacing w:val="-43"/>
          <w:sz w:val="22"/>
          <w:szCs w:val="22"/>
        </w:rPr>
        <w:t xml:space="preserve"> </w:t>
      </w:r>
      <w:r>
        <w:rPr>
          <w:rFonts w:ascii="SimSun" w:eastAsia="SimSun" w:hAnsi="SimSun" w:cs="SimSun"/>
          <w:spacing w:val="-1"/>
          <w:sz w:val="22"/>
          <w:szCs w:val="22"/>
        </w:rPr>
        <w:t>中大气甲烷排放量和关于</w:t>
      </w:r>
      <w:r>
        <w:rPr>
          <w:rFonts w:ascii="SimSun" w:eastAsia="SimSun" w:hAnsi="SimSun" w:cs="SimSun"/>
          <w:sz w:val="22"/>
          <w:szCs w:val="22"/>
        </w:rPr>
        <w:t xml:space="preserve"> </w:t>
      </w:r>
      <w:r>
        <w:rPr>
          <w:rFonts w:ascii="SimSun" w:eastAsia="SimSun" w:hAnsi="SimSun" w:cs="SimSun"/>
          <w:spacing w:val="4"/>
          <w:sz w:val="22"/>
          <w:szCs w:val="22"/>
        </w:rPr>
        <w:t>其近期趋势的最新成果数据，探讨了最新的人为源和自然源的甲烷排放估算结果和相</w:t>
      </w:r>
    </w:p>
    <w:p>
      <w:pPr>
        <w:spacing w:before="1" w:line="220" w:lineRule="auto"/>
        <w:ind w:left="26"/>
        <w:rPr>
          <w:rFonts w:ascii="SimSun" w:eastAsia="SimSun" w:hAnsi="SimSun" w:cs="SimSun"/>
          <w:sz w:val="22"/>
          <w:szCs w:val="22"/>
        </w:rPr>
      </w:pPr>
      <w:r>
        <w:rPr>
          <w:rFonts w:ascii="SimSun" w:eastAsia="SimSun" w:hAnsi="SimSun" w:cs="SimSun"/>
          <w:spacing w:val="-2"/>
          <w:sz w:val="22"/>
          <w:szCs w:val="22"/>
        </w:rPr>
        <w:t>关不确定性。</w:t>
      </w:r>
    </w:p>
    <w:p>
      <w:pPr>
        <w:spacing w:line="220" w:lineRule="auto"/>
        <w:rPr>
          <w:rFonts w:ascii="SimSun" w:eastAsia="SimSun" w:hAnsi="SimSun" w:cs="SimSun"/>
          <w:sz w:val="22"/>
          <w:szCs w:val="22"/>
        </w:rPr>
        <w:sectPr>
          <w:headerReference w:type="default" r:id="rId21"/>
          <w:footerReference w:type="default" r:id="rId22"/>
          <w:type w:val="nextPage"/>
          <w:pgSz w:w="11906" w:h="16839"/>
          <w:pgMar w:top="400" w:right="1785" w:bottom="1179" w:left="1785" w:header="0" w:footer="976" w:gutter="0"/>
          <w:pgNumType w:start="11"/>
          <w:cols w:space="708"/>
          <w:titlePg w:val="0"/>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72" w:line="359" w:lineRule="auto"/>
        <w:ind w:left="24" w:right="132" w:firstLine="438"/>
        <w:jc w:val="both"/>
        <w:rPr>
          <w:rFonts w:ascii="SimSun" w:eastAsia="SimSun" w:hAnsi="SimSun" w:cs="SimSun"/>
          <w:sz w:val="22"/>
          <w:szCs w:val="22"/>
        </w:rPr>
      </w:pPr>
      <w:r>
        <w:rPr>
          <w:rFonts w:ascii="SimSun" w:eastAsia="SimSun" w:hAnsi="SimSun" w:cs="SimSun"/>
          <w:sz w:val="22"/>
          <w:szCs w:val="22"/>
        </w:rPr>
        <w:t>本报告第二章详细介绍了本次《全球甲烷评估》中所采用的</w:t>
      </w:r>
      <w:r>
        <w:rPr>
          <w:rFonts w:ascii="SimSun" w:eastAsia="SimSun" w:hAnsi="SimSun" w:cs="SimSun"/>
          <w:spacing w:val="-9"/>
          <w:sz w:val="22"/>
          <w:szCs w:val="22"/>
        </w:rPr>
        <w:t xml:space="preserve"> </w:t>
      </w:r>
      <w:r>
        <w:rPr>
          <w:sz w:val="22"/>
          <w:szCs w:val="22"/>
        </w:rPr>
        <w:t xml:space="preserve">11 </w:t>
      </w:r>
      <w:r>
        <w:rPr>
          <w:rFonts w:ascii="SimSun" w:eastAsia="SimSun" w:hAnsi="SimSun" w:cs="SimSun"/>
          <w:sz w:val="22"/>
          <w:szCs w:val="22"/>
        </w:rPr>
        <w:t xml:space="preserve">种模型，并建立了 </w:t>
      </w:r>
      <w:r>
        <w:rPr>
          <w:rFonts w:ascii="SimSun" w:eastAsia="SimSun" w:hAnsi="SimSun" w:cs="SimSun"/>
          <w:spacing w:val="4"/>
          <w:sz w:val="22"/>
          <w:szCs w:val="22"/>
        </w:rPr>
        <w:t>一种统筹模型的方法。本报告第三章分析了在全球、区域和部门尺度下，各模型甲烷</w:t>
      </w:r>
      <w:r>
        <w:rPr>
          <w:rFonts w:ascii="SimSun" w:eastAsia="SimSun" w:hAnsi="SimSun" w:cs="SimSun"/>
          <w:spacing w:val="7"/>
          <w:sz w:val="22"/>
          <w:szCs w:val="22"/>
        </w:rPr>
        <w:t xml:space="preserve"> </w:t>
      </w:r>
      <w:r>
        <w:rPr>
          <w:rFonts w:ascii="SimSun" w:eastAsia="SimSun" w:hAnsi="SimSun" w:cs="SimSun"/>
          <w:spacing w:val="4"/>
          <w:sz w:val="22"/>
          <w:szCs w:val="22"/>
        </w:rPr>
        <w:t>人为排放变化的预测结果，并详细介绍了模型排放结果的平均变化情况以及单一模型</w:t>
      </w:r>
    </w:p>
    <w:p>
      <w:pPr>
        <w:spacing w:before="1" w:line="220" w:lineRule="auto"/>
        <w:ind w:left="40"/>
        <w:rPr>
          <w:rFonts w:ascii="SimSun" w:eastAsia="SimSun" w:hAnsi="SimSun" w:cs="SimSun"/>
          <w:sz w:val="22"/>
          <w:szCs w:val="22"/>
        </w:rPr>
      </w:pPr>
      <w:r>
        <w:rPr>
          <w:rFonts w:ascii="SimSun" w:eastAsia="SimSun" w:hAnsi="SimSun" w:cs="SimSun"/>
          <w:spacing w:val="-5"/>
          <w:sz w:val="22"/>
          <w:szCs w:val="22"/>
        </w:rPr>
        <w:t>的预测结果。</w:t>
      </w:r>
    </w:p>
    <w:p>
      <w:pPr>
        <w:spacing w:before="285" w:line="359" w:lineRule="auto"/>
        <w:ind w:left="23" w:right="132" w:firstLine="439"/>
        <w:jc w:val="both"/>
        <w:rPr>
          <w:rFonts w:ascii="SimSun" w:eastAsia="SimSun" w:hAnsi="SimSun" w:cs="SimSun"/>
          <w:sz w:val="22"/>
          <w:szCs w:val="22"/>
        </w:rPr>
      </w:pPr>
      <w:r>
        <w:rPr>
          <w:rFonts w:ascii="SimSun" w:eastAsia="SimSun" w:hAnsi="SimSun" w:cs="SimSun"/>
          <w:spacing w:val="4"/>
          <w:sz w:val="22"/>
          <w:szCs w:val="22"/>
        </w:rPr>
        <w:t>本报告第四章分析了相较于平均基准线预测结果，履行全球甲烷承诺所带来的气</w:t>
      </w:r>
      <w:r>
        <w:rPr>
          <w:rFonts w:ascii="SimSun" w:eastAsia="SimSun" w:hAnsi="SimSun" w:cs="SimSun"/>
          <w:spacing w:val="16"/>
          <w:sz w:val="22"/>
          <w:szCs w:val="22"/>
        </w:rPr>
        <w:t xml:space="preserve"> </w:t>
      </w:r>
      <w:r>
        <w:rPr>
          <w:rFonts w:ascii="SimSun" w:eastAsia="SimSun" w:hAnsi="SimSun" w:cs="SimSun"/>
          <w:spacing w:val="4"/>
          <w:sz w:val="22"/>
          <w:szCs w:val="22"/>
        </w:rPr>
        <w:t>候影响，并通过介绍脱碳和快速深入的甲烷减排等气候应对行动对于气候的影响，说</w:t>
      </w:r>
    </w:p>
    <w:p>
      <w:pPr>
        <w:spacing w:line="220" w:lineRule="auto"/>
        <w:ind w:left="43"/>
        <w:rPr>
          <w:rFonts w:ascii="SimSun" w:eastAsia="SimSun" w:hAnsi="SimSun" w:cs="SimSun"/>
          <w:sz w:val="22"/>
          <w:szCs w:val="22"/>
        </w:rPr>
      </w:pPr>
      <w:r>
        <w:rPr>
          <w:rFonts w:ascii="SimSun" w:eastAsia="SimSun" w:hAnsi="SimSun" w:cs="SimSun"/>
          <w:spacing w:val="-3"/>
          <w:sz w:val="22"/>
          <w:szCs w:val="22"/>
        </w:rPr>
        <w:t>明各战略之间的差异性与互补性。</w:t>
      </w:r>
    </w:p>
    <w:p>
      <w:pPr>
        <w:spacing w:line="349" w:lineRule="auto"/>
        <w:rPr>
          <w:rFonts w:ascii="Arial"/>
          <w:sz w:val="21"/>
        </w:rPr>
      </w:pPr>
    </w:p>
    <w:p>
      <w:pPr>
        <w:spacing w:line="350" w:lineRule="auto"/>
        <w:rPr>
          <w:rFonts w:ascii="Arial"/>
          <w:sz w:val="21"/>
        </w:rPr>
      </w:pPr>
    </w:p>
    <w:p>
      <w:pPr>
        <w:spacing w:before="91" w:line="219" w:lineRule="auto"/>
        <w:ind w:left="25"/>
        <w:outlineLvl w:val="0"/>
        <w:rPr>
          <w:rFonts w:ascii="SimSun" w:eastAsia="SimSun" w:hAnsi="SimSun" w:cs="SimSun"/>
          <w:sz w:val="28"/>
          <w:szCs w:val="28"/>
        </w:rPr>
      </w:pPr>
      <w:bookmarkStart w:id="2" w:name="bookmark7"/>
      <w:bookmarkEnd w:id="2"/>
      <w:bookmarkStart w:id="3" w:name="bookmark8"/>
      <w:bookmarkEnd w:id="3"/>
      <w:r>
        <w:rPr>
          <w:rFonts w:ascii="SimSun" w:eastAsia="SimSun" w:hAnsi="SimSun" w:cs="SimSun"/>
          <w:color w:val="1F4E79"/>
          <w:sz w:val="28"/>
          <w:szCs w:val="28"/>
          <w14:textOutline w14:w="5103" w14:cap="sq">
            <w14:solidFill>
              <w14:srgbClr w14:val="1F4E79"/>
            </w14:solidFill>
            <w14:prstDash w14:val="solid"/>
            <w14:bevel/>
          </w14:textOutline>
        </w:rPr>
        <w:t>第一章</w:t>
      </w:r>
      <w:r>
        <w:rPr>
          <w:rFonts w:ascii="SimSun" w:eastAsia="SimSun" w:hAnsi="SimSun" w:cs="SimSun"/>
          <w:color w:val="1F4E79"/>
          <w:sz w:val="28"/>
          <w:szCs w:val="28"/>
        </w:rPr>
        <w:t xml:space="preserve"> </w:t>
      </w:r>
      <w:r>
        <w:rPr>
          <w:rFonts w:ascii="SimSun" w:eastAsia="SimSun" w:hAnsi="SimSun" w:cs="SimSun"/>
          <w:color w:val="1F4E79"/>
          <w:sz w:val="28"/>
          <w:szCs w:val="28"/>
          <w14:textOutline w14:w="5103" w14:cap="sq">
            <w14:solidFill>
              <w14:srgbClr w14:val="1F4E79"/>
            </w14:solidFill>
            <w14:prstDash w14:val="solid"/>
            <w14:bevel/>
          </w14:textOutline>
        </w:rPr>
        <w:t>引言：当前大气甲烷浓度、来源和相关政策</w:t>
      </w:r>
    </w:p>
    <w:p>
      <w:pPr>
        <w:spacing w:line="244" w:lineRule="auto"/>
        <w:rPr>
          <w:rFonts w:ascii="Arial"/>
          <w:sz w:val="21"/>
        </w:rPr>
      </w:pPr>
    </w:p>
    <w:p>
      <w:pPr>
        <w:spacing w:before="78" w:line="220" w:lineRule="auto"/>
        <w:ind w:left="27"/>
        <w:outlineLvl w:val="1"/>
        <w:rPr>
          <w:rFonts w:ascii="SimSun" w:eastAsia="SimSun" w:hAnsi="SimSun" w:cs="SimSun"/>
          <w:sz w:val="24"/>
          <w:szCs w:val="24"/>
        </w:rPr>
      </w:pPr>
      <w:r>
        <w:rPr>
          <w:rFonts w:ascii="SimSun" w:eastAsia="SimSun" w:hAnsi="SimSun" w:cs="SimSun"/>
          <w:color w:val="1F4E79"/>
          <w:spacing w:val="-2"/>
          <w:sz w:val="24"/>
          <w:szCs w:val="24"/>
          <w14:textOutline w14:w="4358" w14:cap="sq">
            <w14:solidFill>
              <w14:srgbClr w14:val="1F4E79"/>
            </w14:solidFill>
            <w14:prstDash w14:val="solid"/>
            <w14:bevel/>
          </w14:textOutline>
        </w:rPr>
        <w:t>一、大气甲烷浓度</w:t>
      </w:r>
    </w:p>
    <w:p>
      <w:pPr>
        <w:pStyle w:val="BodyText"/>
        <w:spacing w:before="301" w:line="359" w:lineRule="auto"/>
        <w:ind w:left="16" w:firstLine="446"/>
        <w:rPr>
          <w:rFonts w:ascii="SimSun" w:eastAsia="SimSun" w:hAnsi="SimSun" w:cs="SimSun"/>
          <w:sz w:val="22"/>
          <w:szCs w:val="22"/>
        </w:rPr>
      </w:pPr>
      <w:r>
        <w:rPr>
          <w:rFonts w:ascii="SimSun" w:eastAsia="SimSun" w:hAnsi="SimSun" w:cs="SimSun"/>
          <w:spacing w:val="-4"/>
          <w:sz w:val="22"/>
          <w:szCs w:val="22"/>
        </w:rPr>
        <w:t>《</w:t>
      </w:r>
      <w:r>
        <w:rPr>
          <w:spacing w:val="-4"/>
          <w:sz w:val="22"/>
          <w:szCs w:val="22"/>
        </w:rPr>
        <w:t xml:space="preserve">2021 </w:t>
      </w:r>
      <w:r>
        <w:rPr>
          <w:rFonts w:ascii="SimSun" w:eastAsia="SimSun" w:hAnsi="SimSun" w:cs="SimSun"/>
          <w:spacing w:val="-4"/>
          <w:sz w:val="22"/>
          <w:szCs w:val="22"/>
        </w:rPr>
        <w:t>年全球甲烷评估（</w:t>
      </w:r>
      <w:r>
        <w:rPr>
          <w:spacing w:val="-4"/>
          <w:sz w:val="22"/>
          <w:szCs w:val="22"/>
        </w:rPr>
        <w:t>GMA</w:t>
      </w:r>
      <w:r>
        <w:rPr>
          <w:rFonts w:ascii="SimSun" w:eastAsia="SimSun" w:hAnsi="SimSun" w:cs="SimSun"/>
          <w:spacing w:val="-4"/>
          <w:sz w:val="22"/>
          <w:szCs w:val="22"/>
        </w:rPr>
        <w:t>）》报告指出，大气甲烷浓度在</w:t>
      </w:r>
      <w:r>
        <w:rPr>
          <w:rFonts w:ascii="SimSun" w:eastAsia="SimSun" w:hAnsi="SimSun" w:cs="SimSun"/>
          <w:spacing w:val="-50"/>
          <w:sz w:val="22"/>
          <w:szCs w:val="22"/>
        </w:rPr>
        <w:t xml:space="preserve"> </w:t>
      </w:r>
      <w:r>
        <w:rPr>
          <w:spacing w:val="-4"/>
          <w:sz w:val="22"/>
          <w:szCs w:val="22"/>
        </w:rPr>
        <w:t xml:space="preserve">2010 </w:t>
      </w:r>
      <w:r>
        <w:rPr>
          <w:rFonts w:ascii="SimSun" w:eastAsia="SimSun" w:hAnsi="SimSun" w:cs="SimSun"/>
          <w:spacing w:val="-4"/>
          <w:sz w:val="22"/>
          <w:szCs w:val="22"/>
        </w:rPr>
        <w:t>年代快速</w:t>
      </w:r>
      <w:r>
        <w:rPr>
          <w:rFonts w:ascii="SimSun" w:eastAsia="SimSun" w:hAnsi="SimSun" w:cs="SimSun"/>
          <w:spacing w:val="-5"/>
          <w:sz w:val="22"/>
          <w:szCs w:val="22"/>
        </w:rPr>
        <w:t>上升，</w:t>
      </w:r>
      <w:r>
        <w:rPr>
          <w:rFonts w:ascii="SimSun" w:eastAsia="SimSun" w:hAnsi="SimSun" w:cs="SimSun"/>
          <w:sz w:val="22"/>
          <w:szCs w:val="22"/>
        </w:rPr>
        <w:t xml:space="preserve"> </w:t>
      </w:r>
      <w:r>
        <w:rPr>
          <w:rFonts w:ascii="SimSun" w:eastAsia="SimSun" w:hAnsi="SimSun" w:cs="SimSun"/>
          <w:spacing w:val="5"/>
          <w:sz w:val="22"/>
          <w:szCs w:val="22"/>
        </w:rPr>
        <w:t>至</w:t>
      </w:r>
      <w:r>
        <w:rPr>
          <w:rFonts w:ascii="SimSun" w:eastAsia="SimSun" w:hAnsi="SimSun" w:cs="SimSun"/>
          <w:spacing w:val="-43"/>
          <w:sz w:val="22"/>
          <w:szCs w:val="22"/>
        </w:rPr>
        <w:t xml:space="preserve"> </w:t>
      </w:r>
      <w:r>
        <w:rPr>
          <w:spacing w:val="5"/>
          <w:sz w:val="22"/>
          <w:szCs w:val="22"/>
        </w:rPr>
        <w:t xml:space="preserve">2010 </w:t>
      </w:r>
      <w:r>
        <w:rPr>
          <w:rFonts w:ascii="SimSun" w:eastAsia="SimSun" w:hAnsi="SimSun" w:cs="SimSun"/>
          <w:spacing w:val="5"/>
          <w:sz w:val="22"/>
          <w:szCs w:val="22"/>
        </w:rPr>
        <w:t>年代末，五年平均增长率达到了自</w:t>
      </w:r>
      <w:r>
        <w:rPr>
          <w:rFonts w:ascii="SimSun" w:eastAsia="SimSun" w:hAnsi="SimSun" w:cs="SimSun"/>
          <w:spacing w:val="-41"/>
          <w:sz w:val="22"/>
          <w:szCs w:val="22"/>
        </w:rPr>
        <w:t xml:space="preserve"> </w:t>
      </w:r>
      <w:r>
        <w:rPr>
          <w:spacing w:val="5"/>
          <w:sz w:val="22"/>
          <w:szCs w:val="22"/>
        </w:rPr>
        <w:t>20</w:t>
      </w:r>
      <w:r>
        <w:rPr>
          <w:spacing w:val="16"/>
          <w:sz w:val="22"/>
          <w:szCs w:val="22"/>
        </w:rPr>
        <w:t xml:space="preserve"> </w:t>
      </w:r>
      <w:r>
        <w:rPr>
          <w:rFonts w:ascii="SimSun" w:eastAsia="SimSun" w:hAnsi="SimSun" w:cs="SimSun"/>
          <w:spacing w:val="5"/>
          <w:sz w:val="22"/>
          <w:szCs w:val="22"/>
        </w:rPr>
        <w:t>世纪</w:t>
      </w:r>
      <w:r>
        <w:rPr>
          <w:rFonts w:ascii="SimSun" w:eastAsia="SimSun" w:hAnsi="SimSun" w:cs="SimSun"/>
          <w:spacing w:val="-35"/>
          <w:sz w:val="22"/>
          <w:szCs w:val="22"/>
        </w:rPr>
        <w:t xml:space="preserve"> </w:t>
      </w:r>
      <w:r>
        <w:rPr>
          <w:spacing w:val="5"/>
          <w:sz w:val="22"/>
          <w:szCs w:val="22"/>
        </w:rPr>
        <w:t>80</w:t>
      </w:r>
      <w:r>
        <w:rPr>
          <w:spacing w:val="17"/>
          <w:w w:val="101"/>
          <w:sz w:val="22"/>
          <w:szCs w:val="22"/>
        </w:rPr>
        <w:t xml:space="preserve"> </w:t>
      </w:r>
      <w:r>
        <w:rPr>
          <w:rFonts w:ascii="SimSun" w:eastAsia="SimSun" w:hAnsi="SimSun" w:cs="SimSun"/>
          <w:spacing w:val="5"/>
          <w:sz w:val="22"/>
          <w:szCs w:val="22"/>
        </w:rPr>
        <w:t>年代以来的最</w:t>
      </w:r>
      <w:r>
        <w:rPr>
          <w:rFonts w:ascii="SimSun" w:eastAsia="SimSun" w:hAnsi="SimSun" w:cs="SimSun"/>
          <w:spacing w:val="4"/>
          <w:sz w:val="22"/>
          <w:szCs w:val="22"/>
        </w:rPr>
        <w:t>高水平，远高于</w:t>
      </w:r>
      <w:r>
        <w:rPr>
          <w:rFonts w:ascii="SimSun" w:eastAsia="SimSun" w:hAnsi="SimSun" w:cs="SimSun"/>
          <w:sz w:val="22"/>
          <w:szCs w:val="22"/>
        </w:rPr>
        <w:t xml:space="preserve">  </w:t>
      </w:r>
      <w:r>
        <w:rPr>
          <w:spacing w:val="3"/>
          <w:sz w:val="22"/>
          <w:szCs w:val="22"/>
        </w:rPr>
        <w:t xml:space="preserve">2013 </w:t>
      </w:r>
      <w:r>
        <w:rPr>
          <w:rFonts w:ascii="SimSun" w:eastAsia="SimSun" w:hAnsi="SimSun" w:cs="SimSun"/>
          <w:spacing w:val="3"/>
          <w:sz w:val="22"/>
          <w:szCs w:val="22"/>
        </w:rPr>
        <w:t>年联合国政府间气候变化专门委员会（</w:t>
      </w:r>
      <w:r>
        <w:rPr>
          <w:sz w:val="22"/>
          <w:szCs w:val="22"/>
        </w:rPr>
        <w:t>IPCC</w:t>
      </w:r>
      <w:r>
        <w:rPr>
          <w:rFonts w:ascii="SimSun" w:eastAsia="SimSun" w:hAnsi="SimSun" w:cs="SimSun"/>
          <w:spacing w:val="3"/>
          <w:sz w:val="22"/>
          <w:szCs w:val="22"/>
        </w:rPr>
        <w:t>）评估</w:t>
      </w:r>
      <w:r>
        <w:rPr>
          <w:rFonts w:ascii="SimSun" w:eastAsia="SimSun" w:hAnsi="SimSun" w:cs="SimSun"/>
          <w:spacing w:val="2"/>
          <w:sz w:val="22"/>
          <w:szCs w:val="22"/>
        </w:rPr>
        <w:t>报告中所提及的</w:t>
      </w:r>
      <w:r>
        <w:rPr>
          <w:rFonts w:ascii="SimSun" w:eastAsia="SimSun" w:hAnsi="SimSun" w:cs="SimSun"/>
          <w:spacing w:val="-48"/>
          <w:sz w:val="22"/>
          <w:szCs w:val="22"/>
        </w:rPr>
        <w:t xml:space="preserve"> </w:t>
      </w:r>
      <w:r>
        <w:rPr>
          <w:spacing w:val="2"/>
          <w:sz w:val="22"/>
          <w:szCs w:val="22"/>
        </w:rPr>
        <w:t>2℃</w:t>
      </w:r>
      <w:r>
        <w:rPr>
          <w:rFonts w:ascii="SimSun" w:eastAsia="SimSun" w:hAnsi="SimSun" w:cs="SimSun"/>
          <w:spacing w:val="2"/>
          <w:sz w:val="22"/>
          <w:szCs w:val="22"/>
        </w:rPr>
        <w:t>温控情景</w:t>
      </w:r>
      <w:r>
        <w:rPr>
          <w:rFonts w:ascii="SimSun" w:eastAsia="SimSun" w:hAnsi="SimSun" w:cs="SimSun"/>
          <w:sz w:val="22"/>
          <w:szCs w:val="22"/>
        </w:rPr>
        <w:t xml:space="preserve">  </w:t>
      </w:r>
      <w:r>
        <w:rPr>
          <w:rFonts w:ascii="SimSun" w:eastAsia="SimSun" w:hAnsi="SimSun" w:cs="SimSun"/>
          <w:spacing w:val="-2"/>
          <w:sz w:val="22"/>
          <w:szCs w:val="22"/>
        </w:rPr>
        <w:t>下的甲烷浓度（</w:t>
      </w:r>
      <w:r>
        <w:rPr>
          <w:spacing w:val="-2"/>
          <w:sz w:val="22"/>
          <w:szCs w:val="22"/>
        </w:rPr>
        <w:t>UNEP</w:t>
      </w:r>
      <w:r>
        <w:rPr>
          <w:spacing w:val="24"/>
          <w:sz w:val="22"/>
          <w:szCs w:val="22"/>
        </w:rPr>
        <w:t xml:space="preserve"> </w:t>
      </w:r>
      <w:r>
        <w:rPr>
          <w:rFonts w:ascii="SimSun" w:eastAsia="SimSun" w:hAnsi="SimSun" w:cs="SimSun"/>
          <w:spacing w:val="-2"/>
          <w:sz w:val="22"/>
          <w:szCs w:val="22"/>
        </w:rPr>
        <w:t xml:space="preserve">与 </w:t>
      </w:r>
      <w:r>
        <w:rPr>
          <w:spacing w:val="-2"/>
          <w:sz w:val="22"/>
          <w:szCs w:val="22"/>
        </w:rPr>
        <w:t>CCAC 2021</w:t>
      </w:r>
      <w:r>
        <w:rPr>
          <w:rFonts w:ascii="SimSun" w:eastAsia="SimSun" w:hAnsi="SimSun" w:cs="SimSun"/>
          <w:spacing w:val="-2"/>
          <w:sz w:val="22"/>
          <w:szCs w:val="22"/>
        </w:rPr>
        <w:t>）。</w:t>
      </w:r>
      <w:r>
        <w:rPr>
          <w:rFonts w:ascii="SimSun" w:eastAsia="SimSun" w:hAnsi="SimSun" w:cs="SimSun"/>
          <w:spacing w:val="-62"/>
          <w:sz w:val="22"/>
          <w:szCs w:val="22"/>
        </w:rPr>
        <w:t xml:space="preserve"> </w:t>
      </w:r>
      <w:r>
        <w:rPr>
          <w:rFonts w:ascii="SimSun" w:eastAsia="SimSun" w:hAnsi="SimSun" w:cs="SimSun"/>
          <w:spacing w:val="-2"/>
          <w:sz w:val="22"/>
          <w:szCs w:val="22"/>
        </w:rPr>
        <w:t>自</w:t>
      </w:r>
      <w:r>
        <w:rPr>
          <w:rFonts w:ascii="SimSun" w:eastAsia="SimSun" w:hAnsi="SimSun" w:cs="SimSun"/>
          <w:spacing w:val="-46"/>
          <w:sz w:val="22"/>
          <w:szCs w:val="22"/>
        </w:rPr>
        <w:t xml:space="preserve"> </w:t>
      </w:r>
      <w:r>
        <w:rPr>
          <w:spacing w:val="-2"/>
          <w:sz w:val="22"/>
          <w:szCs w:val="22"/>
        </w:rPr>
        <w:t xml:space="preserve">2021 </w:t>
      </w:r>
      <w:r>
        <w:rPr>
          <w:rFonts w:ascii="SimSun" w:eastAsia="SimSun" w:hAnsi="SimSun" w:cs="SimSun"/>
          <w:spacing w:val="-2"/>
          <w:sz w:val="22"/>
          <w:szCs w:val="22"/>
        </w:rPr>
        <w:t>年</w:t>
      </w:r>
      <w:r>
        <w:rPr>
          <w:rFonts w:ascii="SimSun" w:eastAsia="SimSun" w:hAnsi="SimSun" w:cs="SimSun"/>
          <w:spacing w:val="-42"/>
          <w:sz w:val="22"/>
          <w:szCs w:val="22"/>
        </w:rPr>
        <w:t xml:space="preserve"> </w:t>
      </w:r>
      <w:r>
        <w:rPr>
          <w:spacing w:val="-2"/>
          <w:sz w:val="22"/>
          <w:szCs w:val="22"/>
        </w:rPr>
        <w:t>GMA</w:t>
      </w:r>
      <w:r>
        <w:rPr>
          <w:spacing w:val="13"/>
          <w:sz w:val="22"/>
          <w:szCs w:val="22"/>
        </w:rPr>
        <w:t xml:space="preserve"> </w:t>
      </w:r>
      <w:r>
        <w:rPr>
          <w:rFonts w:ascii="SimSun" w:eastAsia="SimSun" w:hAnsi="SimSun" w:cs="SimSun"/>
          <w:spacing w:val="-2"/>
          <w:sz w:val="22"/>
          <w:szCs w:val="22"/>
        </w:rPr>
        <w:t>发布以来，通过进一步分析</w:t>
      </w:r>
      <w:r>
        <w:rPr>
          <w:rFonts w:ascii="SimSun" w:eastAsia="SimSun" w:hAnsi="SimSun" w:cs="SimSun"/>
          <w:sz w:val="22"/>
          <w:szCs w:val="22"/>
        </w:rPr>
        <w:t xml:space="preserve">  </w:t>
      </w:r>
      <w:r>
        <w:rPr>
          <w:rFonts w:ascii="SimSun" w:eastAsia="SimSun" w:hAnsi="SimSun" w:cs="SimSun"/>
          <w:spacing w:val="2"/>
          <w:sz w:val="22"/>
          <w:szCs w:val="22"/>
        </w:rPr>
        <w:t>得出了</w:t>
      </w:r>
      <w:r>
        <w:rPr>
          <w:rFonts w:ascii="SimSun" w:eastAsia="SimSun" w:hAnsi="SimSun" w:cs="SimSun"/>
          <w:spacing w:val="-50"/>
          <w:sz w:val="22"/>
          <w:szCs w:val="22"/>
        </w:rPr>
        <w:t xml:space="preserve"> </w:t>
      </w:r>
      <w:r>
        <w:rPr>
          <w:spacing w:val="2"/>
          <w:sz w:val="22"/>
          <w:szCs w:val="22"/>
        </w:rPr>
        <w:t xml:space="preserve">2020 </w:t>
      </w:r>
      <w:r>
        <w:rPr>
          <w:rFonts w:ascii="SimSun" w:eastAsia="SimSun" w:hAnsi="SimSun" w:cs="SimSun"/>
          <w:spacing w:val="2"/>
          <w:sz w:val="22"/>
          <w:szCs w:val="22"/>
        </w:rPr>
        <w:t>年大气甲烷浓度：世界气象组织（</w:t>
      </w:r>
      <w:r>
        <w:rPr>
          <w:sz w:val="22"/>
          <w:szCs w:val="22"/>
        </w:rPr>
        <w:t>WMO</w:t>
      </w:r>
      <w:r>
        <w:rPr>
          <w:rFonts w:ascii="SimSun" w:eastAsia="SimSun" w:hAnsi="SimSun" w:cs="SimSun"/>
          <w:spacing w:val="2"/>
          <w:sz w:val="22"/>
          <w:szCs w:val="22"/>
        </w:rPr>
        <w:t>）全</w:t>
      </w:r>
      <w:r>
        <w:rPr>
          <w:rFonts w:ascii="SimSun" w:eastAsia="SimSun" w:hAnsi="SimSun" w:cs="SimSun"/>
          <w:spacing w:val="1"/>
          <w:sz w:val="22"/>
          <w:szCs w:val="22"/>
        </w:rPr>
        <w:t>球大气观测计划（</w:t>
      </w:r>
      <w:r>
        <w:rPr>
          <w:sz w:val="22"/>
          <w:szCs w:val="22"/>
        </w:rPr>
        <w:t>GAW</w:t>
      </w:r>
      <w:r>
        <w:rPr>
          <w:rFonts w:ascii="SimSun" w:eastAsia="SimSun" w:hAnsi="SimSun" w:cs="SimSun"/>
          <w:spacing w:val="1"/>
          <w:sz w:val="22"/>
          <w:szCs w:val="22"/>
        </w:rPr>
        <w:t>）站</w:t>
      </w:r>
      <w:r>
        <w:rPr>
          <w:rFonts w:ascii="SimSun" w:eastAsia="SimSun" w:hAnsi="SimSun" w:cs="SimSun"/>
          <w:sz w:val="22"/>
          <w:szCs w:val="22"/>
        </w:rPr>
        <w:t xml:space="preserve">  </w:t>
      </w:r>
      <w:r>
        <w:rPr>
          <w:rFonts w:ascii="SimSun" w:eastAsia="SimSun" w:hAnsi="SimSun" w:cs="SimSun"/>
          <w:spacing w:val="11"/>
          <w:sz w:val="22"/>
          <w:szCs w:val="22"/>
        </w:rPr>
        <w:t>点的观测数据显示</w:t>
      </w:r>
      <w:r>
        <w:rPr>
          <w:rFonts w:ascii="SimSun" w:eastAsia="SimSun" w:hAnsi="SimSun" w:cs="SimSun"/>
          <w:spacing w:val="-64"/>
          <w:sz w:val="22"/>
          <w:szCs w:val="22"/>
        </w:rPr>
        <w:t xml:space="preserve"> </w:t>
      </w:r>
      <w:r>
        <w:rPr>
          <w:rFonts w:ascii="SimSun" w:eastAsia="SimSun" w:hAnsi="SimSun" w:cs="SimSun"/>
          <w:spacing w:val="11"/>
          <w:sz w:val="22"/>
          <w:szCs w:val="22"/>
        </w:rPr>
        <w:t>，</w:t>
      </w:r>
      <w:r>
        <w:rPr>
          <w:spacing w:val="11"/>
          <w:sz w:val="22"/>
          <w:szCs w:val="22"/>
        </w:rPr>
        <w:t>2020</w:t>
      </w:r>
      <w:r>
        <w:rPr>
          <w:spacing w:val="29"/>
          <w:sz w:val="22"/>
          <w:szCs w:val="22"/>
        </w:rPr>
        <w:t xml:space="preserve"> </w:t>
      </w:r>
      <w:r>
        <w:rPr>
          <w:rFonts w:ascii="SimSun" w:eastAsia="SimSun" w:hAnsi="SimSun" w:cs="SimSun"/>
          <w:spacing w:val="11"/>
          <w:sz w:val="22"/>
          <w:szCs w:val="22"/>
        </w:rPr>
        <w:t>年全球平均地表甲烷浓度达到</w:t>
      </w:r>
      <w:r>
        <w:rPr>
          <w:rFonts w:ascii="SimSun" w:eastAsia="SimSun" w:hAnsi="SimSun" w:cs="SimSun"/>
          <w:spacing w:val="10"/>
          <w:sz w:val="22"/>
          <w:szCs w:val="22"/>
        </w:rPr>
        <w:t xml:space="preserve"> </w:t>
      </w:r>
      <w:r>
        <w:rPr>
          <w:spacing w:val="10"/>
          <w:sz w:val="22"/>
          <w:szCs w:val="22"/>
        </w:rPr>
        <w:t>1889±2</w:t>
      </w:r>
      <w:r>
        <w:rPr>
          <w:sz w:val="22"/>
          <w:szCs w:val="22"/>
        </w:rPr>
        <w:t>ppb</w:t>
      </w:r>
      <w:r>
        <w:rPr>
          <w:spacing w:val="-10"/>
          <w:sz w:val="22"/>
          <w:szCs w:val="22"/>
        </w:rPr>
        <w:t xml:space="preserve"> </w:t>
      </w:r>
      <w:r>
        <w:rPr>
          <w:rFonts w:ascii="SimSun" w:eastAsia="SimSun" w:hAnsi="SimSun" w:cs="SimSun"/>
          <w:spacing w:val="10"/>
          <w:sz w:val="22"/>
          <w:szCs w:val="22"/>
        </w:rPr>
        <w:t>，是工业化前</w:t>
      </w:r>
      <w:r>
        <w:rPr>
          <w:rFonts w:ascii="SimSun" w:eastAsia="SimSun" w:hAnsi="SimSun" w:cs="SimSun"/>
          <w:sz w:val="22"/>
          <w:szCs w:val="22"/>
        </w:rPr>
        <w:t xml:space="preserve">  </w:t>
      </w:r>
      <w:r>
        <w:rPr>
          <w:rFonts w:ascii="SimSun" w:eastAsia="SimSun" w:hAnsi="SimSun" w:cs="SimSun"/>
          <w:spacing w:val="1"/>
          <w:sz w:val="22"/>
          <w:szCs w:val="22"/>
        </w:rPr>
        <w:t>（</w:t>
      </w:r>
      <w:r>
        <w:rPr>
          <w:spacing w:val="1"/>
          <w:sz w:val="22"/>
          <w:szCs w:val="22"/>
        </w:rPr>
        <w:t>1750</w:t>
      </w:r>
      <w:r>
        <w:rPr>
          <w:spacing w:val="15"/>
          <w:sz w:val="22"/>
          <w:szCs w:val="22"/>
        </w:rPr>
        <w:t xml:space="preserve"> </w:t>
      </w:r>
      <w:r>
        <w:rPr>
          <w:rFonts w:ascii="SimSun" w:eastAsia="SimSun" w:hAnsi="SimSun" w:cs="SimSun"/>
          <w:spacing w:val="1"/>
          <w:sz w:val="22"/>
          <w:szCs w:val="22"/>
        </w:rPr>
        <w:t>年之前）水平的</w:t>
      </w:r>
      <w:r>
        <w:rPr>
          <w:rFonts w:ascii="SimSun" w:eastAsia="SimSun" w:hAnsi="SimSun" w:cs="SimSun"/>
          <w:spacing w:val="-48"/>
          <w:sz w:val="22"/>
          <w:szCs w:val="22"/>
        </w:rPr>
        <w:t xml:space="preserve"> </w:t>
      </w:r>
      <w:r>
        <w:rPr>
          <w:spacing w:val="1"/>
          <w:sz w:val="22"/>
          <w:szCs w:val="22"/>
        </w:rPr>
        <w:t>262%</w:t>
      </w:r>
      <w:r>
        <w:rPr>
          <w:spacing w:val="-22"/>
          <w:sz w:val="22"/>
          <w:szCs w:val="22"/>
        </w:rPr>
        <w:t xml:space="preserve"> </w:t>
      </w:r>
      <w:r>
        <w:rPr>
          <w:rFonts w:ascii="SimSun" w:eastAsia="SimSun" w:hAnsi="SimSun" w:cs="SimSun"/>
          <w:spacing w:val="1"/>
          <w:sz w:val="22"/>
          <w:szCs w:val="22"/>
        </w:rPr>
        <w:t>。</w:t>
      </w:r>
      <w:r>
        <w:rPr>
          <w:spacing w:val="1"/>
          <w:sz w:val="22"/>
          <w:szCs w:val="22"/>
        </w:rPr>
        <w:t xml:space="preserve">2019-2020 </w:t>
      </w:r>
      <w:r>
        <w:rPr>
          <w:rFonts w:ascii="SimSun" w:eastAsia="SimSun" w:hAnsi="SimSun" w:cs="SimSun"/>
          <w:spacing w:val="1"/>
          <w:sz w:val="22"/>
          <w:szCs w:val="22"/>
        </w:rPr>
        <w:t>年的增幅（</w:t>
      </w:r>
      <w:r>
        <w:rPr>
          <w:spacing w:val="1"/>
          <w:sz w:val="22"/>
          <w:szCs w:val="22"/>
        </w:rPr>
        <w:t xml:space="preserve">2019 </w:t>
      </w:r>
      <w:r>
        <w:rPr>
          <w:rFonts w:ascii="SimSun" w:eastAsia="SimSun" w:hAnsi="SimSun" w:cs="SimSun"/>
          <w:spacing w:val="1"/>
          <w:sz w:val="22"/>
          <w:szCs w:val="22"/>
        </w:rPr>
        <w:t>年与</w:t>
      </w:r>
      <w:r>
        <w:rPr>
          <w:rFonts w:ascii="SimSun" w:eastAsia="SimSun" w:hAnsi="SimSun" w:cs="SimSun"/>
          <w:spacing w:val="-45"/>
          <w:sz w:val="22"/>
          <w:szCs w:val="22"/>
        </w:rPr>
        <w:t xml:space="preserve"> </w:t>
      </w:r>
      <w:r>
        <w:rPr>
          <w:spacing w:val="1"/>
          <w:sz w:val="22"/>
          <w:szCs w:val="22"/>
        </w:rPr>
        <w:t xml:space="preserve">2020 </w:t>
      </w:r>
      <w:r>
        <w:rPr>
          <w:rFonts w:ascii="SimSun" w:eastAsia="SimSun" w:hAnsi="SimSun" w:cs="SimSun"/>
          <w:spacing w:val="1"/>
          <w:sz w:val="22"/>
          <w:szCs w:val="22"/>
        </w:rPr>
        <w:t>年平</w:t>
      </w:r>
      <w:r>
        <w:rPr>
          <w:rFonts w:ascii="SimSun" w:eastAsia="SimSun" w:hAnsi="SimSun" w:cs="SimSun"/>
          <w:sz w:val="22"/>
          <w:szCs w:val="22"/>
        </w:rPr>
        <w:t xml:space="preserve">均值之差）  </w:t>
      </w:r>
      <w:r>
        <w:rPr>
          <w:rFonts w:ascii="SimSun" w:eastAsia="SimSun" w:hAnsi="SimSun" w:cs="SimSun"/>
          <w:spacing w:val="9"/>
          <w:sz w:val="22"/>
          <w:szCs w:val="22"/>
        </w:rPr>
        <w:t>为</w:t>
      </w:r>
      <w:r>
        <w:rPr>
          <w:rFonts w:ascii="SimSun" w:eastAsia="SimSun" w:hAnsi="SimSun" w:cs="SimSun"/>
          <w:spacing w:val="-15"/>
          <w:sz w:val="22"/>
          <w:szCs w:val="22"/>
        </w:rPr>
        <w:t xml:space="preserve"> </w:t>
      </w:r>
      <w:r>
        <w:rPr>
          <w:spacing w:val="9"/>
          <w:sz w:val="22"/>
          <w:szCs w:val="22"/>
        </w:rPr>
        <w:t>11</w:t>
      </w:r>
      <w:r>
        <w:rPr>
          <w:sz w:val="22"/>
          <w:szCs w:val="22"/>
        </w:rPr>
        <w:t>ppb</w:t>
      </w:r>
      <w:r>
        <w:rPr>
          <w:spacing w:val="-12"/>
          <w:sz w:val="22"/>
          <w:szCs w:val="22"/>
        </w:rPr>
        <w:t xml:space="preserve"> </w:t>
      </w:r>
      <w:r>
        <w:rPr>
          <w:rFonts w:ascii="SimSun" w:eastAsia="SimSun" w:hAnsi="SimSun" w:cs="SimSun"/>
          <w:spacing w:val="9"/>
          <w:sz w:val="22"/>
          <w:szCs w:val="22"/>
        </w:rPr>
        <w:t>，高于</w:t>
      </w:r>
      <w:r>
        <w:rPr>
          <w:rFonts w:ascii="SimSun" w:eastAsia="SimSun" w:hAnsi="SimSun" w:cs="SimSun"/>
          <w:spacing w:val="-33"/>
          <w:sz w:val="22"/>
          <w:szCs w:val="22"/>
        </w:rPr>
        <w:t xml:space="preserve"> </w:t>
      </w:r>
      <w:r>
        <w:rPr>
          <w:spacing w:val="9"/>
          <w:sz w:val="22"/>
          <w:szCs w:val="22"/>
        </w:rPr>
        <w:t>2018-2019</w:t>
      </w:r>
      <w:r>
        <w:rPr>
          <w:spacing w:val="24"/>
          <w:sz w:val="22"/>
          <w:szCs w:val="22"/>
        </w:rPr>
        <w:t xml:space="preserve"> </w:t>
      </w:r>
      <w:r>
        <w:rPr>
          <w:rFonts w:ascii="SimSun" w:eastAsia="SimSun" w:hAnsi="SimSun" w:cs="SimSun"/>
          <w:spacing w:val="9"/>
          <w:sz w:val="22"/>
          <w:szCs w:val="22"/>
        </w:rPr>
        <w:t>年观测到的增幅，也高于过去十年间的平</w:t>
      </w:r>
      <w:r>
        <w:rPr>
          <w:rFonts w:ascii="SimSun" w:eastAsia="SimSun" w:hAnsi="SimSun" w:cs="SimSun"/>
          <w:spacing w:val="8"/>
          <w:sz w:val="22"/>
          <w:szCs w:val="22"/>
        </w:rPr>
        <w:t>均年增长幅度</w:t>
      </w:r>
      <w:r>
        <w:rPr>
          <w:rFonts w:ascii="SimSun" w:eastAsia="SimSun" w:hAnsi="SimSun" w:cs="SimSun"/>
          <w:sz w:val="22"/>
          <w:szCs w:val="22"/>
        </w:rPr>
        <w:t xml:space="preserve">  </w:t>
      </w:r>
      <w:r>
        <w:rPr>
          <w:rFonts w:ascii="SimSun" w:eastAsia="SimSun" w:hAnsi="SimSun" w:cs="SimSun"/>
          <w:spacing w:val="-2"/>
          <w:sz w:val="22"/>
          <w:szCs w:val="22"/>
        </w:rPr>
        <w:t>（</w:t>
      </w:r>
      <w:r>
        <w:rPr>
          <w:spacing w:val="-2"/>
          <w:sz w:val="22"/>
          <w:szCs w:val="22"/>
        </w:rPr>
        <w:t xml:space="preserve">WMO </w:t>
      </w:r>
      <w:r>
        <w:rPr>
          <w:rFonts w:ascii="SimSun" w:eastAsia="SimSun" w:hAnsi="SimSun" w:cs="SimSun"/>
          <w:spacing w:val="-2"/>
          <w:sz w:val="22"/>
          <w:szCs w:val="22"/>
        </w:rPr>
        <w:t xml:space="preserve">温室气体公报 </w:t>
      </w:r>
      <w:r>
        <w:rPr>
          <w:spacing w:val="-2"/>
          <w:sz w:val="22"/>
          <w:szCs w:val="22"/>
        </w:rPr>
        <w:t>2021</w:t>
      </w:r>
      <w:r>
        <w:rPr>
          <w:rFonts w:ascii="SimSun" w:eastAsia="SimSun" w:hAnsi="SimSun" w:cs="SimSun"/>
          <w:spacing w:val="-2"/>
          <w:sz w:val="22"/>
          <w:szCs w:val="22"/>
        </w:rPr>
        <w:t>）。美国国家海洋和大气管理</w:t>
      </w:r>
      <w:r>
        <w:rPr>
          <w:rFonts w:ascii="SimSun" w:eastAsia="SimSun" w:hAnsi="SimSun" w:cs="SimSun"/>
          <w:spacing w:val="-3"/>
          <w:sz w:val="22"/>
          <w:szCs w:val="22"/>
        </w:rPr>
        <w:t>局（</w:t>
      </w:r>
      <w:r>
        <w:rPr>
          <w:spacing w:val="-3"/>
          <w:sz w:val="22"/>
          <w:szCs w:val="22"/>
        </w:rPr>
        <w:t>NOAA</w:t>
      </w:r>
      <w:r>
        <w:rPr>
          <w:rFonts w:ascii="SimSun" w:eastAsia="SimSun" w:hAnsi="SimSun" w:cs="SimSun"/>
          <w:spacing w:val="-3"/>
          <w:sz w:val="22"/>
          <w:szCs w:val="22"/>
        </w:rPr>
        <w:t>）海洋边界层站点</w:t>
      </w:r>
      <w:r>
        <w:rPr>
          <w:rFonts w:ascii="SimSun" w:eastAsia="SimSun" w:hAnsi="SimSun" w:cs="SimSun"/>
          <w:sz w:val="22"/>
          <w:szCs w:val="22"/>
        </w:rPr>
        <w:t xml:space="preserve">  </w:t>
      </w:r>
      <w:r>
        <w:rPr>
          <w:rFonts w:ascii="SimSun" w:eastAsia="SimSun" w:hAnsi="SimSun" w:cs="SimSun"/>
          <w:spacing w:val="-4"/>
          <w:sz w:val="22"/>
          <w:szCs w:val="22"/>
        </w:rPr>
        <w:t>（约占</w:t>
      </w:r>
      <w:r>
        <w:rPr>
          <w:rFonts w:ascii="SimSun" w:eastAsia="SimSun" w:hAnsi="SimSun" w:cs="SimSun"/>
          <w:spacing w:val="-45"/>
          <w:sz w:val="22"/>
          <w:szCs w:val="22"/>
        </w:rPr>
        <w:t xml:space="preserve"> </w:t>
      </w:r>
      <w:r>
        <w:rPr>
          <w:spacing w:val="-4"/>
          <w:sz w:val="22"/>
          <w:szCs w:val="22"/>
        </w:rPr>
        <w:t xml:space="preserve">GAW </w:t>
      </w:r>
      <w:r>
        <w:rPr>
          <w:rFonts w:ascii="SimSun" w:eastAsia="SimSun" w:hAnsi="SimSun" w:cs="SimSun"/>
          <w:spacing w:val="-4"/>
          <w:sz w:val="22"/>
          <w:szCs w:val="22"/>
        </w:rPr>
        <w:t>站点的</w:t>
      </w:r>
      <w:r>
        <w:rPr>
          <w:rFonts w:ascii="SimSun" w:eastAsia="SimSun" w:hAnsi="SimSun" w:cs="SimSun"/>
          <w:spacing w:val="-49"/>
          <w:sz w:val="22"/>
          <w:szCs w:val="22"/>
        </w:rPr>
        <w:t xml:space="preserve"> </w:t>
      </w:r>
      <w:r>
        <w:rPr>
          <w:spacing w:val="-4"/>
          <w:sz w:val="22"/>
          <w:szCs w:val="22"/>
        </w:rPr>
        <w:t>40%</w:t>
      </w:r>
      <w:r>
        <w:rPr>
          <w:rFonts w:ascii="SimSun" w:eastAsia="SimSun" w:hAnsi="SimSun" w:cs="SimSun"/>
          <w:spacing w:val="-4"/>
          <w:sz w:val="22"/>
          <w:szCs w:val="22"/>
        </w:rPr>
        <w:t>）数据分析表明，</w:t>
      </w:r>
      <w:r>
        <w:rPr>
          <w:spacing w:val="-4"/>
          <w:sz w:val="22"/>
          <w:szCs w:val="22"/>
        </w:rPr>
        <w:t>2</w:t>
      </w:r>
      <w:r>
        <w:rPr>
          <w:spacing w:val="-5"/>
          <w:sz w:val="22"/>
          <w:szCs w:val="22"/>
        </w:rPr>
        <w:t>021</w:t>
      </w:r>
      <w:r>
        <w:rPr>
          <w:spacing w:val="14"/>
          <w:w w:val="101"/>
          <w:sz w:val="22"/>
          <w:szCs w:val="22"/>
        </w:rPr>
        <w:t xml:space="preserve"> </w:t>
      </w:r>
      <w:r>
        <w:rPr>
          <w:rFonts w:ascii="SimSun" w:eastAsia="SimSun" w:hAnsi="SimSun" w:cs="SimSun"/>
          <w:spacing w:val="-5"/>
          <w:sz w:val="22"/>
          <w:szCs w:val="22"/>
        </w:rPr>
        <w:t>年（自</w:t>
      </w:r>
      <w:r>
        <w:rPr>
          <w:rFonts w:ascii="SimSun" w:eastAsia="SimSun" w:hAnsi="SimSun" w:cs="SimSun"/>
          <w:spacing w:val="-27"/>
          <w:sz w:val="22"/>
          <w:szCs w:val="22"/>
        </w:rPr>
        <w:t xml:space="preserve"> </w:t>
      </w:r>
      <w:r>
        <w:rPr>
          <w:spacing w:val="-5"/>
          <w:sz w:val="22"/>
          <w:szCs w:val="22"/>
        </w:rPr>
        <w:t>1</w:t>
      </w:r>
      <w:r>
        <w:rPr>
          <w:spacing w:val="16"/>
          <w:w w:val="101"/>
          <w:sz w:val="22"/>
          <w:szCs w:val="22"/>
        </w:rPr>
        <w:t xml:space="preserve"> </w:t>
      </w:r>
      <w:r>
        <w:rPr>
          <w:rFonts w:ascii="SimSun" w:eastAsia="SimSun" w:hAnsi="SimSun" w:cs="SimSun"/>
          <w:spacing w:val="-5"/>
          <w:sz w:val="22"/>
          <w:szCs w:val="22"/>
        </w:rPr>
        <w:t>月</w:t>
      </w:r>
      <w:r>
        <w:rPr>
          <w:rFonts w:ascii="SimSun" w:eastAsia="SimSun" w:hAnsi="SimSun" w:cs="SimSun"/>
          <w:spacing w:val="-24"/>
          <w:sz w:val="22"/>
          <w:szCs w:val="22"/>
        </w:rPr>
        <w:t xml:space="preserve"> </w:t>
      </w:r>
      <w:r>
        <w:rPr>
          <w:spacing w:val="-5"/>
          <w:sz w:val="22"/>
          <w:szCs w:val="22"/>
        </w:rPr>
        <w:t xml:space="preserve">1  </w:t>
      </w:r>
      <w:r>
        <w:rPr>
          <w:rFonts w:ascii="SimSun" w:eastAsia="SimSun" w:hAnsi="SimSun" w:cs="SimSun"/>
          <w:spacing w:val="-5"/>
          <w:sz w:val="22"/>
          <w:szCs w:val="22"/>
        </w:rPr>
        <w:t>日至</w:t>
      </w:r>
      <w:r>
        <w:rPr>
          <w:rFonts w:ascii="SimSun" w:eastAsia="SimSun" w:hAnsi="SimSun" w:cs="SimSun"/>
          <w:spacing w:val="-27"/>
          <w:sz w:val="22"/>
          <w:szCs w:val="22"/>
        </w:rPr>
        <w:t xml:space="preserve"> </w:t>
      </w:r>
      <w:r>
        <w:rPr>
          <w:spacing w:val="-5"/>
          <w:sz w:val="22"/>
          <w:szCs w:val="22"/>
        </w:rPr>
        <w:t>12</w:t>
      </w:r>
      <w:r>
        <w:rPr>
          <w:spacing w:val="19"/>
          <w:sz w:val="22"/>
          <w:szCs w:val="22"/>
        </w:rPr>
        <w:t xml:space="preserve"> </w:t>
      </w:r>
      <w:r>
        <w:rPr>
          <w:rFonts w:ascii="SimSun" w:eastAsia="SimSun" w:hAnsi="SimSun" w:cs="SimSun"/>
          <w:spacing w:val="-5"/>
          <w:sz w:val="22"/>
          <w:szCs w:val="22"/>
        </w:rPr>
        <w:t>月</w:t>
      </w:r>
      <w:r>
        <w:rPr>
          <w:rFonts w:ascii="SimSun" w:eastAsia="SimSun" w:hAnsi="SimSun" w:cs="SimSun"/>
          <w:spacing w:val="-44"/>
          <w:sz w:val="22"/>
          <w:szCs w:val="22"/>
        </w:rPr>
        <w:t xml:space="preserve"> </w:t>
      </w:r>
      <w:r>
        <w:rPr>
          <w:spacing w:val="-5"/>
          <w:sz w:val="22"/>
          <w:szCs w:val="22"/>
        </w:rPr>
        <w:t xml:space="preserve">31  </w:t>
      </w:r>
      <w:r>
        <w:rPr>
          <w:rFonts w:ascii="SimSun" w:eastAsia="SimSun" w:hAnsi="SimSun" w:cs="SimSun"/>
          <w:spacing w:val="-5"/>
          <w:sz w:val="22"/>
          <w:szCs w:val="22"/>
        </w:rPr>
        <w:t>日）</w:t>
      </w:r>
      <w:r>
        <w:rPr>
          <w:rFonts w:ascii="SimSun" w:eastAsia="SimSun" w:hAnsi="SimSun" w:cs="SimSun"/>
          <w:spacing w:val="-65"/>
          <w:sz w:val="22"/>
          <w:szCs w:val="22"/>
        </w:rPr>
        <w:t xml:space="preserve"> </w:t>
      </w:r>
      <w:r>
        <w:rPr>
          <w:rFonts w:ascii="SimSun" w:eastAsia="SimSun" w:hAnsi="SimSun" w:cs="SimSun"/>
          <w:spacing w:val="-5"/>
          <w:sz w:val="22"/>
          <w:szCs w:val="22"/>
        </w:rPr>
        <w:t>甲烷</w:t>
      </w:r>
      <w:r>
        <w:rPr>
          <w:rFonts w:ascii="SimSun" w:eastAsia="SimSun" w:hAnsi="SimSun" w:cs="SimSun"/>
          <w:sz w:val="22"/>
          <w:szCs w:val="22"/>
        </w:rPr>
        <w:t xml:space="preserve">  </w:t>
      </w:r>
      <w:r>
        <w:rPr>
          <w:rFonts w:ascii="SimSun" w:eastAsia="SimSun" w:hAnsi="SimSun" w:cs="SimSun"/>
          <w:sz w:val="22"/>
          <w:szCs w:val="22"/>
        </w:rPr>
        <w:t>增长幅度为</w:t>
      </w:r>
      <w:r>
        <w:rPr>
          <w:rFonts w:ascii="SimSun" w:eastAsia="SimSun" w:hAnsi="SimSun" w:cs="SimSun"/>
          <w:spacing w:val="-10"/>
          <w:sz w:val="22"/>
          <w:szCs w:val="22"/>
        </w:rPr>
        <w:t xml:space="preserve"> </w:t>
      </w:r>
      <w:r>
        <w:rPr>
          <w:sz w:val="22"/>
          <w:szCs w:val="22"/>
        </w:rPr>
        <w:t>17.0ppb</w:t>
      </w:r>
      <w:r>
        <w:rPr>
          <w:spacing w:val="-19"/>
          <w:sz w:val="22"/>
          <w:szCs w:val="22"/>
        </w:rPr>
        <w:t xml:space="preserve"> </w:t>
      </w:r>
      <w:r>
        <w:rPr>
          <w:rFonts w:ascii="SimSun" w:eastAsia="SimSun" w:hAnsi="SimSun" w:cs="SimSun"/>
          <w:sz w:val="22"/>
          <w:szCs w:val="22"/>
        </w:rPr>
        <w:t>，创</w:t>
      </w:r>
      <w:r>
        <w:rPr>
          <w:rFonts w:ascii="SimSun" w:eastAsia="SimSun" w:hAnsi="SimSun" w:cs="SimSun"/>
          <w:spacing w:val="-36"/>
          <w:sz w:val="22"/>
          <w:szCs w:val="22"/>
        </w:rPr>
        <w:t xml:space="preserve"> </w:t>
      </w:r>
      <w:r>
        <w:rPr>
          <w:sz w:val="22"/>
          <w:szCs w:val="22"/>
        </w:rPr>
        <w:t>38</w:t>
      </w:r>
      <w:r>
        <w:rPr>
          <w:spacing w:val="19"/>
          <w:sz w:val="22"/>
          <w:szCs w:val="22"/>
        </w:rPr>
        <w:t xml:space="preserve"> </w:t>
      </w:r>
      <w:r>
        <w:rPr>
          <w:rFonts w:ascii="SimSun" w:eastAsia="SimSun" w:hAnsi="SimSun" w:cs="SimSun"/>
          <w:sz w:val="22"/>
          <w:szCs w:val="22"/>
        </w:rPr>
        <w:t>年来的最高纪录（</w:t>
      </w:r>
      <w:r>
        <w:rPr>
          <w:sz w:val="22"/>
          <w:szCs w:val="22"/>
        </w:rPr>
        <w:t>https://gml.noaa.gov/ccgg/trends_ch4/</w:t>
      </w:r>
      <w:r>
        <w:rPr>
          <w:rFonts w:ascii="SimSun" w:eastAsia="SimSun" w:hAnsi="SimSun" w:cs="SimSun"/>
          <w:sz w:val="22"/>
          <w:szCs w:val="22"/>
        </w:rPr>
        <w:t xml:space="preserve">）。  </w:t>
      </w:r>
      <w:r>
        <w:rPr>
          <w:sz w:val="22"/>
          <w:szCs w:val="22"/>
        </w:rPr>
        <w:t>WMO</w:t>
      </w:r>
      <w:r>
        <w:rPr>
          <w:spacing w:val="3"/>
          <w:sz w:val="22"/>
          <w:szCs w:val="22"/>
        </w:rPr>
        <w:t xml:space="preserve"> </w:t>
      </w:r>
      <w:r>
        <w:rPr>
          <w:rFonts w:ascii="SimSun" w:eastAsia="SimSun" w:hAnsi="SimSun" w:cs="SimSun"/>
          <w:spacing w:val="3"/>
          <w:sz w:val="22"/>
          <w:szCs w:val="22"/>
        </w:rPr>
        <w:t>和</w:t>
      </w:r>
      <w:r>
        <w:rPr>
          <w:rFonts w:ascii="SimSun" w:eastAsia="SimSun" w:hAnsi="SimSun" w:cs="SimSun"/>
          <w:spacing w:val="-35"/>
          <w:sz w:val="22"/>
          <w:szCs w:val="22"/>
        </w:rPr>
        <w:t xml:space="preserve"> </w:t>
      </w:r>
      <w:r>
        <w:rPr>
          <w:sz w:val="22"/>
          <w:szCs w:val="22"/>
        </w:rPr>
        <w:t>NOAA</w:t>
      </w:r>
      <w:r>
        <w:rPr>
          <w:spacing w:val="3"/>
          <w:sz w:val="22"/>
          <w:szCs w:val="22"/>
        </w:rPr>
        <w:t xml:space="preserve"> </w:t>
      </w:r>
      <w:r>
        <w:rPr>
          <w:rFonts w:ascii="SimSun" w:eastAsia="SimSun" w:hAnsi="SimSun" w:cs="SimSun"/>
          <w:spacing w:val="3"/>
          <w:sz w:val="22"/>
          <w:szCs w:val="22"/>
        </w:rPr>
        <w:t>数据来自于不同的站点集，并代表不同时期的平均值，故无法进行直</w:t>
      </w:r>
    </w:p>
    <w:p>
      <w:pPr>
        <w:spacing w:before="1" w:line="221" w:lineRule="auto"/>
        <w:ind w:left="21"/>
        <w:rPr>
          <w:rFonts w:ascii="SimSun" w:eastAsia="SimSun" w:hAnsi="SimSun" w:cs="SimSun"/>
          <w:sz w:val="22"/>
          <w:szCs w:val="22"/>
        </w:rPr>
      </w:pPr>
      <w:r>
        <w:rPr>
          <w:rFonts w:ascii="SimSun" w:eastAsia="SimSun" w:hAnsi="SimSun" w:cs="SimSun"/>
          <w:spacing w:val="-2"/>
          <w:sz w:val="22"/>
          <w:szCs w:val="22"/>
        </w:rPr>
        <w:t>接比较。</w:t>
      </w:r>
    </w:p>
    <w:p>
      <w:pPr>
        <w:pStyle w:val="BodyText"/>
        <w:spacing w:before="284" w:line="359" w:lineRule="auto"/>
        <w:ind w:left="23" w:right="55" w:firstLine="438"/>
        <w:jc w:val="both"/>
        <w:rPr>
          <w:rFonts w:ascii="SimSun" w:eastAsia="SimSun" w:hAnsi="SimSun" w:cs="SimSun"/>
          <w:sz w:val="22"/>
          <w:szCs w:val="22"/>
        </w:rPr>
      </w:pPr>
      <w:r>
        <w:rPr>
          <w:rFonts w:ascii="SimSun" w:eastAsia="SimSun" w:hAnsi="SimSun" w:cs="SimSun"/>
          <w:spacing w:val="-1"/>
          <w:sz w:val="22"/>
          <w:szCs w:val="22"/>
        </w:rPr>
        <w:t>针对卫星总柱数据（</w:t>
      </w:r>
      <w:r>
        <w:rPr>
          <w:spacing w:val="-1"/>
          <w:sz w:val="22"/>
          <w:szCs w:val="22"/>
        </w:rPr>
        <w:t>SRON</w:t>
      </w:r>
      <w:r>
        <w:rPr>
          <w:spacing w:val="39"/>
          <w:sz w:val="22"/>
          <w:szCs w:val="22"/>
        </w:rPr>
        <w:t xml:space="preserve"> </w:t>
      </w:r>
      <w:r>
        <w:rPr>
          <w:rFonts w:ascii="SimSun" w:eastAsia="SimSun" w:hAnsi="SimSun" w:cs="SimSun"/>
          <w:spacing w:val="-1"/>
          <w:sz w:val="22"/>
          <w:szCs w:val="22"/>
        </w:rPr>
        <w:t>的</w:t>
      </w:r>
      <w:r>
        <w:rPr>
          <w:rFonts w:ascii="SimSun" w:eastAsia="SimSun" w:hAnsi="SimSun" w:cs="SimSun"/>
          <w:spacing w:val="-34"/>
          <w:sz w:val="22"/>
          <w:szCs w:val="22"/>
        </w:rPr>
        <w:t xml:space="preserve"> </w:t>
      </w:r>
      <w:r>
        <w:rPr>
          <w:spacing w:val="-1"/>
          <w:sz w:val="22"/>
          <w:szCs w:val="22"/>
        </w:rPr>
        <w:t>SCIAMACHY/ENVISAT</w:t>
      </w:r>
      <w:r>
        <w:rPr>
          <w:spacing w:val="14"/>
          <w:sz w:val="22"/>
          <w:szCs w:val="22"/>
        </w:rPr>
        <w:t xml:space="preserve"> </w:t>
      </w:r>
      <w:r>
        <w:rPr>
          <w:rFonts w:ascii="SimSun" w:eastAsia="SimSun" w:hAnsi="SimSun" w:cs="SimSun"/>
          <w:spacing w:val="-1"/>
          <w:sz w:val="22"/>
          <w:szCs w:val="22"/>
        </w:rPr>
        <w:t>和</w:t>
      </w:r>
      <w:r>
        <w:rPr>
          <w:rFonts w:ascii="SimSun" w:eastAsia="SimSun" w:hAnsi="SimSun" w:cs="SimSun"/>
          <w:spacing w:val="-39"/>
          <w:sz w:val="22"/>
          <w:szCs w:val="22"/>
        </w:rPr>
        <w:t xml:space="preserve"> </w:t>
      </w:r>
      <w:r>
        <w:rPr>
          <w:spacing w:val="-1"/>
          <w:sz w:val="22"/>
          <w:szCs w:val="22"/>
        </w:rPr>
        <w:t xml:space="preserve">TANSO-FTS/GOSAT </w:t>
      </w:r>
      <w:r>
        <w:rPr>
          <w:rFonts w:ascii="SimSun" w:eastAsia="SimSun" w:hAnsi="SimSun" w:cs="SimSun"/>
          <w:spacing w:val="-1"/>
          <w:sz w:val="22"/>
          <w:szCs w:val="22"/>
        </w:rPr>
        <w:t xml:space="preserve">产 </w:t>
      </w:r>
      <w:r>
        <w:rPr>
          <w:rFonts w:ascii="SimSun" w:eastAsia="SimSun" w:hAnsi="SimSun" w:cs="SimSun"/>
          <w:sz w:val="22"/>
          <w:szCs w:val="22"/>
        </w:rPr>
        <w:t>品，</w:t>
      </w:r>
      <w:r>
        <w:rPr>
          <w:sz w:val="22"/>
          <w:szCs w:val="22"/>
        </w:rPr>
        <w:t>https://cds.climate.copernicus.eu/</w:t>
      </w:r>
      <w:r>
        <w:rPr>
          <w:rFonts w:ascii="SimSun" w:eastAsia="SimSun" w:hAnsi="SimSun" w:cs="SimSun"/>
          <w:sz w:val="22"/>
          <w:szCs w:val="22"/>
        </w:rPr>
        <w:t>）的初步分析显示，</w:t>
      </w:r>
      <w:r>
        <w:rPr>
          <w:sz w:val="22"/>
          <w:szCs w:val="22"/>
        </w:rPr>
        <w:t xml:space="preserve">2021 </w:t>
      </w:r>
      <w:r>
        <w:rPr>
          <w:rFonts w:ascii="SimSun" w:eastAsia="SimSun" w:hAnsi="SimSun" w:cs="SimSun"/>
          <w:sz w:val="22"/>
          <w:szCs w:val="22"/>
        </w:rPr>
        <w:t xml:space="preserve">年甲烷浓度增长率升至每 </w:t>
      </w:r>
      <w:r>
        <w:rPr>
          <w:rFonts w:ascii="SimSun" w:eastAsia="SimSun" w:hAnsi="SimSun" w:cs="SimSun"/>
          <w:spacing w:val="-2"/>
          <w:sz w:val="22"/>
          <w:szCs w:val="22"/>
        </w:rPr>
        <w:t>年</w:t>
      </w:r>
      <w:r>
        <w:rPr>
          <w:rFonts w:ascii="SimSun" w:eastAsia="SimSun" w:hAnsi="SimSun" w:cs="SimSun"/>
          <w:spacing w:val="-29"/>
          <w:sz w:val="22"/>
          <w:szCs w:val="22"/>
        </w:rPr>
        <w:t xml:space="preserve"> </w:t>
      </w:r>
      <w:r>
        <w:rPr>
          <w:spacing w:val="-2"/>
          <w:sz w:val="22"/>
          <w:szCs w:val="22"/>
        </w:rPr>
        <w:t>16.3ppb</w:t>
      </w:r>
      <w:r>
        <w:rPr>
          <w:spacing w:val="-31"/>
          <w:sz w:val="22"/>
          <w:szCs w:val="22"/>
        </w:rPr>
        <w:t xml:space="preserve"> </w:t>
      </w:r>
      <w:r>
        <w:rPr>
          <w:rFonts w:ascii="SimSun" w:eastAsia="SimSun" w:hAnsi="SimSun" w:cs="SimSun"/>
          <w:spacing w:val="-2"/>
          <w:sz w:val="22"/>
          <w:szCs w:val="22"/>
        </w:rPr>
        <w:t>，是</w:t>
      </w:r>
      <w:r>
        <w:rPr>
          <w:rFonts w:ascii="SimSun" w:eastAsia="SimSun" w:hAnsi="SimSun" w:cs="SimSun"/>
          <w:spacing w:val="-50"/>
          <w:sz w:val="22"/>
          <w:szCs w:val="22"/>
        </w:rPr>
        <w:t xml:space="preserve"> </w:t>
      </w:r>
      <w:r>
        <w:rPr>
          <w:spacing w:val="-2"/>
          <w:sz w:val="22"/>
          <w:szCs w:val="22"/>
        </w:rPr>
        <w:t xml:space="preserve">2003-2021 </w:t>
      </w:r>
      <w:r>
        <w:rPr>
          <w:rFonts w:ascii="SimSun" w:eastAsia="SimSun" w:hAnsi="SimSun" w:cs="SimSun"/>
          <w:spacing w:val="-2"/>
          <w:sz w:val="22"/>
          <w:szCs w:val="22"/>
        </w:rPr>
        <w:t>年记录中的最</w:t>
      </w:r>
      <w:r>
        <w:rPr>
          <w:rFonts w:ascii="SimSun" w:eastAsia="SimSun" w:hAnsi="SimSun" w:cs="SimSun"/>
          <w:spacing w:val="-3"/>
          <w:sz w:val="22"/>
          <w:szCs w:val="22"/>
        </w:rPr>
        <w:t>高值。此外，地面观测和卫星观测结果都表明，</w:t>
      </w:r>
    </w:p>
    <w:p>
      <w:pPr>
        <w:pStyle w:val="BodyText"/>
        <w:spacing w:line="220" w:lineRule="auto"/>
        <w:ind w:left="20"/>
        <w:rPr>
          <w:rFonts w:ascii="SimSun" w:eastAsia="SimSun" w:hAnsi="SimSun" w:cs="SimSun"/>
          <w:sz w:val="22"/>
          <w:szCs w:val="22"/>
        </w:rPr>
        <w:sectPr>
          <w:headerReference w:type="default" r:id="rId23"/>
          <w:footerReference w:type="default" r:id="rId24"/>
          <w:pgSz w:w="11906" w:h="16839"/>
          <w:pgMar w:top="400" w:right="1666" w:bottom="1179" w:left="1785" w:header="0" w:footer="976" w:gutter="0"/>
          <w:pgNumType w:start="12"/>
          <w:cols w:space="708"/>
        </w:sectPr>
      </w:pPr>
      <w:r>
        <w:rPr>
          <w:rFonts w:ascii="SimSun" w:eastAsia="SimSun" w:hAnsi="SimSun" w:cs="SimSun"/>
          <w:spacing w:val="-1"/>
          <w:sz w:val="22"/>
          <w:szCs w:val="22"/>
        </w:rPr>
        <w:t>进入</w:t>
      </w:r>
      <w:r>
        <w:rPr>
          <w:rFonts w:ascii="SimSun" w:eastAsia="SimSun" w:hAnsi="SimSun" w:cs="SimSun"/>
          <w:spacing w:val="-35"/>
          <w:sz w:val="22"/>
          <w:szCs w:val="22"/>
        </w:rPr>
        <w:t xml:space="preserve"> </w:t>
      </w:r>
      <w:r>
        <w:rPr>
          <w:spacing w:val="-1"/>
          <w:sz w:val="22"/>
          <w:szCs w:val="22"/>
        </w:rPr>
        <w:t xml:space="preserve">21 </w:t>
      </w:r>
      <w:r>
        <w:rPr>
          <w:rFonts w:ascii="SimSun" w:eastAsia="SimSun" w:hAnsi="SimSun" w:cs="SimSun"/>
          <w:spacing w:val="-1"/>
          <w:sz w:val="22"/>
          <w:szCs w:val="22"/>
        </w:rPr>
        <w:t>世纪</w:t>
      </w:r>
      <w:r>
        <w:rPr>
          <w:rFonts w:ascii="SimSun" w:eastAsia="SimSun" w:hAnsi="SimSun" w:cs="SimSun"/>
          <w:spacing w:val="-53"/>
          <w:sz w:val="22"/>
          <w:szCs w:val="22"/>
        </w:rPr>
        <w:t xml:space="preserve"> </w:t>
      </w:r>
      <w:r>
        <w:rPr>
          <w:spacing w:val="-1"/>
          <w:sz w:val="22"/>
          <w:szCs w:val="22"/>
        </w:rPr>
        <w:t xml:space="preserve">20 </w:t>
      </w:r>
      <w:r>
        <w:rPr>
          <w:rFonts w:ascii="SimSun" w:eastAsia="SimSun" w:hAnsi="SimSun" w:cs="SimSun"/>
          <w:spacing w:val="-1"/>
          <w:sz w:val="22"/>
          <w:szCs w:val="22"/>
        </w:rPr>
        <w:t>年代，大气甲烷浓度正在持续快速增加。</w:t>
      </w:r>
    </w:p>
    <w:p>
      <w:pPr>
        <w:spacing w:before="291" w:line="219" w:lineRule="auto"/>
        <w:ind w:left="27"/>
        <w:outlineLvl w:val="1"/>
        <w:rPr>
          <w:rFonts w:ascii="SimSun" w:eastAsia="SimSun" w:hAnsi="SimSun" w:cs="SimSun"/>
          <w:sz w:val="24"/>
          <w:szCs w:val="24"/>
        </w:rPr>
      </w:pPr>
      <w:r>
        <w:rPr>
          <w:rFonts w:ascii="SimSun" w:eastAsia="SimSun" w:hAnsi="SimSun" w:cs="SimSun"/>
          <w:color w:val="1F4E79"/>
          <w:sz w:val="24"/>
          <w:szCs w:val="24"/>
          <w14:textOutline w14:w="4358" w14:cap="sq">
            <w14:solidFill>
              <w14:srgbClr w14:val="1F4E79"/>
            </w14:solidFill>
            <w14:prstDash w14:val="solid"/>
            <w14:bevel/>
          </w14:textOutline>
        </w:rPr>
        <w:t>二、各来源、各地区的甲烷人为源排放量</w:t>
      </w:r>
    </w:p>
    <w:p>
      <w:pPr>
        <w:pStyle w:val="BodyText"/>
        <w:spacing w:before="297" w:line="427" w:lineRule="exact"/>
        <w:ind w:left="461"/>
        <w:rPr>
          <w:rFonts w:ascii="SimSun" w:eastAsia="SimSun" w:hAnsi="SimSun" w:cs="SimSun"/>
          <w:sz w:val="22"/>
          <w:szCs w:val="22"/>
        </w:rPr>
      </w:pPr>
      <w:r>
        <w:rPr>
          <w:rFonts w:ascii="SimSun" w:eastAsia="SimSun" w:hAnsi="SimSun" w:cs="SimSun"/>
          <w:spacing w:val="11"/>
          <w:position w:val="15"/>
          <w:sz w:val="22"/>
          <w:szCs w:val="22"/>
        </w:rPr>
        <w:t>全球碳项目记录了并定期回顾大气甲烷排放的主要来源（</w:t>
      </w:r>
      <w:r>
        <w:rPr>
          <w:position w:val="15"/>
          <w:sz w:val="22"/>
          <w:szCs w:val="22"/>
        </w:rPr>
        <w:t>Kirschke</w:t>
      </w:r>
      <w:r>
        <w:rPr>
          <w:spacing w:val="43"/>
          <w:w w:val="101"/>
          <w:position w:val="15"/>
          <w:sz w:val="22"/>
          <w:szCs w:val="22"/>
        </w:rPr>
        <w:t xml:space="preserve"> </w:t>
      </w:r>
      <w:r>
        <w:rPr>
          <w:rFonts w:ascii="SimSun" w:eastAsia="SimSun" w:hAnsi="SimSun" w:cs="SimSun"/>
          <w:spacing w:val="11"/>
          <w:position w:val="15"/>
          <w:sz w:val="22"/>
          <w:szCs w:val="22"/>
        </w:rPr>
        <w:t>等，</w:t>
      </w:r>
      <w:r>
        <w:rPr>
          <w:spacing w:val="11"/>
          <w:position w:val="15"/>
          <w:sz w:val="22"/>
          <w:szCs w:val="22"/>
        </w:rPr>
        <w:t>2013</w:t>
      </w:r>
      <w:r>
        <w:rPr>
          <w:rFonts w:ascii="SimSun" w:eastAsia="SimSun" w:hAnsi="SimSun" w:cs="SimSun"/>
          <w:spacing w:val="11"/>
          <w:position w:val="15"/>
          <w:sz w:val="22"/>
          <w:szCs w:val="22"/>
        </w:rPr>
        <w:t>；</w:t>
      </w:r>
    </w:p>
    <w:p>
      <w:pPr>
        <w:pStyle w:val="BodyText"/>
        <w:spacing w:before="1" w:line="219" w:lineRule="auto"/>
        <w:ind w:left="28"/>
        <w:rPr>
          <w:rFonts w:ascii="SimSun" w:eastAsia="SimSun" w:hAnsi="SimSun" w:cs="SimSun"/>
          <w:sz w:val="22"/>
          <w:szCs w:val="22"/>
        </w:rPr>
      </w:pPr>
      <w:r>
        <w:rPr>
          <w:spacing w:val="-1"/>
          <w:sz w:val="22"/>
          <w:szCs w:val="22"/>
        </w:rPr>
        <w:t xml:space="preserve">Saunois </w:t>
      </w:r>
      <w:r>
        <w:rPr>
          <w:rFonts w:ascii="SimSun" w:eastAsia="SimSun" w:hAnsi="SimSun" w:cs="SimSun"/>
          <w:spacing w:val="-1"/>
          <w:sz w:val="22"/>
          <w:szCs w:val="22"/>
        </w:rPr>
        <w:t>等，</w:t>
      </w:r>
      <w:r>
        <w:rPr>
          <w:spacing w:val="-1"/>
          <w:sz w:val="22"/>
          <w:szCs w:val="22"/>
        </w:rPr>
        <w:t>2016</w:t>
      </w:r>
      <w:r>
        <w:rPr>
          <w:rFonts w:ascii="SimSun" w:eastAsia="SimSun" w:hAnsi="SimSun" w:cs="SimSun"/>
          <w:spacing w:val="-1"/>
          <w:sz w:val="22"/>
          <w:szCs w:val="22"/>
        </w:rPr>
        <w:t>；</w:t>
      </w:r>
      <w:r>
        <w:rPr>
          <w:spacing w:val="-1"/>
          <w:sz w:val="22"/>
          <w:szCs w:val="22"/>
        </w:rPr>
        <w:t>Saunois</w:t>
      </w:r>
      <w:r>
        <w:rPr>
          <w:spacing w:val="-2"/>
          <w:sz w:val="22"/>
          <w:szCs w:val="22"/>
        </w:rPr>
        <w:t xml:space="preserve"> </w:t>
      </w:r>
      <w:r>
        <w:rPr>
          <w:rFonts w:ascii="SimSun" w:eastAsia="SimSun" w:hAnsi="SimSun" w:cs="SimSun"/>
          <w:spacing w:val="-2"/>
          <w:sz w:val="22"/>
          <w:szCs w:val="22"/>
        </w:rPr>
        <w:t>等，</w:t>
      </w:r>
      <w:r>
        <w:rPr>
          <w:spacing w:val="-2"/>
          <w:sz w:val="22"/>
          <w:szCs w:val="22"/>
        </w:rPr>
        <w:t>2020</w:t>
      </w:r>
      <w:r>
        <w:rPr>
          <w:rFonts w:ascii="SimSun" w:eastAsia="SimSun" w:hAnsi="SimSun" w:cs="SimSun"/>
          <w:spacing w:val="-2"/>
          <w:sz w:val="22"/>
          <w:szCs w:val="22"/>
        </w:rPr>
        <w:t>）。</w:t>
      </w:r>
      <w:r>
        <w:rPr>
          <w:rFonts w:ascii="SimSun" w:eastAsia="SimSun" w:hAnsi="SimSun" w:cs="SimSun"/>
          <w:spacing w:val="-62"/>
          <w:sz w:val="22"/>
          <w:szCs w:val="22"/>
        </w:rPr>
        <w:t xml:space="preserve"> </w:t>
      </w:r>
      <w:r>
        <w:rPr>
          <w:rFonts w:ascii="SimSun" w:eastAsia="SimSun" w:hAnsi="SimSun" w:cs="SimSun"/>
          <w:spacing w:val="-2"/>
          <w:sz w:val="22"/>
          <w:szCs w:val="22"/>
        </w:rPr>
        <w:t>自下而上的清单主要依靠排放源的活动水平数</w:t>
      </w:r>
    </w:p>
    <w:p>
      <w:pPr>
        <w:spacing w:line="219" w:lineRule="auto"/>
        <w:rPr>
          <w:rFonts w:ascii="SimSun" w:eastAsia="SimSun" w:hAnsi="SimSun" w:cs="SimSun"/>
          <w:sz w:val="22"/>
          <w:szCs w:val="22"/>
        </w:rPr>
      </w:pPr>
      <w:r>
        <w:rPr>
          <w:rFonts w:ascii="SimSun" w:eastAsia="SimSun" w:hAnsi="SimSun" w:cs="SimSun"/>
          <w:sz w:val="22"/>
          <w:szCs w:val="22"/>
        </w:rPr>
        <w:br/>
      </w:r>
      <w:r>
        <w:rPr>
          <w:rFonts w:ascii="SimSun" w:eastAsia="SimSun" w:hAnsi="SimSun" w:cs="SimSun"/>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https://d.book118.com/718000023042006045</w:t>
        </w:r>
      </w:hyperlink>
    </w:p>
    <w:p>
      <w:pPr>
        <w:spacing w:line="219" w:lineRule="auto"/>
        <w:rPr>
          <w:rFonts w:ascii="SimSun" w:eastAsia="SimSun" w:hAnsi="SimSun" w:cs="SimSun"/>
          <w:sz w:val="22"/>
          <w:szCs w:val="22"/>
        </w:rPr>
      </w:pPr>
    </w:p>
    <w:sectPr>
      <w:headerReference w:type="default" r:id="rId26"/>
      <w:footerReference w:type="default" r:id="rId27"/>
      <w:type w:val="nextPage"/>
      <w:pgSz w:w="11906" w:h="16839"/>
      <w:pgMar w:top="400" w:right="1666" w:bottom="1179" w:left="1785" w:header="0" w:footer="976"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29"/>
      <w:rPr>
        <w:rFonts w:ascii="Calibri" w:eastAsia="Calibri" w:hAnsi="Calibri" w:cs="Calibri"/>
        <w:sz w:val="22"/>
        <w:szCs w:val="22"/>
      </w:rPr>
    </w:pPr>
    <w:r>
      <w:rPr>
        <w:rFonts w:ascii="Calibri" w:eastAsia="Calibri" w:hAnsi="Calibri" w:cs="Calibri"/>
        <w:sz w:val="22"/>
        <w:szCs w:val="22"/>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23"/>
      <w:rPr>
        <w:rFonts w:ascii="Calibri" w:eastAsia="Calibri" w:hAnsi="Calibri" w:cs="Calibri"/>
        <w:sz w:val="22"/>
        <w:szCs w:val="22"/>
      </w:rPr>
    </w:pPr>
    <w:r>
      <w:rPr>
        <w:rFonts w:ascii="Calibri" w:eastAsia="Calibri" w:hAnsi="Calibri" w:cs="Calibri"/>
        <w:sz w:val="22"/>
        <w:szCs w:val="22"/>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23"/>
      <w:rPr>
        <w:rFonts w:ascii="Calibri" w:eastAsia="Calibri" w:hAnsi="Calibri" w:cs="Calibri"/>
        <w:sz w:val="22"/>
        <w:szCs w:val="22"/>
      </w:rPr>
    </w:pPr>
    <w:r>
      <w:rPr>
        <w:rFonts w:ascii="Calibri" w:eastAsia="Calibri" w:hAnsi="Calibri" w:cs="Calibri"/>
        <w:sz w:val="22"/>
        <w:szCs w:val="22"/>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21"/>
      <w:rPr>
        <w:rFonts w:ascii="Calibri" w:eastAsia="Calibri" w:hAnsi="Calibri" w:cs="Calibri"/>
        <w:sz w:val="22"/>
        <w:szCs w:val="22"/>
      </w:rPr>
    </w:pPr>
    <w:r>
      <w:rPr>
        <w:rFonts w:ascii="Calibri" w:eastAsia="Calibri" w:hAnsi="Calibri" w:cs="Calibri"/>
        <w:sz w:val="22"/>
        <w:szCs w:val="22"/>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21"/>
      <w:rPr>
        <w:rFonts w:ascii="Calibri" w:eastAsia="Calibri" w:hAnsi="Calibri" w:cs="Calibri"/>
        <w:sz w:val="22"/>
        <w:szCs w:val="22"/>
      </w:rPr>
    </w:pPr>
    <w:r>
      <w:rPr>
        <w:rFonts w:ascii="Calibri" w:eastAsia="Calibri" w:hAnsi="Calibri" w:cs="Calibri"/>
        <w:sz w:val="22"/>
        <w:szCs w:val="22"/>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8240" behindDoc="1" locked="0" layoutInCell="0" allowOverlap="1">
          <wp:simplePos x="0" y="0"/>
          <wp:positionH relativeFrom="page">
            <wp:posOffset>0</wp:posOffset>
          </wp:positionH>
          <wp:positionV relativeFrom="page">
            <wp:posOffset>1644397</wp:posOffset>
          </wp:positionV>
          <wp:extent cx="7559040" cy="829989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559040" cy="8299893"/>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9264" behindDoc="1" locked="0" layoutInCell="0" allowOverlap="1">
          <wp:simplePos x="0" y="0"/>
          <wp:positionH relativeFrom="page">
            <wp:posOffset>0</wp:posOffset>
          </wp:positionH>
          <wp:positionV relativeFrom="page">
            <wp:posOffset>1644397</wp:posOffset>
          </wp:positionV>
          <wp:extent cx="7559040" cy="8299893"/>
          <wp:effectExtent l="0" t="0" r="0" b="0"/>
          <wp:wrapNone/>
          <wp:docPr id="1683175675" name="IM 2"/>
          <wp:cNvGraphicFramePr/>
          <a:graphic xmlns:a="http://schemas.openxmlformats.org/drawingml/2006/main">
            <a:graphicData uri="http://schemas.openxmlformats.org/drawingml/2006/picture">
              <pic:pic xmlns:pic="http://schemas.openxmlformats.org/drawingml/2006/picture">
                <pic:nvPicPr>
                  <pic:cNvPr id="1683175675" name="IM 2"/>
                  <pic:cNvPicPr/>
                </pic:nvPicPr>
                <pic:blipFill>
                  <a:blip xmlns:r="http://schemas.openxmlformats.org/officeDocument/2006/relationships" r:embed="rId1"/>
                  <a:stretch>
                    <a:fillRect/>
                  </a:stretch>
                </pic:blipFill>
                <pic:spPr>
                  <a:xfrm>
                    <a:off x="0" y="0"/>
                    <a:ext cx="7559040" cy="8299893"/>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2.75pt;height:2pt;margin-top:835.92pt;margin-left:296.3pt;mso-position-horizontal-relative:page;mso-position-vertical-relative:page;position:absolute;z-index:-251656192" o:allowincell="f" filled="f" stroked="f">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Times New Roman" w:eastAsia="Times New Roman" w:hAnsi="Times New Roman" w:cs="Times New Roman"/>
      <w:sz w:val="34"/>
      <w:szCs w:val="34"/>
      <w:lang w:val="en-US" w:eastAsia="en-US" w:bidi="ar-SA"/>
    </w:rPr>
  </w:style>
  <w:style w:type="paragraph" w:styleId="BodyText">
    <w:name w:val="Body Text"/>
    <w:basedOn w:val="Normal"/>
    <w:semiHidden/>
    <w:qFormat/>
    <w:rPr>
      <w:rFonts w:ascii="Times New Roman" w:eastAsia="Times New Roman" w:hAnsi="Times New Roman" w:cs="Times New Roma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image" Target="media/image4.jpeg" /><Relationship Id="rId14" Type="http://schemas.openxmlformats.org/officeDocument/2006/relationships/header" Target="header7.xml" /><Relationship Id="rId15" Type="http://schemas.openxmlformats.org/officeDocument/2006/relationships/image" Target="media/image5.jpeg"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footer" Target="footer1.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footer" Target="footer2.xml" /><Relationship Id="rId21" Type="http://schemas.openxmlformats.org/officeDocument/2006/relationships/header" Target="header11.xml" /><Relationship Id="rId22" Type="http://schemas.openxmlformats.org/officeDocument/2006/relationships/footer" Target="footer3.xml" /><Relationship Id="rId23" Type="http://schemas.openxmlformats.org/officeDocument/2006/relationships/header" Target="header12.xml" /><Relationship Id="rId24" Type="http://schemas.openxmlformats.org/officeDocument/2006/relationships/footer" Target="footer4.xml" /><Relationship Id="rId25" Type="http://schemas.openxmlformats.org/officeDocument/2006/relationships/hyperlink" Target="https://d.book118.com/718000023042006045" TargetMode="External" /><Relationship Id="rId26" Type="http://schemas.openxmlformats.org/officeDocument/2006/relationships/header" Target="header13.xml" /><Relationship Id="rId27" Type="http://schemas.openxmlformats.org/officeDocument/2006/relationships/footer" Target="footer5.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image" Target="media/image3.png" /><Relationship Id="rId8" Type="http://schemas.openxmlformats.org/officeDocument/2006/relationships/header" Target="header3.xml" /><Relationship Id="rId9" Type="http://schemas.openxmlformats.org/officeDocument/2006/relationships/hyperlink" Target="https://www.unep.org/resources/report/global"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2024-03-13T17:22:11Z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2024-03-13T17:26:03Z</vt:filetime>
  </property>
  <property fmtid="{D5CDD505-2E9C-101B-9397-08002B2CF9AE}" pid="3" name="CRO">
    <vt:lpwstr>wqlLaW5nc29mdCBQREYgdG8gV1BTIDkw</vt:lpwstr>
  </property>
</Properties>
</file>