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49"/>
        <w:ind w:left="415"/>
        <w:rPr>
          <w:rFonts w:ascii="黑体"/>
        </w:rPr>
      </w:pPr>
      <w:r>
        <w:rPr>
          <w:rFonts w:ascii="黑体"/>
        </w:rPr>
        <w:t>ICS 03.080.01</w:t>
      </w:r>
    </w:p>
    <w:p>
      <w:pPr>
        <w:pStyle w:val="BodyText"/>
        <w:spacing w:before="43"/>
        <w:ind w:left="415"/>
        <w:rPr>
          <w:rFonts w:ascii="黑体"/>
        </w:rPr>
      </w:pPr>
      <w:r>
        <w:rPr>
          <w:rFonts w:ascii="黑体"/>
        </w:rPr>
        <w:t>CCS P 33</w:t>
      </w:r>
    </w:p>
    <w:p>
      <w:pPr>
        <w:pStyle w:val="Title"/>
      </w:pPr>
      <w:r>
        <w:rPr>
          <w:b w:val="0"/>
        </w:rPr>
        <w:br w:type="column"/>
      </w:r>
      <w:r>
        <w:rPr>
          <w:w w:val="130"/>
        </w:rPr>
        <w:t>DB4302</w:t>
      </w:r>
    </w:p>
    <w:p>
      <w:pPr>
        <w:spacing w:after="0"/>
        <w:sectPr>
          <w:type w:val="continuous"/>
          <w:pgSz w:w="11910" w:h="16840"/>
          <w:pgMar w:top="520" w:right="740" w:bottom="280" w:left="1000" w:header="708" w:footer="708"/>
          <w:cols w:num="2" w:space="708" w:equalWidth="0">
            <w:col w:w="1821" w:space="3305"/>
            <w:col w:w="5044" w:space="0"/>
          </w:cols>
        </w:sectPr>
      </w:pPr>
    </w:p>
    <w:p>
      <w:pPr>
        <w:pStyle w:val="BodyText"/>
        <w:spacing w:before="4"/>
        <w:rPr>
          <w:rFonts w:ascii="Times New Roman"/>
          <w:b/>
          <w:sz w:val="18"/>
        </w:rPr>
      </w:pPr>
    </w:p>
    <w:p>
      <w:pPr>
        <w:tabs>
          <w:tab w:val="left" w:pos="1908"/>
          <w:tab w:val="left" w:pos="3401"/>
          <w:tab w:val="left" w:pos="4894"/>
          <w:tab w:val="left" w:pos="6387"/>
          <w:tab w:val="left" w:pos="7879"/>
          <w:tab w:val="left" w:pos="9372"/>
        </w:tabs>
        <w:spacing w:before="33"/>
        <w:ind w:left="415" w:right="0" w:firstLine="0"/>
        <w:jc w:val="left"/>
        <w:rPr>
          <w:rFonts w:ascii="黑体" w:eastAsia="黑体" w:hint="eastAsia"/>
          <w:sz w:val="48"/>
        </w:rPr>
      </w:pPr>
      <w:r>
        <w:rPr>
          <w:rFonts w:ascii="黑体" w:eastAsia="黑体" w:hint="eastAsia"/>
          <w:sz w:val="48"/>
        </w:rPr>
        <w:t>株</w:t>
        <w:tab/>
        <w:t>洲</w:t>
        <w:tab/>
        <w:t>市</w:t>
        <w:tab/>
        <w:t>地</w:t>
        <w:tab/>
        <w:t>方</w:t>
        <w:tab/>
        <w:t>标</w:t>
        <w:tab/>
        <w:t>准</w:t>
      </w:r>
    </w:p>
    <w:p>
      <w:pPr>
        <w:spacing w:before="307"/>
        <w:ind w:left="0" w:right="381" w:firstLine="0"/>
        <w:jc w:val="right"/>
        <w:rPr>
          <w:rFonts w:ascii="黑体" w:hAnsi="黑体"/>
          <w:sz w:val="28"/>
        </w:rPr>
      </w:pPr>
      <w:r>
        <w:rPr>
          <w:rFonts w:ascii="Times New Roman" w:hAnsi="Times New Roman"/>
          <w:sz w:val="28"/>
        </w:rPr>
        <w:t>DB</w:t>
      </w:r>
      <w:r>
        <w:rPr>
          <w:rFonts w:ascii="黑体" w:hAnsi="黑体"/>
          <w:sz w:val="28"/>
        </w:rPr>
        <w:t>4302/T</w:t>
      </w:r>
      <w:r>
        <w:rPr>
          <w:rFonts w:ascii="黑体" w:hAnsi="黑体"/>
          <w:spacing w:val="-8"/>
          <w:sz w:val="28"/>
        </w:rPr>
        <w:t xml:space="preserve"> </w:t>
      </w:r>
      <w:r>
        <w:rPr>
          <w:rFonts w:ascii="黑体" w:hAnsi="黑体"/>
          <w:sz w:val="28"/>
        </w:rPr>
        <w:t>2—2023</w:t>
      </w:r>
    </w:p>
    <w:p>
      <w:pPr>
        <w:pStyle w:val="BodyText"/>
        <w:rPr>
          <w:rFonts w:ascii="黑体"/>
          <w:sz w:val="20"/>
        </w:rPr>
      </w:pPr>
    </w:p>
    <w:p>
      <w:pPr>
        <w:pStyle w:val="BodyText"/>
        <w:spacing w:before="9"/>
        <w:rPr>
          <w:rFonts w:ascii="黑体"/>
          <w:sz w:val="29"/>
        </w:rPr>
      </w:pPr>
      <w:r>
        <w:pict>
          <v:rect id="_x0000_s1025" style="width:481.9pt;height:0.75pt;margin-top:20.98pt;margin-left:70.8pt;mso-position-horizontal-relative:page;mso-wrap-distance-left:0;mso-wrap-distance-right:0;position:absolute;z-index:-251657216" filled="t" fillcolor="black" stroked="f">
            <v:fill type="solid"/>
            <w10:wrap type="topAndBottom"/>
          </v:rect>
        </w:pict>
      </w: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spacing w:before="204"/>
        <w:ind w:left="0" w:right="259" w:firstLine="0"/>
        <w:jc w:val="center"/>
        <w:rPr>
          <w:rFonts w:ascii="黑体" w:eastAsia="黑体" w:hint="eastAsia"/>
          <w:sz w:val="52"/>
        </w:rPr>
      </w:pPr>
      <w:r>
        <w:rPr>
          <w:rFonts w:ascii="黑体" w:eastAsia="黑体" w:hint="eastAsia"/>
          <w:sz w:val="52"/>
        </w:rPr>
        <w:t>建宁驿站建设与管理规范</w:t>
      </w:r>
    </w:p>
    <w:p>
      <w:pPr>
        <w:spacing w:before="415"/>
        <w:ind w:left="0" w:right="258" w:firstLine="0"/>
        <w:jc w:val="center"/>
        <w:rPr>
          <w:rFonts w:ascii="Times New Roman"/>
          <w:sz w:val="28"/>
        </w:rPr>
      </w:pPr>
      <w:r>
        <w:rPr>
          <w:rFonts w:ascii="Times New Roman"/>
          <w:sz w:val="28"/>
        </w:rPr>
        <w:t>Specification for construction and management of Jianning Yizhan</w:t>
      </w: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tabs>
          <w:tab w:val="left" w:pos="7690"/>
        </w:tabs>
        <w:spacing w:before="192"/>
        <w:ind w:left="312" w:right="0" w:firstLine="0"/>
        <w:jc w:val="left"/>
        <w:rPr>
          <w:rFonts w:ascii="黑体" w:eastAsia="黑体" w:hint="eastAsia"/>
          <w:sz w:val="28"/>
        </w:rPr>
      </w:pPr>
      <w:r>
        <w:pict>
          <v:rect id="_x0000_s1026" style="width:481.9pt;height:0.75pt;margin-top:26.77pt;margin-left:65.65pt;mso-position-horizontal-relative:page;position:absolute;z-index:251658240" filled="t" fillcolor="black" stroked="f">
            <v:fill type="solid"/>
          </v:rect>
        </w:pict>
      </w:r>
      <w:r>
        <w:rPr>
          <w:rFonts w:ascii="黑体" w:eastAsia="黑体" w:hint="eastAsia"/>
          <w:position w:val="1"/>
          <w:sz w:val="28"/>
        </w:rPr>
        <w:t>2023</w:t>
      </w:r>
      <w:r>
        <w:rPr>
          <w:rFonts w:ascii="黑体" w:eastAsia="黑体" w:hint="eastAsia"/>
          <w:spacing w:val="-70"/>
          <w:position w:val="1"/>
          <w:sz w:val="28"/>
        </w:rPr>
        <w:t xml:space="preserve"> </w:t>
      </w:r>
      <w:r>
        <w:rPr>
          <w:rFonts w:ascii="黑体" w:eastAsia="黑体" w:hint="eastAsia"/>
          <w:position w:val="1"/>
          <w:sz w:val="28"/>
        </w:rPr>
        <w:t>-</w:t>
      </w:r>
      <w:r>
        <w:rPr>
          <w:rFonts w:ascii="黑体" w:eastAsia="黑体" w:hint="eastAsia"/>
          <w:spacing w:val="-71"/>
          <w:position w:val="1"/>
          <w:sz w:val="28"/>
        </w:rPr>
        <w:t xml:space="preserve"> </w:t>
      </w:r>
      <w:r>
        <w:rPr>
          <w:rFonts w:ascii="黑体" w:eastAsia="黑体" w:hint="eastAsia"/>
          <w:position w:val="1"/>
          <w:sz w:val="28"/>
        </w:rPr>
        <w:t>12</w:t>
      </w:r>
      <w:r>
        <w:rPr>
          <w:rFonts w:ascii="黑体" w:eastAsia="黑体" w:hint="eastAsia"/>
          <w:spacing w:val="-72"/>
          <w:position w:val="1"/>
          <w:sz w:val="28"/>
        </w:rPr>
        <w:t xml:space="preserve"> </w:t>
      </w:r>
      <w:r>
        <w:rPr>
          <w:rFonts w:ascii="黑体" w:eastAsia="黑体" w:hint="eastAsia"/>
          <w:position w:val="1"/>
          <w:sz w:val="28"/>
        </w:rPr>
        <w:t>-</w:t>
      </w:r>
      <w:r>
        <w:rPr>
          <w:rFonts w:ascii="黑体" w:eastAsia="黑体" w:hint="eastAsia"/>
          <w:spacing w:val="-69"/>
          <w:position w:val="1"/>
          <w:sz w:val="28"/>
        </w:rPr>
        <w:t xml:space="preserve"> </w:t>
      </w:r>
      <w:r>
        <w:rPr>
          <w:rFonts w:ascii="黑体" w:eastAsia="黑体" w:hint="eastAsia"/>
          <w:position w:val="1"/>
          <w:sz w:val="28"/>
        </w:rPr>
        <w:t>06</w:t>
      </w:r>
      <w:r>
        <w:rPr>
          <w:rFonts w:ascii="黑体" w:eastAsia="黑体" w:hint="eastAsia"/>
          <w:spacing w:val="-71"/>
          <w:position w:val="1"/>
          <w:sz w:val="28"/>
        </w:rPr>
        <w:t xml:space="preserve"> </w:t>
      </w:r>
      <w:r>
        <w:rPr>
          <w:rFonts w:ascii="黑体" w:eastAsia="黑体" w:hint="eastAsia"/>
          <w:position w:val="1"/>
          <w:sz w:val="28"/>
        </w:rPr>
        <w:t>发布</w:t>
        <w:tab/>
      </w:r>
      <w:r>
        <w:rPr>
          <w:rFonts w:ascii="黑体" w:eastAsia="黑体" w:hint="eastAsia"/>
          <w:sz w:val="28"/>
        </w:rPr>
        <w:t>2023</w:t>
      </w:r>
      <w:r>
        <w:rPr>
          <w:rFonts w:ascii="黑体" w:eastAsia="黑体" w:hint="eastAsia"/>
          <w:spacing w:val="-70"/>
          <w:sz w:val="28"/>
        </w:rPr>
        <w:t xml:space="preserve"> </w:t>
      </w:r>
      <w:r>
        <w:rPr>
          <w:rFonts w:ascii="黑体" w:eastAsia="黑体" w:hint="eastAsia"/>
          <w:sz w:val="28"/>
        </w:rPr>
        <w:t>-</w:t>
      </w:r>
      <w:r>
        <w:rPr>
          <w:rFonts w:ascii="黑体" w:eastAsia="黑体" w:hint="eastAsia"/>
          <w:spacing w:val="-72"/>
          <w:sz w:val="28"/>
        </w:rPr>
        <w:t xml:space="preserve"> </w:t>
      </w:r>
      <w:r>
        <w:rPr>
          <w:rFonts w:ascii="黑体" w:eastAsia="黑体" w:hint="eastAsia"/>
          <w:sz w:val="28"/>
        </w:rPr>
        <w:t>12</w:t>
      </w:r>
      <w:r>
        <w:rPr>
          <w:rFonts w:ascii="黑体" w:eastAsia="黑体" w:hint="eastAsia"/>
          <w:spacing w:val="-71"/>
          <w:sz w:val="28"/>
        </w:rPr>
        <w:t xml:space="preserve"> </w:t>
      </w:r>
      <w:r>
        <w:rPr>
          <w:rFonts w:ascii="黑体" w:eastAsia="黑体" w:hint="eastAsia"/>
          <w:sz w:val="28"/>
        </w:rPr>
        <w:t>-</w:t>
      </w:r>
      <w:r>
        <w:rPr>
          <w:rFonts w:ascii="黑体" w:eastAsia="黑体" w:hint="eastAsia"/>
          <w:spacing w:val="-70"/>
          <w:sz w:val="28"/>
        </w:rPr>
        <w:t xml:space="preserve"> </w:t>
      </w:r>
      <w:r>
        <w:rPr>
          <w:rFonts w:ascii="黑体" w:eastAsia="黑体" w:hint="eastAsia"/>
          <w:sz w:val="28"/>
        </w:rPr>
        <w:t>12</w:t>
      </w:r>
      <w:r>
        <w:rPr>
          <w:rFonts w:ascii="黑体" w:eastAsia="黑体" w:hint="eastAsia"/>
          <w:spacing w:val="-72"/>
          <w:sz w:val="28"/>
        </w:rPr>
        <w:t xml:space="preserve"> </w:t>
      </w:r>
      <w:r>
        <w:rPr>
          <w:rFonts w:ascii="黑体" w:eastAsia="黑体" w:hint="eastAsia"/>
          <w:sz w:val="28"/>
        </w:rPr>
        <w:t>实施</w:t>
      </w:r>
    </w:p>
    <w:p>
      <w:pPr>
        <w:pStyle w:val="BodyText"/>
        <w:rPr>
          <w:rFonts w:ascii="黑体"/>
          <w:sz w:val="28"/>
        </w:rPr>
      </w:pPr>
    </w:p>
    <w:p>
      <w:pPr>
        <w:pStyle w:val="BodyText"/>
        <w:spacing w:before="7"/>
        <w:rPr>
          <w:rFonts w:ascii="黑体"/>
          <w:sz w:val="28"/>
        </w:rPr>
      </w:pPr>
    </w:p>
    <w:p>
      <w:pPr>
        <w:tabs>
          <w:tab w:val="left" w:pos="4790"/>
        </w:tabs>
        <w:spacing w:before="0"/>
        <w:ind w:left="0" w:right="101" w:firstLine="0"/>
        <w:jc w:val="center"/>
        <w:rPr>
          <w:rFonts w:ascii="黑体" w:eastAsia="黑体" w:hint="eastAsia"/>
          <w:sz w:val="28"/>
        </w:rPr>
      </w:pPr>
      <w:r>
        <w:rPr>
          <w:rFonts w:ascii="黑体" w:eastAsia="黑体" w:hint="eastAsia"/>
          <w:spacing w:val="38"/>
          <w:w w:val="130"/>
          <w:sz w:val="28"/>
        </w:rPr>
        <w:t>株</w:t>
      </w:r>
      <w:r>
        <w:rPr>
          <w:rFonts w:ascii="黑体" w:eastAsia="黑体" w:hint="eastAsia"/>
          <w:spacing w:val="41"/>
          <w:w w:val="130"/>
          <w:sz w:val="28"/>
        </w:rPr>
        <w:t>洲</w:t>
      </w:r>
      <w:r>
        <w:rPr>
          <w:rFonts w:ascii="黑体" w:eastAsia="黑体" w:hint="eastAsia"/>
          <w:spacing w:val="38"/>
          <w:w w:val="130"/>
          <w:sz w:val="28"/>
        </w:rPr>
        <w:t>市</w:t>
      </w:r>
      <w:r>
        <w:rPr>
          <w:rFonts w:ascii="黑体" w:eastAsia="黑体" w:hint="eastAsia"/>
          <w:spacing w:val="41"/>
          <w:w w:val="130"/>
          <w:sz w:val="28"/>
        </w:rPr>
        <w:t>市</w:t>
      </w:r>
      <w:r>
        <w:rPr>
          <w:rFonts w:ascii="黑体" w:eastAsia="黑体" w:hint="eastAsia"/>
          <w:spacing w:val="38"/>
          <w:w w:val="130"/>
          <w:sz w:val="28"/>
        </w:rPr>
        <w:t>场</w:t>
      </w:r>
      <w:r>
        <w:rPr>
          <w:rFonts w:ascii="黑体" w:eastAsia="黑体" w:hint="eastAsia"/>
          <w:spacing w:val="41"/>
          <w:w w:val="130"/>
          <w:sz w:val="28"/>
        </w:rPr>
        <w:t>监</w:t>
      </w:r>
      <w:r>
        <w:rPr>
          <w:rFonts w:ascii="黑体" w:eastAsia="黑体" w:hint="eastAsia"/>
          <w:spacing w:val="38"/>
          <w:w w:val="130"/>
          <w:sz w:val="28"/>
        </w:rPr>
        <w:t>督管</w:t>
      </w:r>
      <w:r>
        <w:rPr>
          <w:rFonts w:ascii="黑体" w:eastAsia="黑体" w:hint="eastAsia"/>
          <w:spacing w:val="41"/>
          <w:w w:val="130"/>
          <w:sz w:val="28"/>
        </w:rPr>
        <w:t>理</w:t>
      </w:r>
      <w:r>
        <w:rPr>
          <w:rFonts w:ascii="黑体" w:eastAsia="黑体" w:hint="eastAsia"/>
          <w:w w:val="130"/>
          <w:sz w:val="28"/>
        </w:rPr>
        <w:t>局</w:t>
        <w:tab/>
      </w:r>
      <w:r>
        <w:rPr>
          <w:rFonts w:ascii="黑体" w:eastAsia="黑体" w:hint="eastAsia"/>
          <w:w w:val="120"/>
          <w:position w:val="3"/>
          <w:sz w:val="28"/>
        </w:rPr>
        <w:t>发</w:t>
      </w:r>
      <w:r>
        <w:rPr>
          <w:rFonts w:ascii="黑体" w:eastAsia="黑体" w:hint="eastAsia"/>
          <w:spacing w:val="-9"/>
          <w:w w:val="120"/>
          <w:position w:val="3"/>
          <w:sz w:val="28"/>
        </w:rPr>
        <w:t xml:space="preserve"> </w:t>
      </w:r>
      <w:r>
        <w:rPr>
          <w:rFonts w:ascii="黑体" w:eastAsia="黑体" w:hint="eastAsia"/>
          <w:w w:val="120"/>
          <w:position w:val="3"/>
          <w:sz w:val="28"/>
        </w:rPr>
        <w:t>布</w:t>
      </w:r>
    </w:p>
    <w:p>
      <w:pPr>
        <w:spacing w:after="0"/>
        <w:jc w:val="center"/>
        <w:rPr>
          <w:rFonts w:ascii="黑体" w:eastAsia="黑体" w:hint="eastAsia"/>
          <w:sz w:val="28"/>
        </w:rPr>
        <w:sectPr>
          <w:type w:val="continuous"/>
          <w:pgSz w:w="11910" w:h="16840"/>
          <w:pgMar w:top="520" w:right="740" w:bottom="280" w:left="1000" w:header="708" w:footer="708"/>
          <w:pgNumType w:start="2"/>
          <w:cols w:space="708"/>
        </w:sectPr>
      </w:pPr>
    </w:p>
    <w:p>
      <w:pPr>
        <w:pStyle w:val="BodyText"/>
        <w:spacing w:before="7"/>
        <w:rPr>
          <w:rFonts w:ascii="黑体"/>
          <w:sz w:val="15"/>
        </w:rPr>
      </w:pPr>
    </w:p>
    <w:p>
      <w:pPr>
        <w:spacing w:after="0"/>
        <w:rPr>
          <w:rFonts w:ascii="黑体"/>
          <w:sz w:val="15"/>
        </w:rPr>
        <w:sectPr>
          <w:pgSz w:w="11910" w:h="16840"/>
          <w:pgMar w:top="1580" w:right="740" w:bottom="280" w:left="1000" w:header="708" w:footer="708"/>
          <w:pgNumType w:start="3"/>
          <w:cols w:space="708"/>
        </w:sectPr>
      </w:pPr>
    </w:p>
    <w:p>
      <w:pPr>
        <w:pStyle w:val="BodyText"/>
        <w:rPr>
          <w:rFonts w:ascii="黑体"/>
          <w:sz w:val="20"/>
        </w:rPr>
      </w:pPr>
    </w:p>
    <w:p>
      <w:pPr>
        <w:pStyle w:val="BodyText"/>
        <w:rPr>
          <w:rFonts w:ascii="黑体"/>
          <w:sz w:val="20"/>
        </w:rPr>
      </w:pPr>
    </w:p>
    <w:p>
      <w:pPr>
        <w:pStyle w:val="BodyText"/>
        <w:spacing w:before="9"/>
        <w:rPr>
          <w:rFonts w:ascii="黑体"/>
          <w:sz w:val="26"/>
        </w:rPr>
      </w:pPr>
    </w:p>
    <w:p>
      <w:pPr>
        <w:pStyle w:val="Heading1"/>
        <w:spacing w:before="71"/>
        <w:ind w:right="2"/>
      </w:pPr>
      <w:bookmarkStart w:id="0" w:name="目  次"/>
      <w:bookmarkEnd w:id="0"/>
      <w:r>
        <w:t>目</w:t>
      </w:r>
      <w:r>
        <w:rPr>
          <w:rFonts w:ascii="Arial" w:eastAsia="Arial" w:hAnsi="Arial"/>
        </w:rPr>
        <w:t>  </w:t>
      </w:r>
      <w:r>
        <w:t>次</w:t>
      </w:r>
    </w:p>
    <w:p>
      <w:pPr>
        <w:pStyle w:val="BodyText"/>
        <w:tabs>
          <w:tab w:val="right" w:leader="dot" w:pos="9657"/>
        </w:tabs>
        <w:spacing w:before="581"/>
        <w:ind w:left="415"/>
      </w:pPr>
      <w:hyperlink w:anchor="_bookmark0" w:history="1">
        <w:r>
          <w:t>前言</w:t>
          <w:tab/>
          <w:t>II</w:t>
        </w:r>
      </w:hyperlink>
    </w:p>
    <w:p>
      <w:pPr>
        <w:pStyle w:val="ListParagraph"/>
        <w:numPr>
          <w:ilvl w:val="0"/>
          <w:numId w:val="16"/>
        </w:numPr>
        <w:tabs>
          <w:tab w:val="left" w:pos="732"/>
          <w:tab w:val="left" w:pos="733"/>
          <w:tab w:val="right" w:leader="dot" w:pos="9657"/>
        </w:tabs>
        <w:spacing w:before="122" w:after="0" w:line="240" w:lineRule="auto"/>
        <w:ind w:left="732" w:right="0" w:hanging="318"/>
        <w:jc w:val="left"/>
        <w:rPr>
          <w:sz w:val="21"/>
        </w:rPr>
      </w:pPr>
      <w:hyperlink w:anchor="_bookmark1" w:history="1">
        <w:r>
          <w:rPr>
            <w:sz w:val="21"/>
          </w:rPr>
          <w:t>范围</w:t>
          <w:tab/>
          <w:t>1</w:t>
        </w:r>
      </w:hyperlink>
    </w:p>
    <w:p>
      <w:pPr>
        <w:pStyle w:val="ListParagraph"/>
        <w:numPr>
          <w:ilvl w:val="0"/>
          <w:numId w:val="16"/>
        </w:numPr>
        <w:tabs>
          <w:tab w:val="left" w:pos="732"/>
          <w:tab w:val="left" w:pos="733"/>
          <w:tab w:val="right" w:leader="dot" w:pos="9657"/>
        </w:tabs>
        <w:spacing w:before="120" w:after="0" w:line="240" w:lineRule="auto"/>
        <w:ind w:left="732" w:right="0" w:hanging="318"/>
        <w:jc w:val="left"/>
        <w:rPr>
          <w:sz w:val="21"/>
        </w:rPr>
      </w:pPr>
      <w:hyperlink w:anchor="_bookmark2" w:history="1">
        <w:r>
          <w:rPr>
            <w:sz w:val="21"/>
          </w:rPr>
          <w:t>规范性引用文件</w:t>
          <w:tab/>
          <w:t>1</w:t>
        </w:r>
      </w:hyperlink>
    </w:p>
    <w:p>
      <w:pPr>
        <w:pStyle w:val="ListParagraph"/>
        <w:numPr>
          <w:ilvl w:val="0"/>
          <w:numId w:val="16"/>
        </w:numPr>
        <w:tabs>
          <w:tab w:val="left" w:pos="732"/>
          <w:tab w:val="left" w:pos="733"/>
          <w:tab w:val="right" w:leader="dot" w:pos="9657"/>
        </w:tabs>
        <w:spacing w:before="122" w:after="0" w:line="240" w:lineRule="auto"/>
        <w:ind w:left="732" w:right="0" w:hanging="318"/>
        <w:jc w:val="left"/>
        <w:rPr>
          <w:sz w:val="21"/>
        </w:rPr>
      </w:pPr>
      <w:hyperlink w:anchor="_bookmark3" w:history="1">
        <w:r>
          <w:rPr>
            <w:sz w:val="21"/>
          </w:rPr>
          <w:t>术语和定义</w:t>
          <w:tab/>
          <w:t>2</w:t>
        </w:r>
      </w:hyperlink>
    </w:p>
    <w:p>
      <w:pPr>
        <w:pStyle w:val="ListParagraph"/>
        <w:numPr>
          <w:ilvl w:val="0"/>
          <w:numId w:val="16"/>
        </w:numPr>
        <w:tabs>
          <w:tab w:val="left" w:pos="732"/>
          <w:tab w:val="left" w:pos="733"/>
          <w:tab w:val="right" w:leader="dot" w:pos="9657"/>
        </w:tabs>
        <w:spacing w:before="120" w:after="0" w:line="240" w:lineRule="auto"/>
        <w:ind w:left="732" w:right="0" w:hanging="318"/>
        <w:jc w:val="left"/>
        <w:rPr>
          <w:sz w:val="21"/>
        </w:rPr>
      </w:pPr>
      <w:hyperlink w:anchor="_bookmark4" w:history="1">
        <w:r>
          <w:rPr>
            <w:sz w:val="21"/>
          </w:rPr>
          <w:t>分类</w:t>
          <w:tab/>
          <w:t>2</w:t>
        </w:r>
      </w:hyperlink>
    </w:p>
    <w:p>
      <w:pPr>
        <w:pStyle w:val="ListParagraph"/>
        <w:numPr>
          <w:ilvl w:val="0"/>
          <w:numId w:val="16"/>
        </w:numPr>
        <w:tabs>
          <w:tab w:val="left" w:pos="732"/>
          <w:tab w:val="left" w:pos="733"/>
          <w:tab w:val="right" w:leader="dot" w:pos="9657"/>
        </w:tabs>
        <w:spacing w:before="122" w:after="0" w:line="240" w:lineRule="auto"/>
        <w:ind w:left="732" w:right="0" w:hanging="318"/>
        <w:jc w:val="left"/>
        <w:rPr>
          <w:sz w:val="21"/>
        </w:rPr>
      </w:pPr>
      <w:hyperlink w:anchor="_bookmark5" w:history="1">
        <w:r>
          <w:rPr>
            <w:sz w:val="21"/>
          </w:rPr>
          <w:t>建设要求</w:t>
          <w:tab/>
          <w:t>3</w:t>
        </w:r>
      </w:hyperlink>
    </w:p>
    <w:p>
      <w:pPr>
        <w:pStyle w:val="ListParagraph"/>
        <w:numPr>
          <w:ilvl w:val="0"/>
          <w:numId w:val="16"/>
        </w:numPr>
        <w:tabs>
          <w:tab w:val="left" w:pos="732"/>
          <w:tab w:val="left" w:pos="733"/>
          <w:tab w:val="right" w:leader="dot" w:pos="9657"/>
        </w:tabs>
        <w:spacing w:before="119" w:after="0" w:line="240" w:lineRule="auto"/>
        <w:ind w:left="732" w:right="0" w:hanging="318"/>
        <w:jc w:val="left"/>
        <w:rPr>
          <w:sz w:val="21"/>
        </w:rPr>
      </w:pPr>
      <w:hyperlink w:anchor="_bookmark6" w:history="1">
        <w:r>
          <w:rPr>
            <w:sz w:val="21"/>
          </w:rPr>
          <w:t>管理要求</w:t>
          <w:tab/>
          <w:t>6</w:t>
        </w:r>
      </w:hyperlink>
    </w:p>
    <w:p>
      <w:pPr>
        <w:pStyle w:val="BodyText"/>
        <w:tabs>
          <w:tab w:val="left" w:pos="1203"/>
          <w:tab w:val="left" w:pos="2463"/>
          <w:tab w:val="right" w:leader="dot" w:pos="9657"/>
        </w:tabs>
        <w:spacing w:before="123"/>
        <w:ind w:left="415"/>
      </w:pPr>
      <w:hyperlink w:anchor="_bookmark7" w:history="1">
        <w:r>
          <w:t>附录</w:t>
        </w:r>
        <w:r>
          <w:rPr>
            <w:spacing w:val="-51"/>
          </w:rPr>
          <w:t xml:space="preserve"> </w:t>
        </w:r>
        <w:r>
          <w:t>A</w:t>
          <w:tab/>
          <w:t>（规范性）</w:t>
          <w:tab/>
          <w:t>建宁驿站标志标牌</w:t>
          <w:tab/>
          <w:t>11</w:t>
        </w:r>
      </w:hyperlink>
    </w:p>
    <w:p>
      <w:pPr>
        <w:pStyle w:val="BodyText"/>
        <w:tabs>
          <w:tab w:val="left" w:pos="1203"/>
          <w:tab w:val="left" w:pos="2463"/>
          <w:tab w:val="right" w:leader="dot" w:pos="9657"/>
        </w:tabs>
        <w:spacing w:before="119"/>
        <w:ind w:left="415"/>
      </w:pPr>
      <w:hyperlink w:anchor="_bookmark8" w:history="1">
        <w:r>
          <w:t>附录</w:t>
        </w:r>
        <w:r>
          <w:rPr>
            <w:spacing w:val="-51"/>
          </w:rPr>
          <w:t xml:space="preserve"> </w:t>
        </w:r>
        <w:r>
          <w:t>B</w:t>
          <w:tab/>
          <w:t>（规范性）</w:t>
          <w:tab/>
          <w:t>智能化管理系统基本要求</w:t>
          <w:tab/>
          <w:t>21</w:t>
        </w:r>
      </w:hyperlink>
    </w:p>
    <w:p>
      <w:pPr>
        <w:spacing w:after="0"/>
        <w:sectPr>
          <w:headerReference w:type="even" r:id="rId4"/>
          <w:headerReference w:type="default" r:id="rId5"/>
          <w:footerReference w:type="even" r:id="rId6"/>
          <w:footerReference w:type="default" r:id="rId7"/>
          <w:pgSz w:w="11910" w:h="16840"/>
          <w:pgMar w:top="1660" w:right="740" w:bottom="1340" w:left="1000" w:header="1442" w:footer="1141"/>
          <w:pgNumType w:start="4"/>
          <w:cols w:space="708"/>
        </w:sectPr>
      </w:pPr>
    </w:p>
    <w:p>
      <w:pPr>
        <w:pStyle w:val="BodyText"/>
        <w:rPr>
          <w:sz w:val="36"/>
        </w:rPr>
      </w:pPr>
    </w:p>
    <w:p>
      <w:pPr>
        <w:pStyle w:val="BodyText"/>
        <w:spacing w:before="9"/>
        <w:rPr>
          <w:sz w:val="40"/>
        </w:rPr>
      </w:pPr>
    </w:p>
    <w:p>
      <w:pPr>
        <w:spacing w:before="1"/>
        <w:ind w:left="0" w:right="542" w:firstLine="0"/>
        <w:jc w:val="center"/>
        <w:rPr>
          <w:rFonts w:ascii="黑体" w:eastAsia="黑体" w:hAnsi="黑体" w:hint="eastAsia"/>
          <w:sz w:val="32"/>
        </w:rPr>
      </w:pPr>
      <w:bookmarkStart w:id="1" w:name="前  言"/>
      <w:bookmarkEnd w:id="1"/>
      <w:bookmarkStart w:id="2" w:name="_bookmark0"/>
      <w:bookmarkEnd w:id="2"/>
      <w:r>
        <w:rPr>
          <w:rFonts w:ascii="黑体" w:eastAsia="黑体" w:hAnsi="黑体" w:hint="eastAsia"/>
          <w:sz w:val="32"/>
        </w:rPr>
        <w:t>前</w:t>
      </w:r>
      <w:r>
        <w:rPr>
          <w:rFonts w:ascii="Arial" w:eastAsia="Arial" w:hAnsi="Arial"/>
          <w:sz w:val="32"/>
        </w:rPr>
        <w:t>  </w:t>
      </w:r>
      <w:r>
        <w:rPr>
          <w:rFonts w:ascii="黑体" w:eastAsia="黑体" w:hAnsi="黑体" w:hint="eastAsia"/>
          <w:sz w:val="32"/>
        </w:rPr>
        <w:t>言</w:t>
      </w:r>
    </w:p>
    <w:p>
      <w:pPr>
        <w:pStyle w:val="BodyText"/>
        <w:spacing w:before="9"/>
        <w:rPr>
          <w:rFonts w:ascii="黑体"/>
          <w:sz w:val="53"/>
        </w:rPr>
      </w:pPr>
    </w:p>
    <w:p>
      <w:pPr>
        <w:pStyle w:val="BodyText"/>
        <w:tabs>
          <w:tab w:val="left" w:pos="4968"/>
        </w:tabs>
        <w:spacing w:line="278" w:lineRule="auto"/>
        <w:ind w:left="132" w:right="678" w:firstLine="420"/>
      </w:pPr>
      <w:r>
        <w:t>本文件按照GB/T</w:t>
      </w:r>
      <w:r>
        <w:rPr>
          <w:spacing w:val="-3"/>
        </w:rPr>
        <w:t xml:space="preserve"> </w:t>
      </w:r>
      <w:r>
        <w:t>1.1—2020《标准化工作导则</w:t>
        <w:tab/>
        <w:t>第1部分：标准化文件的结构和起草规则》的规定起草。</w:t>
      </w:r>
    </w:p>
    <w:p>
      <w:pPr>
        <w:pStyle w:val="BodyText"/>
        <w:spacing w:line="278" w:lineRule="auto"/>
        <w:ind w:left="552" w:right="1842"/>
      </w:pPr>
      <w:r>
        <w:rPr>
          <w:w w:val="95"/>
        </w:rPr>
        <w:t xml:space="preserve">请注意本文件的某些内容可能涉及专利。本文件的发布机构不承担识别专利的责任。  </w:t>
      </w:r>
      <w:r>
        <w:t>本文件由株洲市城市管理和综合执法局提出并归口。</w:t>
      </w:r>
    </w:p>
    <w:p>
      <w:pPr>
        <w:pStyle w:val="BodyText"/>
        <w:spacing w:line="278" w:lineRule="auto"/>
        <w:ind w:left="132" w:right="678" w:firstLine="420"/>
      </w:pPr>
      <w:r>
        <w:rPr>
          <w:spacing w:val="-5"/>
          <w:w w:val="95"/>
        </w:rPr>
        <w:t>本文件起草单位：株洲市城市管理和综合执法局、希而思</w:t>
      </w:r>
      <w:r>
        <w:rPr>
          <w:w w:val="95"/>
        </w:rPr>
        <w:t>（长沙</w:t>
      </w:r>
      <w:r>
        <w:rPr>
          <w:spacing w:val="-20"/>
          <w:w w:val="95"/>
        </w:rPr>
        <w:t>）</w:t>
      </w:r>
      <w:r>
        <w:rPr>
          <w:spacing w:val="-2"/>
          <w:w w:val="95"/>
        </w:rPr>
        <w:t xml:space="preserve">科技研究院有限公司、长沙市标   </w:t>
      </w:r>
      <w:r>
        <w:rPr>
          <w:spacing w:val="-2"/>
        </w:rPr>
        <w:t>准化协会。</w:t>
      </w:r>
    </w:p>
    <w:p>
      <w:pPr>
        <w:pStyle w:val="BodyText"/>
        <w:spacing w:line="269" w:lineRule="exact"/>
        <w:ind w:left="552"/>
      </w:pPr>
      <w:r>
        <w:t>本文件主要起草人：刘伟、肖极夫、邹外成、贺军、陶军、张缘、李霞、何伟桢、徐冬爱。</w:t>
      </w:r>
    </w:p>
    <w:p>
      <w:pPr>
        <w:spacing w:after="0" w:line="269" w:lineRule="exact"/>
        <w:sectPr>
          <w:headerReference w:type="even" r:id="rId8"/>
          <w:headerReference w:type="default" r:id="rId9"/>
          <w:footerReference w:type="even" r:id="rId10"/>
          <w:footerReference w:type="default" r:id="rId11"/>
          <w:pgSz w:w="11910" w:h="16840"/>
          <w:pgMar w:top="1660" w:right="740" w:bottom="1340" w:left="1000" w:header="1442" w:footer="1141"/>
          <w:pgNumType w:start="5"/>
          <w:cols w:space="708"/>
        </w:sectPr>
      </w:pPr>
    </w:p>
    <w:p>
      <w:pPr>
        <w:pStyle w:val="BodyText"/>
        <w:rPr>
          <w:sz w:val="20"/>
        </w:rPr>
      </w:pPr>
    </w:p>
    <w:p>
      <w:pPr>
        <w:pStyle w:val="BodyText"/>
        <w:rPr>
          <w:sz w:val="20"/>
        </w:rPr>
      </w:pPr>
    </w:p>
    <w:p>
      <w:pPr>
        <w:pStyle w:val="BodyText"/>
        <w:rPr>
          <w:sz w:val="28"/>
        </w:rPr>
      </w:pPr>
    </w:p>
    <w:p>
      <w:pPr>
        <w:pStyle w:val="Heading1"/>
        <w:spacing w:before="54"/>
      </w:pPr>
      <w:bookmarkStart w:id="3" w:name="建宁驿站建设与管理规范"/>
      <w:bookmarkEnd w:id="3"/>
      <w:r>
        <w:t>建宁驿站建设与管理规范</w:t>
      </w:r>
    </w:p>
    <w:p>
      <w:pPr>
        <w:pStyle w:val="BodyText"/>
        <w:rPr>
          <w:rFonts w:ascii="黑体"/>
          <w:sz w:val="20"/>
        </w:rPr>
      </w:pPr>
    </w:p>
    <w:p>
      <w:pPr>
        <w:pStyle w:val="BodyText"/>
        <w:spacing w:before="12"/>
        <w:rPr>
          <w:rFonts w:ascii="黑体"/>
          <w:sz w:val="19"/>
        </w:rPr>
      </w:pPr>
    </w:p>
    <w:p>
      <w:pPr>
        <w:pStyle w:val="ListParagraph"/>
        <w:numPr>
          <w:ilvl w:val="0"/>
          <w:numId w:val="17"/>
        </w:numPr>
        <w:tabs>
          <w:tab w:val="left" w:pos="732"/>
          <w:tab w:val="left" w:pos="733"/>
        </w:tabs>
        <w:spacing w:before="70" w:after="0" w:line="240" w:lineRule="auto"/>
        <w:ind w:left="732" w:right="0" w:hanging="318"/>
        <w:jc w:val="left"/>
        <w:rPr>
          <w:rFonts w:ascii="黑体" w:eastAsia="黑体" w:hint="eastAsia"/>
          <w:sz w:val="21"/>
        </w:rPr>
      </w:pPr>
      <w:bookmarkStart w:id="4" w:name="1　范围"/>
      <w:bookmarkEnd w:id="4"/>
      <w:bookmarkStart w:id="5" w:name="_bookmark1"/>
      <w:bookmarkEnd w:id="5"/>
      <w:r>
        <w:rPr>
          <w:rFonts w:ascii="黑体" w:eastAsia="黑体" w:hint="eastAsia"/>
          <w:sz w:val="21"/>
        </w:rPr>
        <w:t>范围</w:t>
      </w:r>
    </w:p>
    <w:p>
      <w:pPr>
        <w:pStyle w:val="BodyText"/>
        <w:spacing w:before="8"/>
        <w:rPr>
          <w:rFonts w:ascii="黑体"/>
          <w:sz w:val="27"/>
        </w:rPr>
      </w:pPr>
    </w:p>
    <w:p>
      <w:pPr>
        <w:pStyle w:val="BodyText"/>
        <w:spacing w:before="1"/>
        <w:ind w:left="836"/>
      </w:pPr>
      <w:r>
        <w:t>本文件规定了建宁驿站的分类，建设和管理要求。</w:t>
      </w:r>
    </w:p>
    <w:p>
      <w:pPr>
        <w:pStyle w:val="BodyText"/>
        <w:spacing w:before="42"/>
        <w:ind w:left="836"/>
      </w:pPr>
      <w:r>
        <w:t>本文件适用于株洲市城区范围内新建、改建及扩建的固定式公共厕所，其他公共厕所可参照使用。</w:t>
      </w:r>
    </w:p>
    <w:p>
      <w:pPr>
        <w:pStyle w:val="BodyText"/>
        <w:spacing w:before="9"/>
        <w:rPr>
          <w:sz w:val="27"/>
        </w:rPr>
      </w:pPr>
    </w:p>
    <w:p>
      <w:pPr>
        <w:pStyle w:val="ListParagraph"/>
        <w:numPr>
          <w:ilvl w:val="0"/>
          <w:numId w:val="17"/>
        </w:numPr>
        <w:tabs>
          <w:tab w:val="left" w:pos="732"/>
          <w:tab w:val="left" w:pos="733"/>
        </w:tabs>
        <w:spacing w:before="0" w:after="0" w:line="240" w:lineRule="auto"/>
        <w:ind w:left="732" w:right="0" w:hanging="318"/>
        <w:jc w:val="left"/>
        <w:rPr>
          <w:rFonts w:ascii="黑体" w:eastAsia="黑体" w:hint="eastAsia"/>
          <w:sz w:val="21"/>
        </w:rPr>
      </w:pPr>
      <w:bookmarkStart w:id="6" w:name="2　规范性引用文件"/>
      <w:bookmarkEnd w:id="6"/>
      <w:bookmarkStart w:id="7" w:name="_bookmark2"/>
      <w:bookmarkEnd w:id="7"/>
      <w:r>
        <w:rPr>
          <w:rFonts w:ascii="黑体" w:eastAsia="黑体" w:hint="eastAsia"/>
          <w:sz w:val="21"/>
        </w:rPr>
        <w:t>规范性引用文件</w:t>
      </w:r>
    </w:p>
    <w:p>
      <w:pPr>
        <w:pStyle w:val="BodyText"/>
        <w:spacing w:before="9"/>
        <w:rPr>
          <w:rFonts w:ascii="黑体"/>
          <w:sz w:val="27"/>
        </w:rPr>
      </w:pPr>
    </w:p>
    <w:p>
      <w:pPr>
        <w:pStyle w:val="BodyText"/>
        <w:spacing w:line="278" w:lineRule="auto"/>
        <w:ind w:left="415" w:right="288" w:firstLine="420"/>
      </w:pPr>
      <w:r>
        <w:rPr>
          <w:spacing w:val="-7"/>
          <w:w w:val="95"/>
        </w:rPr>
        <w:t xml:space="preserve">下列文件中的内容通过文中的规范性引用而构成本文件必不可少的条款。其中，注日期的引用文件，   </w:t>
      </w:r>
      <w:r>
        <w:rPr>
          <w:spacing w:val="-11"/>
        </w:rPr>
        <w:t>仅该日期对应的版本适用于本文件；不注日期的引用文件，其最新版本</w:t>
      </w:r>
      <w:r>
        <w:t>（包括所有的修改单</w:t>
      </w:r>
      <w:r>
        <w:rPr>
          <w:spacing w:val="-22"/>
        </w:rPr>
        <w:t>）</w:t>
      </w:r>
      <w:r>
        <w:t>适用于本文件。</w:t>
      </w:r>
    </w:p>
    <w:p>
      <w:pPr>
        <w:pStyle w:val="BodyText"/>
        <w:tabs>
          <w:tab w:val="left" w:pos="1781"/>
        </w:tabs>
        <w:spacing w:line="269" w:lineRule="exact"/>
        <w:ind w:left="836"/>
      </w:pPr>
      <w:r>
        <w:t>GB 5749</w:t>
        <w:tab/>
        <w:t>生活饮用水卫生标准</w:t>
      </w:r>
    </w:p>
    <w:p>
      <w:pPr>
        <w:pStyle w:val="BodyText"/>
        <w:tabs>
          <w:tab w:val="left" w:pos="1992"/>
        </w:tabs>
        <w:spacing w:before="43"/>
        <w:ind w:left="836"/>
      </w:pPr>
      <w:r>
        <w:t>GB/T</w:t>
      </w:r>
      <w:r>
        <w:rPr>
          <w:spacing w:val="-1"/>
        </w:rPr>
        <w:t xml:space="preserve"> </w:t>
      </w:r>
      <w:r>
        <w:t>6952</w:t>
        <w:tab/>
        <w:t>卫生陶瓷</w:t>
      </w:r>
    </w:p>
    <w:p>
      <w:pPr>
        <w:pStyle w:val="BodyText"/>
        <w:tabs>
          <w:tab w:val="left" w:pos="1887"/>
          <w:tab w:val="left" w:pos="2307"/>
          <w:tab w:val="left" w:pos="4195"/>
        </w:tabs>
        <w:spacing w:before="43" w:line="278" w:lineRule="auto"/>
        <w:ind w:left="836" w:right="4182"/>
      </w:pPr>
      <w:r>
        <w:t>GB/T</w:t>
      </w:r>
      <w:r>
        <w:rPr>
          <w:spacing w:val="-1"/>
        </w:rPr>
        <w:t xml:space="preserve"> </w:t>
      </w:r>
      <w:r>
        <w:t>10001.1</w:t>
        <w:tab/>
        <w:t>公共信息图形符号</w:t>
        <w:tab/>
        <w:t>第1部分：通用符</w:t>
      </w:r>
      <w:r>
        <w:rPr>
          <w:spacing w:val="-14"/>
        </w:rPr>
        <w:t>号</w:t>
      </w:r>
      <w:r>
        <w:t>GB 14554</w:t>
        <w:tab/>
        <w:t>恶臭污染物排放标准</w:t>
      </w:r>
    </w:p>
    <w:p>
      <w:pPr>
        <w:pStyle w:val="BodyText"/>
        <w:tabs>
          <w:tab w:val="left" w:pos="2727"/>
        </w:tabs>
        <w:spacing w:line="269" w:lineRule="exact"/>
        <w:ind w:left="836"/>
      </w:pPr>
      <w:r>
        <w:t>GB/T</w:t>
      </w:r>
      <w:r>
        <w:rPr>
          <w:spacing w:val="-2"/>
        </w:rPr>
        <w:t xml:space="preserve"> </w:t>
      </w:r>
      <w:r>
        <w:t>17217—2021</w:t>
        <w:tab/>
        <w:t>公共厕所卫生规范</w:t>
      </w:r>
    </w:p>
    <w:p>
      <w:pPr>
        <w:pStyle w:val="BodyText"/>
        <w:tabs>
          <w:tab w:val="left" w:pos="2095"/>
          <w:tab w:val="left" w:pos="3987"/>
        </w:tabs>
        <w:spacing w:before="43" w:after="31" w:line="278" w:lineRule="auto"/>
        <w:ind w:left="836" w:right="4707"/>
      </w:pPr>
      <w:r>
        <w:t>GB/T</w:t>
      </w:r>
      <w:r>
        <w:rPr>
          <w:spacing w:val="-2"/>
        </w:rPr>
        <w:t xml:space="preserve"> </w:t>
      </w:r>
      <w:r>
        <w:t>18920</w:t>
        <w:tab/>
        <w:t>城市污水再生利用</w:t>
        <w:tab/>
        <w:t>城市杂用水水</w:t>
      </w:r>
      <w:r>
        <w:rPr>
          <w:spacing w:val="-14"/>
        </w:rPr>
        <w:t>质</w:t>
      </w:r>
      <w:r>
        <w:t>GB/T</w:t>
      </w:r>
      <w:r>
        <w:rPr>
          <w:spacing w:val="-2"/>
        </w:rPr>
        <w:t xml:space="preserve"> </w:t>
      </w:r>
      <w:r>
        <w:t>31436</w:t>
        <w:tab/>
        <w:t>节水型卫生洁具</w:t>
      </w:r>
    </w:p>
    <w:tbl>
      <w:tblPr>
        <w:tblStyle w:val="TableNormal0"/>
        <w:tblW w:w="0" w:type="auto"/>
        <w:jc w:val="left"/>
        <w:tblInd w:w="7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3"/>
        <w:gridCol w:w="682"/>
        <w:gridCol w:w="4143"/>
      </w:tblGrid>
      <w:tr>
        <w:tblPrEx>
          <w:tblW w:w="0" w:type="auto"/>
          <w:jc w:val="left"/>
          <w:tblInd w:w="7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0"/>
          <w:jc w:val="left"/>
        </w:trPr>
        <w:tc>
          <w:tcPr>
            <w:tcW w:w="313" w:type="dxa"/>
          </w:tcPr>
          <w:p>
            <w:pPr>
              <w:pStyle w:val="TableParagraph"/>
              <w:spacing w:line="239" w:lineRule="exact"/>
              <w:ind w:right="50"/>
              <w:jc w:val="right"/>
              <w:rPr>
                <w:sz w:val="21"/>
              </w:rPr>
            </w:pPr>
            <w:r>
              <w:rPr>
                <w:sz w:val="21"/>
              </w:rPr>
              <w:t>GB</w:t>
            </w:r>
          </w:p>
        </w:tc>
        <w:tc>
          <w:tcPr>
            <w:tcW w:w="682" w:type="dxa"/>
          </w:tcPr>
          <w:p>
            <w:pPr>
              <w:pStyle w:val="TableParagraph"/>
              <w:spacing w:line="239" w:lineRule="exact"/>
              <w:ind w:left="53"/>
              <w:rPr>
                <w:sz w:val="21"/>
              </w:rPr>
            </w:pPr>
            <w:r>
              <w:rPr>
                <w:sz w:val="21"/>
              </w:rPr>
              <w:t>50057</w:t>
            </w:r>
          </w:p>
        </w:tc>
        <w:tc>
          <w:tcPr>
            <w:tcW w:w="4143" w:type="dxa"/>
          </w:tcPr>
          <w:p>
            <w:pPr>
              <w:pStyle w:val="TableParagraph"/>
              <w:spacing w:line="239" w:lineRule="exact"/>
              <w:ind w:left="106"/>
              <w:rPr>
                <w:sz w:val="21"/>
              </w:rPr>
            </w:pPr>
            <w:r>
              <w:rPr>
                <w:sz w:val="21"/>
              </w:rPr>
              <w:t>建筑物防雷设计规范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50202</w:t>
            </w:r>
          </w:p>
        </w:tc>
        <w:tc>
          <w:tcPr>
            <w:tcW w:w="4143" w:type="dxa"/>
          </w:tcPr>
          <w:p>
            <w:pPr>
              <w:pStyle w:val="TableParagraph"/>
              <w:spacing w:before="21"/>
              <w:ind w:left="106"/>
              <w:rPr>
                <w:sz w:val="21"/>
              </w:rPr>
            </w:pPr>
            <w:r>
              <w:rPr>
                <w:sz w:val="21"/>
              </w:rPr>
              <w:t>建筑地基基础工程施工质量验收标准</w:t>
            </w:r>
          </w:p>
        </w:tc>
      </w:tr>
      <w:tr>
        <w:tblPrEx>
          <w:tblW w:w="0" w:type="auto"/>
          <w:jc w:val="left"/>
          <w:tblInd w:w="793" w:type="dxa"/>
          <w:tblLayout w:type="fixed"/>
          <w:tblCellMar>
            <w:top w:w="0" w:type="dxa"/>
            <w:left w:w="0" w:type="dxa"/>
            <w:bottom w:w="0" w:type="dxa"/>
            <w:right w:w="0" w:type="dxa"/>
          </w:tblCellMar>
          <w:tblLook w:val="01E0"/>
        </w:tblPrEx>
        <w:trPr>
          <w:trHeight w:val="311"/>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50203</w:t>
            </w:r>
          </w:p>
        </w:tc>
        <w:tc>
          <w:tcPr>
            <w:tcW w:w="4143" w:type="dxa"/>
          </w:tcPr>
          <w:p>
            <w:pPr>
              <w:pStyle w:val="TableParagraph"/>
              <w:spacing w:before="21"/>
              <w:ind w:left="106"/>
              <w:rPr>
                <w:sz w:val="21"/>
              </w:rPr>
            </w:pPr>
            <w:r>
              <w:rPr>
                <w:sz w:val="21"/>
              </w:rPr>
              <w:t>砌体结构工程施工质量验收规范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50204</w:t>
            </w:r>
          </w:p>
        </w:tc>
        <w:tc>
          <w:tcPr>
            <w:tcW w:w="4143" w:type="dxa"/>
          </w:tcPr>
          <w:p>
            <w:pPr>
              <w:pStyle w:val="TableParagraph"/>
              <w:spacing w:before="21"/>
              <w:ind w:left="106"/>
              <w:rPr>
                <w:sz w:val="21"/>
              </w:rPr>
            </w:pPr>
            <w:r>
              <w:rPr>
                <w:sz w:val="21"/>
              </w:rPr>
              <w:t>混凝土结构工程施工质量验收规范</w:t>
            </w:r>
          </w:p>
        </w:tc>
      </w:tr>
      <w:tr>
        <w:tblPrEx>
          <w:tblW w:w="0" w:type="auto"/>
          <w:jc w:val="left"/>
          <w:tblInd w:w="793" w:type="dxa"/>
          <w:tblLayout w:type="fixed"/>
          <w:tblCellMar>
            <w:top w:w="0" w:type="dxa"/>
            <w:left w:w="0" w:type="dxa"/>
            <w:bottom w:w="0" w:type="dxa"/>
            <w:right w:w="0" w:type="dxa"/>
          </w:tblCellMar>
          <w:tblLook w:val="01E0"/>
        </w:tblPrEx>
        <w:trPr>
          <w:trHeight w:val="311"/>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50205</w:t>
            </w:r>
          </w:p>
        </w:tc>
        <w:tc>
          <w:tcPr>
            <w:tcW w:w="4143" w:type="dxa"/>
          </w:tcPr>
          <w:p>
            <w:pPr>
              <w:pStyle w:val="TableParagraph"/>
              <w:spacing w:before="21"/>
              <w:ind w:left="106"/>
              <w:rPr>
                <w:sz w:val="21"/>
              </w:rPr>
            </w:pPr>
            <w:r>
              <w:rPr>
                <w:sz w:val="21"/>
              </w:rPr>
              <w:t>钢结构工程施工质量验收标准</w:t>
            </w:r>
          </w:p>
        </w:tc>
      </w:tr>
      <w:tr>
        <w:tblPrEx>
          <w:tblW w:w="0" w:type="auto"/>
          <w:jc w:val="left"/>
          <w:tblInd w:w="793" w:type="dxa"/>
          <w:tblLayout w:type="fixed"/>
          <w:tblCellMar>
            <w:top w:w="0" w:type="dxa"/>
            <w:left w:w="0" w:type="dxa"/>
            <w:bottom w:w="0" w:type="dxa"/>
            <w:right w:w="0" w:type="dxa"/>
          </w:tblCellMar>
          <w:tblLook w:val="01E0"/>
        </w:tblPrEx>
        <w:trPr>
          <w:trHeight w:val="311"/>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50206</w:t>
            </w:r>
          </w:p>
        </w:tc>
        <w:tc>
          <w:tcPr>
            <w:tcW w:w="4143" w:type="dxa"/>
          </w:tcPr>
          <w:p>
            <w:pPr>
              <w:pStyle w:val="TableParagraph"/>
              <w:spacing w:before="21"/>
              <w:ind w:left="106"/>
              <w:rPr>
                <w:sz w:val="21"/>
              </w:rPr>
            </w:pPr>
            <w:r>
              <w:rPr>
                <w:sz w:val="21"/>
              </w:rPr>
              <w:t>木结构工程施工质量验收规范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50207</w:t>
            </w:r>
          </w:p>
        </w:tc>
        <w:tc>
          <w:tcPr>
            <w:tcW w:w="4143" w:type="dxa"/>
          </w:tcPr>
          <w:p>
            <w:pPr>
              <w:pStyle w:val="TableParagraph"/>
              <w:spacing w:before="21"/>
              <w:ind w:left="106"/>
              <w:rPr>
                <w:sz w:val="21"/>
              </w:rPr>
            </w:pPr>
            <w:r>
              <w:rPr>
                <w:sz w:val="21"/>
              </w:rPr>
              <w:t>屋面工程质量验收规范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50209</w:t>
            </w:r>
          </w:p>
        </w:tc>
        <w:tc>
          <w:tcPr>
            <w:tcW w:w="4143" w:type="dxa"/>
          </w:tcPr>
          <w:p>
            <w:pPr>
              <w:pStyle w:val="TableParagraph"/>
              <w:spacing w:before="21"/>
              <w:ind w:left="106"/>
              <w:rPr>
                <w:sz w:val="21"/>
              </w:rPr>
            </w:pPr>
            <w:r>
              <w:rPr>
                <w:sz w:val="21"/>
              </w:rPr>
              <w:t>建筑地面工程施工质量验收规范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50210</w:t>
            </w:r>
          </w:p>
        </w:tc>
        <w:tc>
          <w:tcPr>
            <w:tcW w:w="4143" w:type="dxa"/>
          </w:tcPr>
          <w:p>
            <w:pPr>
              <w:pStyle w:val="TableParagraph"/>
              <w:spacing w:before="21"/>
              <w:ind w:left="106"/>
              <w:rPr>
                <w:sz w:val="21"/>
              </w:rPr>
            </w:pPr>
            <w:r>
              <w:rPr>
                <w:sz w:val="21"/>
              </w:rPr>
              <w:t>建筑装饰装修工程质量验收标准</w:t>
            </w:r>
          </w:p>
        </w:tc>
      </w:tr>
      <w:tr>
        <w:tblPrEx>
          <w:tblW w:w="0" w:type="auto"/>
          <w:jc w:val="left"/>
          <w:tblInd w:w="793" w:type="dxa"/>
          <w:tblLayout w:type="fixed"/>
          <w:tblCellMar>
            <w:top w:w="0" w:type="dxa"/>
            <w:left w:w="0" w:type="dxa"/>
            <w:bottom w:w="0" w:type="dxa"/>
            <w:right w:w="0" w:type="dxa"/>
          </w:tblCellMar>
          <w:tblLook w:val="01E0"/>
        </w:tblPrEx>
        <w:trPr>
          <w:trHeight w:val="311"/>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50242</w:t>
            </w:r>
          </w:p>
        </w:tc>
        <w:tc>
          <w:tcPr>
            <w:tcW w:w="4143" w:type="dxa"/>
          </w:tcPr>
          <w:p>
            <w:pPr>
              <w:pStyle w:val="TableParagraph"/>
              <w:spacing w:before="21"/>
              <w:ind w:left="106"/>
              <w:rPr>
                <w:sz w:val="21"/>
              </w:rPr>
            </w:pPr>
            <w:r>
              <w:rPr>
                <w:sz w:val="21"/>
              </w:rPr>
              <w:t>建筑给水排水及采暖工程施工质量验收规范</w:t>
            </w:r>
          </w:p>
        </w:tc>
      </w:tr>
      <w:tr>
        <w:tblPrEx>
          <w:tblW w:w="0" w:type="auto"/>
          <w:jc w:val="left"/>
          <w:tblInd w:w="793" w:type="dxa"/>
          <w:tblLayout w:type="fixed"/>
          <w:tblCellMar>
            <w:top w:w="0" w:type="dxa"/>
            <w:left w:w="0" w:type="dxa"/>
            <w:bottom w:w="0" w:type="dxa"/>
            <w:right w:w="0" w:type="dxa"/>
          </w:tblCellMar>
          <w:tblLook w:val="01E0"/>
        </w:tblPrEx>
        <w:trPr>
          <w:trHeight w:val="260"/>
          <w:jc w:val="left"/>
        </w:trPr>
        <w:tc>
          <w:tcPr>
            <w:tcW w:w="313" w:type="dxa"/>
          </w:tcPr>
          <w:p>
            <w:pPr>
              <w:pStyle w:val="TableParagraph"/>
              <w:spacing w:before="21" w:line="219" w:lineRule="exact"/>
              <w:ind w:right="50"/>
              <w:jc w:val="right"/>
              <w:rPr>
                <w:sz w:val="21"/>
              </w:rPr>
            </w:pPr>
            <w:r>
              <w:rPr>
                <w:sz w:val="21"/>
              </w:rPr>
              <w:t>GB</w:t>
            </w:r>
          </w:p>
        </w:tc>
        <w:tc>
          <w:tcPr>
            <w:tcW w:w="682" w:type="dxa"/>
          </w:tcPr>
          <w:p>
            <w:pPr>
              <w:pStyle w:val="TableParagraph"/>
              <w:spacing w:before="21" w:line="219" w:lineRule="exact"/>
              <w:ind w:left="53"/>
              <w:rPr>
                <w:sz w:val="21"/>
              </w:rPr>
            </w:pPr>
            <w:r>
              <w:rPr>
                <w:sz w:val="21"/>
              </w:rPr>
              <w:t>50243</w:t>
            </w:r>
          </w:p>
        </w:tc>
        <w:tc>
          <w:tcPr>
            <w:tcW w:w="4143" w:type="dxa"/>
          </w:tcPr>
          <w:p>
            <w:pPr>
              <w:pStyle w:val="TableParagraph"/>
              <w:spacing w:before="21" w:line="219" w:lineRule="exact"/>
              <w:ind w:left="106"/>
              <w:rPr>
                <w:sz w:val="21"/>
              </w:rPr>
            </w:pPr>
            <w:r>
              <w:rPr>
                <w:sz w:val="21"/>
              </w:rPr>
              <w:t>通风与空调工程施工质量验收规范</w:t>
            </w:r>
          </w:p>
        </w:tc>
      </w:tr>
    </w:tbl>
    <w:p>
      <w:pPr>
        <w:pStyle w:val="BodyText"/>
        <w:tabs>
          <w:tab w:val="left" w:pos="2412"/>
        </w:tabs>
        <w:spacing w:before="72"/>
        <w:ind w:left="836"/>
      </w:pPr>
      <w:r>
        <w:t>GB 50300-2013</w:t>
        <w:tab/>
        <w:t>建筑工程施工质量验收统一标准</w:t>
      </w:r>
    </w:p>
    <w:p>
      <w:pPr>
        <w:pStyle w:val="BodyText"/>
        <w:tabs>
          <w:tab w:val="left" w:pos="1887"/>
        </w:tabs>
        <w:spacing w:before="43"/>
        <w:ind w:left="836"/>
      </w:pPr>
      <w:r>
        <w:t>GB 50303</w:t>
        <w:tab/>
        <w:t>建筑电气工程施工质量验收规范</w:t>
      </w:r>
    </w:p>
    <w:p>
      <w:pPr>
        <w:pStyle w:val="BodyText"/>
        <w:tabs>
          <w:tab w:val="left" w:pos="2095"/>
        </w:tabs>
        <w:spacing w:before="43"/>
        <w:ind w:left="836"/>
      </w:pPr>
      <w:r>
        <w:t>GB/T</w:t>
      </w:r>
      <w:r>
        <w:rPr>
          <w:spacing w:val="-2"/>
        </w:rPr>
        <w:t xml:space="preserve"> </w:t>
      </w:r>
      <w:r>
        <w:t>50337</w:t>
        <w:tab/>
        <w:t>城市环境卫生设施规划标准</w:t>
      </w:r>
    </w:p>
    <w:p>
      <w:pPr>
        <w:pStyle w:val="BodyText"/>
        <w:spacing w:before="9"/>
        <w:rPr>
          <w:sz w:val="5"/>
        </w:rPr>
      </w:pPr>
    </w:p>
    <w:tbl>
      <w:tblPr>
        <w:tblStyle w:val="TableNormal0"/>
        <w:tblW w:w="0" w:type="auto"/>
        <w:jc w:val="left"/>
        <w:tblInd w:w="7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3"/>
        <w:gridCol w:w="682"/>
        <w:gridCol w:w="3092"/>
      </w:tblGrid>
      <w:tr>
        <w:tblPrEx>
          <w:tblW w:w="0" w:type="auto"/>
          <w:jc w:val="left"/>
          <w:tblInd w:w="7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0"/>
          <w:jc w:val="left"/>
        </w:trPr>
        <w:tc>
          <w:tcPr>
            <w:tcW w:w="313" w:type="dxa"/>
          </w:tcPr>
          <w:p>
            <w:pPr>
              <w:pStyle w:val="TableParagraph"/>
              <w:spacing w:line="239" w:lineRule="exact"/>
              <w:ind w:right="50"/>
              <w:jc w:val="right"/>
              <w:rPr>
                <w:sz w:val="21"/>
              </w:rPr>
            </w:pPr>
            <w:r>
              <w:rPr>
                <w:sz w:val="21"/>
              </w:rPr>
              <w:t>GB</w:t>
            </w:r>
          </w:p>
        </w:tc>
        <w:tc>
          <w:tcPr>
            <w:tcW w:w="682" w:type="dxa"/>
          </w:tcPr>
          <w:p>
            <w:pPr>
              <w:pStyle w:val="TableParagraph"/>
              <w:spacing w:line="239" w:lineRule="exact"/>
              <w:ind w:left="53"/>
              <w:rPr>
                <w:sz w:val="21"/>
              </w:rPr>
            </w:pPr>
            <w:r>
              <w:rPr>
                <w:sz w:val="21"/>
              </w:rPr>
              <w:t>50339</w:t>
            </w:r>
          </w:p>
        </w:tc>
        <w:tc>
          <w:tcPr>
            <w:tcW w:w="3092" w:type="dxa"/>
          </w:tcPr>
          <w:p>
            <w:pPr>
              <w:pStyle w:val="TableParagraph"/>
              <w:spacing w:line="239" w:lineRule="exact"/>
              <w:ind w:left="106"/>
              <w:rPr>
                <w:sz w:val="21"/>
              </w:rPr>
            </w:pPr>
            <w:r>
              <w:rPr>
                <w:sz w:val="21"/>
              </w:rPr>
              <w:t>智能建筑工程质量验收规范</w:t>
            </w:r>
          </w:p>
        </w:tc>
      </w:tr>
      <w:tr>
        <w:tblPrEx>
          <w:tblW w:w="0" w:type="auto"/>
          <w:jc w:val="left"/>
          <w:tblInd w:w="793" w:type="dxa"/>
          <w:tblLayout w:type="fixed"/>
          <w:tblCellMar>
            <w:top w:w="0" w:type="dxa"/>
            <w:left w:w="0" w:type="dxa"/>
            <w:bottom w:w="0" w:type="dxa"/>
            <w:right w:w="0" w:type="dxa"/>
          </w:tblCellMar>
          <w:tblLook w:val="01E0"/>
        </w:tblPrEx>
        <w:trPr>
          <w:trHeight w:val="311"/>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50345</w:t>
            </w:r>
          </w:p>
        </w:tc>
        <w:tc>
          <w:tcPr>
            <w:tcW w:w="3092" w:type="dxa"/>
          </w:tcPr>
          <w:p>
            <w:pPr>
              <w:pStyle w:val="TableParagraph"/>
              <w:spacing w:before="21"/>
              <w:ind w:left="106"/>
              <w:rPr>
                <w:sz w:val="21"/>
              </w:rPr>
            </w:pPr>
            <w:r>
              <w:rPr>
                <w:sz w:val="21"/>
              </w:rPr>
              <w:t>屋面工程技术规范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50606</w:t>
            </w:r>
          </w:p>
        </w:tc>
        <w:tc>
          <w:tcPr>
            <w:tcW w:w="3092" w:type="dxa"/>
          </w:tcPr>
          <w:p>
            <w:pPr>
              <w:pStyle w:val="TableParagraph"/>
              <w:spacing w:before="21"/>
              <w:ind w:left="106"/>
              <w:rPr>
                <w:sz w:val="21"/>
              </w:rPr>
            </w:pPr>
            <w:r>
              <w:rPr>
                <w:sz w:val="21"/>
              </w:rPr>
              <w:t>智能建筑工程施工规范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50642</w:t>
            </w:r>
          </w:p>
        </w:tc>
        <w:tc>
          <w:tcPr>
            <w:tcW w:w="3092" w:type="dxa"/>
          </w:tcPr>
          <w:p>
            <w:pPr>
              <w:pStyle w:val="TableParagraph"/>
              <w:spacing w:before="21"/>
              <w:ind w:left="106"/>
              <w:rPr>
                <w:sz w:val="21"/>
              </w:rPr>
            </w:pPr>
            <w:r>
              <w:rPr>
                <w:sz w:val="21"/>
              </w:rPr>
              <w:t>无障碍设施施工验收及维护规范</w:t>
            </w:r>
          </w:p>
        </w:tc>
      </w:tr>
      <w:tr>
        <w:tblPrEx>
          <w:tblW w:w="0" w:type="auto"/>
          <w:jc w:val="left"/>
          <w:tblInd w:w="793" w:type="dxa"/>
          <w:tblLayout w:type="fixed"/>
          <w:tblCellMar>
            <w:top w:w="0" w:type="dxa"/>
            <w:left w:w="0" w:type="dxa"/>
            <w:bottom w:w="0" w:type="dxa"/>
            <w:right w:w="0" w:type="dxa"/>
          </w:tblCellMar>
          <w:tblLook w:val="01E0"/>
        </w:tblPrEx>
        <w:trPr>
          <w:trHeight w:val="312"/>
          <w:jc w:val="left"/>
        </w:trPr>
        <w:tc>
          <w:tcPr>
            <w:tcW w:w="313" w:type="dxa"/>
          </w:tcPr>
          <w:p>
            <w:pPr>
              <w:pStyle w:val="TableParagraph"/>
              <w:spacing w:before="21"/>
              <w:ind w:right="50"/>
              <w:jc w:val="right"/>
              <w:rPr>
                <w:sz w:val="21"/>
              </w:rPr>
            </w:pPr>
            <w:r>
              <w:rPr>
                <w:sz w:val="21"/>
              </w:rPr>
              <w:t>GB</w:t>
            </w:r>
          </w:p>
        </w:tc>
        <w:tc>
          <w:tcPr>
            <w:tcW w:w="682" w:type="dxa"/>
          </w:tcPr>
          <w:p>
            <w:pPr>
              <w:pStyle w:val="TableParagraph"/>
              <w:spacing w:before="21"/>
              <w:ind w:left="53"/>
              <w:rPr>
                <w:sz w:val="21"/>
              </w:rPr>
            </w:pPr>
            <w:r>
              <w:rPr>
                <w:sz w:val="21"/>
              </w:rPr>
              <w:t>50666</w:t>
            </w:r>
          </w:p>
        </w:tc>
        <w:tc>
          <w:tcPr>
            <w:tcW w:w="3092" w:type="dxa"/>
          </w:tcPr>
          <w:p>
            <w:pPr>
              <w:pStyle w:val="TableParagraph"/>
              <w:spacing w:before="21"/>
              <w:ind w:left="106"/>
              <w:rPr>
                <w:sz w:val="21"/>
              </w:rPr>
            </w:pPr>
            <w:r>
              <w:rPr>
                <w:sz w:val="21"/>
              </w:rPr>
              <w:t>混凝土结构工程施工规范</w:t>
            </w:r>
          </w:p>
        </w:tc>
      </w:tr>
      <w:tr>
        <w:tblPrEx>
          <w:tblW w:w="0" w:type="auto"/>
          <w:jc w:val="left"/>
          <w:tblInd w:w="793" w:type="dxa"/>
          <w:tblLayout w:type="fixed"/>
          <w:tblCellMar>
            <w:top w:w="0" w:type="dxa"/>
            <w:left w:w="0" w:type="dxa"/>
            <w:bottom w:w="0" w:type="dxa"/>
            <w:right w:w="0" w:type="dxa"/>
          </w:tblCellMar>
          <w:tblLook w:val="01E0"/>
        </w:tblPrEx>
        <w:trPr>
          <w:trHeight w:val="260"/>
          <w:jc w:val="left"/>
        </w:trPr>
        <w:tc>
          <w:tcPr>
            <w:tcW w:w="313" w:type="dxa"/>
          </w:tcPr>
          <w:p>
            <w:pPr>
              <w:pStyle w:val="TableParagraph"/>
              <w:spacing w:before="21" w:line="219" w:lineRule="exact"/>
              <w:ind w:right="50"/>
              <w:jc w:val="right"/>
              <w:rPr>
                <w:sz w:val="21"/>
              </w:rPr>
            </w:pPr>
            <w:r>
              <w:rPr>
                <w:sz w:val="21"/>
              </w:rPr>
              <w:t>GB</w:t>
            </w:r>
          </w:p>
        </w:tc>
        <w:tc>
          <w:tcPr>
            <w:tcW w:w="682" w:type="dxa"/>
          </w:tcPr>
          <w:p>
            <w:pPr>
              <w:pStyle w:val="TableParagraph"/>
              <w:spacing w:before="21" w:line="219" w:lineRule="exact"/>
              <w:ind w:left="53"/>
              <w:rPr>
                <w:sz w:val="21"/>
              </w:rPr>
            </w:pPr>
            <w:r>
              <w:rPr>
                <w:sz w:val="21"/>
              </w:rPr>
              <w:t>50738</w:t>
            </w:r>
          </w:p>
        </w:tc>
        <w:tc>
          <w:tcPr>
            <w:tcW w:w="3092" w:type="dxa"/>
          </w:tcPr>
          <w:p>
            <w:pPr>
              <w:pStyle w:val="TableParagraph"/>
              <w:spacing w:before="21" w:line="219" w:lineRule="exact"/>
              <w:ind w:left="106"/>
              <w:rPr>
                <w:sz w:val="21"/>
              </w:rPr>
            </w:pPr>
            <w:r>
              <w:rPr>
                <w:sz w:val="21"/>
              </w:rPr>
              <w:t>通风与空调工程施工规范</w:t>
            </w:r>
          </w:p>
        </w:tc>
      </w:tr>
    </w:tbl>
    <w:p>
      <w:pPr>
        <w:spacing w:after="0" w:line="219" w:lineRule="exact"/>
        <w:rPr>
          <w:sz w:val="21"/>
        </w:rPr>
        <w:sectPr>
          <w:headerReference w:type="even" r:id="rId12"/>
          <w:headerReference w:type="default" r:id="rId13"/>
          <w:footerReference w:type="even" r:id="rId14"/>
          <w:footerReference w:type="default" r:id="rId15"/>
          <w:pgSz w:w="11910" w:h="16840"/>
          <w:pgMar w:top="1660" w:right="740" w:bottom="1340" w:left="1000" w:header="1442" w:footer="1141"/>
          <w:pgNumType w:start="1"/>
          <w:cols w:space="708"/>
        </w:sectPr>
      </w:pPr>
    </w:p>
    <w:p>
      <w:pPr>
        <w:pStyle w:val="BodyText"/>
        <w:spacing w:before="9"/>
        <w:rPr>
          <w:sz w:val="14"/>
        </w:rPr>
      </w:pPr>
    </w:p>
    <w:p>
      <w:pPr>
        <w:pStyle w:val="BodyText"/>
        <w:tabs>
          <w:tab w:val="left" w:pos="1603"/>
        </w:tabs>
        <w:spacing w:before="70"/>
        <w:ind w:left="552"/>
      </w:pPr>
      <w:r>
        <w:t>GB 50755</w:t>
        <w:tab/>
        <w:t>钢结构工程施工规范</w:t>
      </w:r>
    </w:p>
    <w:p>
      <w:pPr>
        <w:pStyle w:val="BodyText"/>
        <w:tabs>
          <w:tab w:val="left" w:pos="2232"/>
        </w:tabs>
        <w:spacing w:before="43"/>
        <w:ind w:left="552"/>
      </w:pPr>
      <w:r>
        <w:t>GB 50763—2012</w:t>
        <w:tab/>
      </w:r>
      <w:r>
        <w:rPr>
          <w:w w:val="95"/>
        </w:rPr>
        <w:t>无障碍设计规范</w:t>
      </w:r>
    </w:p>
    <w:p>
      <w:pPr>
        <w:pStyle w:val="BodyText"/>
        <w:tabs>
          <w:tab w:val="left" w:pos="1812"/>
        </w:tabs>
        <w:spacing w:before="43"/>
        <w:ind w:left="552"/>
      </w:pPr>
      <w:r>
        <w:t>GB/T</w:t>
      </w:r>
      <w:r>
        <w:rPr>
          <w:spacing w:val="-2"/>
        </w:rPr>
        <w:t xml:space="preserve"> </w:t>
      </w:r>
      <w:r>
        <w:t>50772</w:t>
        <w:tab/>
      </w:r>
      <w:r>
        <w:rPr>
          <w:w w:val="95"/>
        </w:rPr>
        <w:t>木结构工程施工规范</w:t>
      </w:r>
    </w:p>
    <w:p>
      <w:pPr>
        <w:pStyle w:val="BodyText"/>
        <w:tabs>
          <w:tab w:val="left" w:pos="1603"/>
        </w:tabs>
        <w:spacing w:before="43"/>
        <w:ind w:left="552"/>
      </w:pPr>
      <w:r>
        <w:t>GB 50924</w:t>
        <w:tab/>
      </w:r>
      <w:r>
        <w:rPr>
          <w:w w:val="95"/>
        </w:rPr>
        <w:t>砌体结构工程施工规范</w:t>
      </w:r>
    </w:p>
    <w:p>
      <w:pPr>
        <w:pStyle w:val="BodyText"/>
        <w:tabs>
          <w:tab w:val="left" w:pos="1603"/>
        </w:tabs>
        <w:spacing w:before="42"/>
        <w:ind w:left="552"/>
      </w:pPr>
      <w:r>
        <w:t>GB 51004</w:t>
        <w:tab/>
        <w:t>建筑地基基础工程施工规范</w:t>
      </w:r>
    </w:p>
    <w:p>
      <w:pPr>
        <w:pStyle w:val="BodyText"/>
        <w:tabs>
          <w:tab w:val="left" w:pos="1603"/>
        </w:tabs>
        <w:spacing w:before="43"/>
        <w:ind w:left="552"/>
      </w:pPr>
      <w:r>
        <w:t>GB 55019</w:t>
        <w:tab/>
        <w:t>建筑与市政工程无障碍通用规范</w:t>
      </w:r>
    </w:p>
    <w:p>
      <w:pPr>
        <w:pStyle w:val="BodyText"/>
        <w:tabs>
          <w:tab w:val="left" w:pos="2023"/>
        </w:tabs>
        <w:spacing w:before="43"/>
        <w:ind w:left="552"/>
      </w:pPr>
      <w:r>
        <w:t>CJJ</w:t>
      </w:r>
      <w:r>
        <w:rPr>
          <w:spacing w:val="-1"/>
        </w:rPr>
        <w:t xml:space="preserve"> </w:t>
      </w:r>
      <w:r>
        <w:t>14—2016</w:t>
        <w:tab/>
      </w:r>
      <w:r>
        <w:rPr>
          <w:w w:val="95"/>
        </w:rPr>
        <w:t>城市公共厕所设计标准</w:t>
      </w:r>
    </w:p>
    <w:p>
      <w:pPr>
        <w:pStyle w:val="BodyText"/>
        <w:tabs>
          <w:tab w:val="left" w:pos="2023"/>
        </w:tabs>
        <w:spacing w:before="43"/>
        <w:ind w:left="552"/>
      </w:pPr>
      <w:r>
        <w:t>CJJ</w:t>
      </w:r>
      <w:r>
        <w:rPr>
          <w:spacing w:val="-1"/>
        </w:rPr>
        <w:t xml:space="preserve"> </w:t>
      </w:r>
      <w:r>
        <w:t>27—2012</w:t>
        <w:tab/>
      </w:r>
      <w:r>
        <w:rPr>
          <w:w w:val="95"/>
        </w:rPr>
        <w:t>环境卫生设施设置标准</w:t>
      </w:r>
    </w:p>
    <w:p>
      <w:pPr>
        <w:pStyle w:val="BodyText"/>
        <w:tabs>
          <w:tab w:val="left" w:pos="2338"/>
        </w:tabs>
        <w:spacing w:before="43"/>
        <w:ind w:left="552"/>
      </w:pPr>
      <w:r>
        <w:t>DB43/T</w:t>
      </w:r>
      <w:r>
        <w:rPr>
          <w:spacing w:val="-1"/>
        </w:rPr>
        <w:t xml:space="preserve"> </w:t>
      </w:r>
      <w:r>
        <w:t>310-2023</w:t>
        <w:tab/>
        <w:t>湖南省城镇公共厕所建设和运行管理规范</w:t>
      </w:r>
    </w:p>
    <w:p>
      <w:pPr>
        <w:pStyle w:val="BodyText"/>
        <w:tabs>
          <w:tab w:val="left" w:pos="1812"/>
        </w:tabs>
        <w:spacing w:before="43"/>
        <w:ind w:left="552"/>
      </w:pPr>
      <w:r>
        <w:t>DB4302/T</w:t>
      </w:r>
      <w:r>
        <w:rPr>
          <w:spacing w:val="-2"/>
        </w:rPr>
        <w:t xml:space="preserve"> </w:t>
      </w:r>
      <w:r>
        <w:t>1</w:t>
        <w:tab/>
        <w:t>户外广告设施设置技术规范</w:t>
      </w:r>
    </w:p>
    <w:p>
      <w:pPr>
        <w:pStyle w:val="BodyText"/>
        <w:spacing w:before="9"/>
        <w:rPr>
          <w:sz w:val="27"/>
        </w:rPr>
      </w:pPr>
    </w:p>
    <w:p>
      <w:pPr>
        <w:pStyle w:val="ListParagraph"/>
        <w:numPr>
          <w:ilvl w:val="0"/>
          <w:numId w:val="15"/>
        </w:numPr>
        <w:tabs>
          <w:tab w:val="left" w:pos="449"/>
          <w:tab w:val="left" w:pos="450"/>
        </w:tabs>
        <w:spacing w:before="0" w:after="0" w:line="240" w:lineRule="auto"/>
        <w:ind w:left="449" w:right="0" w:hanging="318"/>
        <w:jc w:val="left"/>
        <w:rPr>
          <w:rFonts w:ascii="黑体" w:eastAsia="黑体" w:hint="eastAsia"/>
          <w:sz w:val="21"/>
        </w:rPr>
      </w:pPr>
      <w:bookmarkStart w:id="8" w:name="3　术语和定义"/>
      <w:bookmarkEnd w:id="8"/>
      <w:bookmarkStart w:id="9" w:name="_bookmark3"/>
      <w:bookmarkEnd w:id="9"/>
      <w:r>
        <w:rPr>
          <w:rFonts w:ascii="黑体" w:eastAsia="黑体" w:hint="eastAsia"/>
          <w:sz w:val="21"/>
        </w:rPr>
        <w:t>术语和定义</w:t>
      </w:r>
    </w:p>
    <w:p>
      <w:pPr>
        <w:pStyle w:val="BodyText"/>
        <w:spacing w:before="3"/>
        <w:rPr>
          <w:rFonts w:ascii="黑体"/>
          <w:sz w:val="22"/>
        </w:rPr>
      </w:pPr>
    </w:p>
    <w:p>
      <w:pPr>
        <w:pStyle w:val="BodyText"/>
        <w:spacing w:before="70"/>
        <w:ind w:left="552"/>
      </w:pPr>
      <w:r>
        <w:t>下列术语和定义适用于本文件。</w:t>
      </w:r>
    </w:p>
    <w:p>
      <w:pPr>
        <w:pStyle w:val="ListParagraph"/>
        <w:numPr>
          <w:ilvl w:val="1"/>
          <w:numId w:val="15"/>
        </w:numPr>
        <w:tabs>
          <w:tab w:val="left" w:pos="450"/>
        </w:tabs>
        <w:spacing w:before="43" w:after="0" w:line="240" w:lineRule="auto"/>
        <w:ind w:left="449" w:right="0" w:hanging="318"/>
        <w:jc w:val="left"/>
        <w:rPr>
          <w:rFonts w:ascii="黑体"/>
          <w:sz w:val="21"/>
        </w:rPr>
      </w:pPr>
      <w:bookmarkStart w:id="10" w:name="3.1"/>
      <w:bookmarkEnd w:id="10"/>
    </w:p>
    <w:p>
      <w:pPr>
        <w:pStyle w:val="BodyText"/>
        <w:tabs>
          <w:tab w:val="left" w:pos="1603"/>
        </w:tabs>
        <w:spacing w:before="43"/>
        <w:ind w:left="552"/>
        <w:rPr>
          <w:rFonts w:ascii="黑体" w:eastAsia="黑体" w:hint="eastAsia"/>
        </w:rPr>
      </w:pPr>
      <w:bookmarkStart w:id="11" w:name="建宁驿站  jianningyizhan"/>
      <w:bookmarkEnd w:id="11"/>
      <w:r>
        <w:rPr>
          <w:rFonts w:ascii="黑体" w:eastAsia="黑体" w:hint="eastAsia"/>
        </w:rPr>
        <w:t>建宁驿站</w:t>
        <w:tab/>
        <w:t>jianningyizhan</w:t>
      </w:r>
    </w:p>
    <w:p>
      <w:pPr>
        <w:pStyle w:val="BodyText"/>
        <w:spacing w:before="43"/>
        <w:ind w:left="552"/>
      </w:pPr>
      <w:r>
        <w:t>坐落在株洲市城区范围内，在提供如厕功能的基础上，将休息、便民商业、政务服务以及文化展示</w:t>
      </w:r>
    </w:p>
    <w:p>
      <w:pPr>
        <w:pStyle w:val="BodyText"/>
        <w:spacing w:before="43"/>
        <w:ind w:left="132"/>
      </w:pPr>
      <w:r>
        <w:t>等多种便民服务功能集合为一体的公共厕所。</w:t>
      </w:r>
    </w:p>
    <w:p>
      <w:pPr>
        <w:spacing w:before="61"/>
        <w:ind w:left="497" w:right="0" w:firstLine="0"/>
        <w:jc w:val="left"/>
        <w:rPr>
          <w:sz w:val="18"/>
        </w:rPr>
      </w:pPr>
      <w:r>
        <w:rPr>
          <w:rFonts w:ascii="黑体" w:eastAsia="黑体" w:hAnsi="黑体" w:hint="eastAsia"/>
          <w:sz w:val="18"/>
        </w:rPr>
        <w:t>注：</w:t>
      </w:r>
      <w:r>
        <w:rPr>
          <w:sz w:val="18"/>
        </w:rPr>
        <w:t>株洲在古时称为“建宁”。</w:t>
      </w:r>
    </w:p>
    <w:p>
      <w:pPr>
        <w:pStyle w:val="ListParagraph"/>
        <w:numPr>
          <w:ilvl w:val="1"/>
          <w:numId w:val="15"/>
        </w:numPr>
        <w:tabs>
          <w:tab w:val="left" w:pos="450"/>
        </w:tabs>
        <w:spacing w:before="63" w:after="0" w:line="240" w:lineRule="auto"/>
        <w:ind w:left="449" w:right="0" w:hanging="318"/>
        <w:jc w:val="left"/>
        <w:rPr>
          <w:rFonts w:ascii="黑体"/>
          <w:sz w:val="21"/>
        </w:rPr>
      </w:pPr>
      <w:bookmarkStart w:id="12" w:name="3.2"/>
      <w:bookmarkEnd w:id="12"/>
    </w:p>
    <w:p>
      <w:pPr>
        <w:pStyle w:val="BodyText"/>
        <w:tabs>
          <w:tab w:val="left" w:pos="1603"/>
        </w:tabs>
        <w:spacing w:before="43"/>
        <w:ind w:left="552"/>
        <w:rPr>
          <w:rFonts w:ascii="黑体" w:eastAsia="黑体" w:hint="eastAsia"/>
        </w:rPr>
      </w:pPr>
      <w:bookmarkStart w:id="13" w:name="公共厕所  public toilet"/>
      <w:bookmarkEnd w:id="13"/>
      <w:r>
        <w:rPr>
          <w:rFonts w:ascii="黑体" w:eastAsia="黑体" w:hint="eastAsia"/>
        </w:rPr>
        <w:t>公共厕所</w:t>
        <w:tab/>
        <w:t>public</w:t>
      </w:r>
      <w:r>
        <w:rPr>
          <w:rFonts w:ascii="黑体" w:eastAsia="黑体" w:hint="eastAsia"/>
          <w:spacing w:val="-2"/>
        </w:rPr>
        <w:t xml:space="preserve"> </w:t>
      </w:r>
      <w:r>
        <w:rPr>
          <w:rFonts w:ascii="黑体" w:eastAsia="黑体" w:hint="eastAsia"/>
        </w:rPr>
        <w:t>toilet</w:t>
      </w:r>
    </w:p>
    <w:p>
      <w:pPr>
        <w:pStyle w:val="BodyText"/>
        <w:spacing w:before="43" w:line="278" w:lineRule="auto"/>
        <w:ind w:left="552" w:right="3102"/>
      </w:pPr>
      <w:r>
        <w:rPr>
          <w:w w:val="95"/>
        </w:rPr>
        <w:t xml:space="preserve">在公众活动场所设置供社会公众使用的固定式厕所（以下简称公厕）。   </w:t>
      </w:r>
      <w:r>
        <w:t>[来源：GB/T</w:t>
      </w:r>
      <w:r>
        <w:rPr>
          <w:spacing w:val="-2"/>
        </w:rPr>
        <w:t xml:space="preserve"> </w:t>
      </w:r>
      <w:r>
        <w:t>17217—2021，3.1]</w:t>
      </w:r>
    </w:p>
    <w:p>
      <w:pPr>
        <w:pStyle w:val="ListParagraph"/>
        <w:numPr>
          <w:ilvl w:val="1"/>
          <w:numId w:val="15"/>
        </w:numPr>
        <w:tabs>
          <w:tab w:val="left" w:pos="450"/>
        </w:tabs>
        <w:spacing w:before="0" w:after="0" w:line="269" w:lineRule="exact"/>
        <w:ind w:left="449" w:right="0" w:hanging="318"/>
        <w:jc w:val="left"/>
        <w:rPr>
          <w:rFonts w:ascii="黑体"/>
          <w:sz w:val="21"/>
        </w:rPr>
      </w:pPr>
      <w:bookmarkStart w:id="14" w:name="3.3"/>
      <w:bookmarkEnd w:id="14"/>
    </w:p>
    <w:p>
      <w:pPr>
        <w:pStyle w:val="BodyText"/>
        <w:tabs>
          <w:tab w:val="left" w:pos="1183"/>
        </w:tabs>
        <w:spacing w:before="43"/>
        <w:ind w:left="552"/>
        <w:rPr>
          <w:rFonts w:ascii="黑体" w:eastAsia="黑体" w:hint="eastAsia"/>
        </w:rPr>
      </w:pPr>
      <w:bookmarkStart w:id="15" w:name="厕位  cubicle"/>
      <w:bookmarkEnd w:id="15"/>
      <w:r>
        <w:rPr>
          <w:rFonts w:ascii="黑体" w:eastAsia="黑体" w:hint="eastAsia"/>
        </w:rPr>
        <w:t>厕位</w:t>
        <w:tab/>
        <w:t>cubicle</w:t>
      </w:r>
    </w:p>
    <w:p>
      <w:pPr>
        <w:pStyle w:val="BodyText"/>
        <w:spacing w:before="43" w:line="278" w:lineRule="auto"/>
        <w:ind w:left="552" w:right="4573"/>
      </w:pPr>
      <w:r>
        <w:rPr>
          <w:w w:val="95"/>
        </w:rPr>
        <w:t xml:space="preserve">如厕的位置，根据便器的类别分为坐位、蹲位和站位。  </w:t>
      </w:r>
      <w:r>
        <w:t>[来源：CJJ</w:t>
      </w:r>
      <w:r>
        <w:rPr>
          <w:spacing w:val="-2"/>
        </w:rPr>
        <w:t xml:space="preserve"> </w:t>
      </w:r>
      <w:r>
        <w:t>14—2016，2.0.8]</w:t>
      </w:r>
    </w:p>
    <w:p>
      <w:pPr>
        <w:pStyle w:val="ListParagraph"/>
        <w:numPr>
          <w:ilvl w:val="1"/>
          <w:numId w:val="15"/>
        </w:numPr>
        <w:tabs>
          <w:tab w:val="left" w:pos="450"/>
        </w:tabs>
        <w:spacing w:before="0" w:after="0" w:line="269" w:lineRule="exact"/>
        <w:ind w:left="449" w:right="0" w:hanging="318"/>
        <w:jc w:val="left"/>
        <w:rPr>
          <w:rFonts w:ascii="黑体"/>
          <w:sz w:val="21"/>
        </w:rPr>
      </w:pPr>
      <w:bookmarkStart w:id="16" w:name="3.4"/>
      <w:bookmarkEnd w:id="16"/>
    </w:p>
    <w:p>
      <w:pPr>
        <w:pStyle w:val="BodyText"/>
        <w:tabs>
          <w:tab w:val="left" w:pos="1812"/>
        </w:tabs>
        <w:spacing w:before="43"/>
        <w:ind w:left="552"/>
        <w:rPr>
          <w:rFonts w:ascii="黑体" w:eastAsia="黑体" w:hint="eastAsia"/>
        </w:rPr>
      </w:pPr>
      <w:bookmarkStart w:id="17" w:name="第三卫生间  third bathroom"/>
      <w:bookmarkEnd w:id="17"/>
      <w:r>
        <w:rPr>
          <w:rFonts w:ascii="黑体" w:eastAsia="黑体" w:hint="eastAsia"/>
        </w:rPr>
        <w:t>第三卫生间</w:t>
        <w:tab/>
        <w:t>third</w:t>
      </w:r>
      <w:r>
        <w:rPr>
          <w:rFonts w:ascii="黑体" w:eastAsia="黑体" w:hint="eastAsia"/>
          <w:spacing w:val="-1"/>
        </w:rPr>
        <w:t xml:space="preserve"> </w:t>
      </w:r>
      <w:r>
        <w:rPr>
          <w:rFonts w:ascii="黑体" w:eastAsia="黑体" w:hint="eastAsia"/>
        </w:rPr>
        <w:t>bathroom</w:t>
      </w:r>
    </w:p>
    <w:p>
      <w:pPr>
        <w:pStyle w:val="BodyText"/>
        <w:spacing w:before="43" w:line="278" w:lineRule="auto"/>
        <w:ind w:left="552" w:right="5413"/>
      </w:pPr>
      <w:r>
        <w:rPr>
          <w:w w:val="95"/>
        </w:rPr>
        <w:t xml:space="preserve">用于协助老、幼及行动不便者使用的厕所间。  </w:t>
      </w:r>
      <w:r>
        <w:t>[来源：CJJ</w:t>
      </w:r>
      <w:r>
        <w:rPr>
          <w:spacing w:val="-2"/>
        </w:rPr>
        <w:t xml:space="preserve"> </w:t>
      </w:r>
      <w:r>
        <w:t>14—2016，2.0.9]</w:t>
      </w:r>
    </w:p>
    <w:p>
      <w:pPr>
        <w:pStyle w:val="ListParagraph"/>
        <w:numPr>
          <w:ilvl w:val="1"/>
          <w:numId w:val="15"/>
        </w:numPr>
        <w:tabs>
          <w:tab w:val="left" w:pos="450"/>
        </w:tabs>
        <w:spacing w:before="0" w:after="0" w:line="269" w:lineRule="exact"/>
        <w:ind w:left="449" w:right="0" w:hanging="318"/>
        <w:jc w:val="left"/>
        <w:rPr>
          <w:rFonts w:ascii="黑体"/>
          <w:sz w:val="21"/>
        </w:rPr>
      </w:pPr>
      <w:bookmarkStart w:id="18" w:name="3.5"/>
      <w:bookmarkEnd w:id="18"/>
    </w:p>
    <w:p>
      <w:pPr>
        <w:pStyle w:val="BodyText"/>
        <w:tabs>
          <w:tab w:val="left" w:pos="1812"/>
        </w:tabs>
        <w:spacing w:before="43"/>
        <w:ind w:left="552"/>
        <w:rPr>
          <w:rFonts w:ascii="黑体" w:eastAsia="黑体" w:hint="eastAsia"/>
        </w:rPr>
      </w:pPr>
      <w:bookmarkStart w:id="19" w:name="无障碍厕位  water closet compartment for whee"/>
      <w:bookmarkEnd w:id="19"/>
      <w:r>
        <w:rPr>
          <w:rFonts w:ascii="黑体" w:eastAsia="黑体" w:hint="eastAsia"/>
        </w:rPr>
        <w:t>无障碍厕位</w:t>
        <w:tab/>
        <w:t>water closet compartment for wheelchair</w:t>
      </w:r>
      <w:r>
        <w:rPr>
          <w:rFonts w:ascii="黑体" w:eastAsia="黑体" w:hint="eastAsia"/>
          <w:spacing w:val="-4"/>
        </w:rPr>
        <w:t xml:space="preserve"> </w:t>
      </w:r>
      <w:r>
        <w:rPr>
          <w:rFonts w:ascii="黑体" w:eastAsia="黑体" w:hint="eastAsia"/>
        </w:rPr>
        <w:t>users</w:t>
      </w:r>
    </w:p>
    <w:p>
      <w:pPr>
        <w:pStyle w:val="BodyText"/>
        <w:spacing w:before="43" w:line="278" w:lineRule="auto"/>
        <w:ind w:left="552" w:right="1633"/>
      </w:pPr>
      <w:r>
        <w:rPr>
          <w:w w:val="95"/>
        </w:rPr>
        <w:t xml:space="preserve">公共厕所内设置的带坐便器及安全抓杆且方便行动障碍者进出和使用的带隔间的厕位。    </w:t>
      </w:r>
      <w:r>
        <w:t>[来源：GB</w:t>
      </w:r>
      <w:r>
        <w:rPr>
          <w:spacing w:val="-2"/>
        </w:rPr>
        <w:t xml:space="preserve"> </w:t>
      </w:r>
      <w:r>
        <w:t>50763—2012，2.0.15]</w:t>
      </w:r>
    </w:p>
    <w:p>
      <w:pPr>
        <w:pStyle w:val="BodyText"/>
        <w:spacing w:before="11"/>
        <w:rPr>
          <w:sz w:val="18"/>
        </w:rPr>
      </w:pPr>
    </w:p>
    <w:p>
      <w:pPr>
        <w:pStyle w:val="ListParagraph"/>
        <w:numPr>
          <w:ilvl w:val="0"/>
          <w:numId w:val="15"/>
        </w:numPr>
        <w:tabs>
          <w:tab w:val="left" w:pos="449"/>
          <w:tab w:val="left" w:pos="450"/>
        </w:tabs>
        <w:spacing w:before="70" w:after="0" w:line="240" w:lineRule="auto"/>
        <w:ind w:left="449" w:right="0" w:hanging="318"/>
        <w:jc w:val="left"/>
        <w:rPr>
          <w:rFonts w:ascii="黑体" w:eastAsia="黑体" w:hint="eastAsia"/>
          <w:sz w:val="21"/>
        </w:rPr>
      </w:pPr>
      <w:bookmarkStart w:id="20" w:name="4　分类"/>
      <w:bookmarkEnd w:id="20"/>
      <w:bookmarkStart w:id="21" w:name="_bookmark4"/>
      <w:bookmarkEnd w:id="21"/>
      <w:r>
        <w:rPr>
          <w:rFonts w:ascii="黑体" w:eastAsia="黑体" w:hint="eastAsia"/>
          <w:sz w:val="21"/>
        </w:rPr>
        <w:t>分类</w:t>
      </w:r>
    </w:p>
    <w:p>
      <w:pPr>
        <w:pStyle w:val="BodyText"/>
        <w:spacing w:before="9"/>
        <w:rPr>
          <w:rFonts w:ascii="黑体"/>
          <w:sz w:val="27"/>
        </w:rPr>
      </w:pPr>
    </w:p>
    <w:p>
      <w:pPr>
        <w:pStyle w:val="BodyText"/>
        <w:ind w:left="552"/>
      </w:pPr>
      <w:r>
        <w:t>应根据人流量、周边环境及业态的不同，选择建设不同类别的驿站，具体见表1。</w:t>
      </w:r>
    </w:p>
    <w:p>
      <w:pPr>
        <w:spacing w:after="0"/>
        <w:sectPr>
          <w:headerReference w:type="even" r:id="rId16"/>
          <w:headerReference w:type="default" r:id="rId17"/>
          <w:footerReference w:type="even" r:id="rId18"/>
          <w:footerReference w:type="default" r:id="rId19"/>
          <w:pgSz w:w="11910" w:h="16840"/>
          <w:pgMar w:top="1660" w:right="740" w:bottom="1340" w:left="1000" w:header="1442" w:footer="1141"/>
          <w:pgNumType w:start="2"/>
          <w:cols w:space="708"/>
        </w:sectPr>
      </w:pPr>
    </w:p>
    <w:p>
      <w:pPr>
        <w:pStyle w:val="BodyText"/>
        <w:spacing w:before="9"/>
        <w:rPr>
          <w:sz w:val="14"/>
        </w:rPr>
      </w:pPr>
    </w:p>
    <w:p>
      <w:pPr>
        <w:pStyle w:val="BodyText"/>
        <w:tabs>
          <w:tab w:val="left" w:pos="597"/>
        </w:tabs>
        <w:spacing w:before="70"/>
        <w:ind w:left="18"/>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1</w:t>
        <w:tab/>
        <w:t>建宁驿站分类</w:t>
      </w:r>
    </w:p>
    <w:p>
      <w:pPr>
        <w:pStyle w:val="BodyText"/>
        <w:spacing w:before="10"/>
        <w:rPr>
          <w:rFonts w:ascii="黑体"/>
          <w:sz w:val="13"/>
        </w:rPr>
      </w:pPr>
    </w:p>
    <w:tbl>
      <w:tblPr>
        <w:tblStyle w:val="TableNormal1"/>
        <w:tblW w:w="0" w:type="auto"/>
        <w:jc w:val="left"/>
        <w:tblInd w:w="3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111"/>
        <w:gridCol w:w="787"/>
        <w:gridCol w:w="792"/>
        <w:gridCol w:w="795"/>
        <w:gridCol w:w="1326"/>
        <w:gridCol w:w="792"/>
        <w:gridCol w:w="792"/>
        <w:gridCol w:w="790"/>
        <w:gridCol w:w="792"/>
        <w:gridCol w:w="802"/>
      </w:tblGrid>
      <w:tr>
        <w:tblPrEx>
          <w:tblW w:w="0" w:type="auto"/>
          <w:jc w:val="left"/>
          <w:tblInd w:w="32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12"/>
          <w:jc w:val="left"/>
        </w:trPr>
        <w:tc>
          <w:tcPr>
            <w:tcW w:w="1111" w:type="dxa"/>
            <w:vMerge w:val="restart"/>
            <w:tcBorders>
              <w:bottom w:val="single" w:sz="6" w:space="0" w:color="000000"/>
              <w:right w:val="single" w:sz="6" w:space="0" w:color="000000"/>
            </w:tcBorders>
          </w:tcPr>
          <w:p>
            <w:pPr>
              <w:pStyle w:val="TableParagraph"/>
              <w:spacing w:before="12"/>
              <w:rPr>
                <w:rFonts w:ascii="黑体"/>
                <w:sz w:val="15"/>
              </w:rPr>
            </w:pPr>
          </w:p>
          <w:p>
            <w:pPr>
              <w:pStyle w:val="TableParagraph"/>
              <w:ind w:left="375"/>
              <w:rPr>
                <w:rFonts w:ascii="黑体" w:eastAsia="黑体" w:hint="eastAsia"/>
                <w:sz w:val="18"/>
              </w:rPr>
            </w:pPr>
            <w:r>
              <w:rPr>
                <w:rFonts w:ascii="黑体" w:eastAsia="黑体" w:hint="eastAsia"/>
                <w:sz w:val="18"/>
              </w:rPr>
              <w:t>类别</w:t>
            </w:r>
          </w:p>
        </w:tc>
        <w:tc>
          <w:tcPr>
            <w:tcW w:w="2374" w:type="dxa"/>
            <w:gridSpan w:val="3"/>
            <w:tcBorders>
              <w:left w:val="single" w:sz="6" w:space="0" w:color="000000"/>
              <w:bottom w:val="single" w:sz="6" w:space="0" w:color="000000"/>
              <w:right w:val="single" w:sz="6" w:space="0" w:color="000000"/>
            </w:tcBorders>
          </w:tcPr>
          <w:p>
            <w:pPr>
              <w:pStyle w:val="TableParagraph"/>
              <w:spacing w:before="41"/>
              <w:ind w:left="474"/>
              <w:rPr>
                <w:rFonts w:ascii="黑体" w:eastAsia="黑体" w:hint="eastAsia"/>
                <w:sz w:val="18"/>
              </w:rPr>
            </w:pPr>
            <w:r>
              <w:rPr>
                <w:rFonts w:ascii="黑体" w:eastAsia="黑体" w:hint="eastAsia"/>
                <w:sz w:val="18"/>
              </w:rPr>
              <w:t>基础服务（公厕）</w:t>
            </w:r>
          </w:p>
        </w:tc>
        <w:tc>
          <w:tcPr>
            <w:tcW w:w="2910" w:type="dxa"/>
            <w:gridSpan w:val="3"/>
            <w:tcBorders>
              <w:left w:val="single" w:sz="6" w:space="0" w:color="000000"/>
              <w:bottom w:val="single" w:sz="6" w:space="0" w:color="000000"/>
              <w:right w:val="single" w:sz="6" w:space="0" w:color="000000"/>
            </w:tcBorders>
          </w:tcPr>
          <w:p>
            <w:pPr>
              <w:pStyle w:val="TableParagraph"/>
              <w:spacing w:before="41"/>
              <w:ind w:left="1082" w:right="1052"/>
              <w:jc w:val="center"/>
              <w:rPr>
                <w:rFonts w:ascii="黑体" w:eastAsia="黑体" w:hint="eastAsia"/>
                <w:sz w:val="18"/>
              </w:rPr>
            </w:pPr>
            <w:r>
              <w:rPr>
                <w:rFonts w:ascii="黑体" w:eastAsia="黑体" w:hint="eastAsia"/>
                <w:sz w:val="18"/>
              </w:rPr>
              <w:t>便民服务</w:t>
            </w:r>
          </w:p>
        </w:tc>
        <w:tc>
          <w:tcPr>
            <w:tcW w:w="1582" w:type="dxa"/>
            <w:gridSpan w:val="2"/>
            <w:tcBorders>
              <w:left w:val="single" w:sz="6" w:space="0" w:color="000000"/>
              <w:bottom w:val="single" w:sz="6" w:space="0" w:color="000000"/>
              <w:right w:val="single" w:sz="6" w:space="0" w:color="000000"/>
            </w:tcBorders>
          </w:tcPr>
          <w:p>
            <w:pPr>
              <w:pStyle w:val="TableParagraph"/>
              <w:spacing w:before="41"/>
              <w:ind w:left="438"/>
              <w:rPr>
                <w:rFonts w:ascii="黑体" w:eastAsia="黑体" w:hint="eastAsia"/>
                <w:sz w:val="18"/>
              </w:rPr>
            </w:pPr>
            <w:r>
              <w:rPr>
                <w:rFonts w:ascii="黑体" w:eastAsia="黑体" w:hint="eastAsia"/>
                <w:sz w:val="18"/>
              </w:rPr>
              <w:t>附加服务</w:t>
            </w:r>
          </w:p>
        </w:tc>
        <w:tc>
          <w:tcPr>
            <w:tcW w:w="802" w:type="dxa"/>
            <w:vMerge w:val="restart"/>
            <w:tcBorders>
              <w:left w:val="single" w:sz="6" w:space="0" w:color="000000"/>
              <w:bottom w:val="single" w:sz="6" w:space="0" w:color="000000"/>
            </w:tcBorders>
          </w:tcPr>
          <w:p>
            <w:pPr>
              <w:pStyle w:val="TableParagraph"/>
              <w:spacing w:before="12"/>
              <w:rPr>
                <w:rFonts w:ascii="黑体"/>
                <w:sz w:val="15"/>
              </w:rPr>
            </w:pPr>
          </w:p>
          <w:p>
            <w:pPr>
              <w:pStyle w:val="TableParagraph"/>
              <w:ind w:left="138"/>
              <w:rPr>
                <w:rFonts w:ascii="黑体" w:eastAsia="黑体" w:hint="eastAsia"/>
                <w:sz w:val="18"/>
              </w:rPr>
            </w:pPr>
            <w:r>
              <w:rPr>
                <w:rFonts w:ascii="黑体" w:eastAsia="黑体" w:hint="eastAsia"/>
                <w:sz w:val="18"/>
              </w:rPr>
              <w:t>总面积</w:t>
            </w:r>
          </w:p>
        </w:tc>
      </w:tr>
      <w:tr>
        <w:tblPrEx>
          <w:tblW w:w="0" w:type="auto"/>
          <w:jc w:val="left"/>
          <w:tblInd w:w="324" w:type="dxa"/>
          <w:tblLayout w:type="fixed"/>
          <w:tblCellMar>
            <w:top w:w="0" w:type="dxa"/>
            <w:left w:w="0" w:type="dxa"/>
            <w:bottom w:w="0" w:type="dxa"/>
            <w:right w:w="0" w:type="dxa"/>
          </w:tblCellMar>
          <w:tblLook w:val="01E0"/>
        </w:tblPrEx>
        <w:trPr>
          <w:trHeight w:val="312"/>
          <w:jc w:val="left"/>
        </w:trPr>
        <w:tc>
          <w:tcPr>
            <w:tcW w:w="1111" w:type="dxa"/>
            <w:vMerge/>
            <w:tcBorders>
              <w:top w:val="nil"/>
              <w:bottom w:val="single" w:sz="6" w:space="0" w:color="000000"/>
              <w:right w:val="single" w:sz="6" w:space="0" w:color="000000"/>
            </w:tcBorders>
          </w:tcPr>
          <w:p>
            <w:pPr>
              <w:rPr>
                <w:sz w:val="2"/>
                <w:szCs w:val="2"/>
              </w:rPr>
            </w:pPr>
          </w:p>
        </w:tc>
        <w:tc>
          <w:tcPr>
            <w:tcW w:w="787" w:type="dxa"/>
            <w:tcBorders>
              <w:top w:val="single" w:sz="6" w:space="0" w:color="000000"/>
              <w:left w:val="single" w:sz="6" w:space="0" w:color="000000"/>
              <w:bottom w:val="single" w:sz="6" w:space="0" w:color="000000"/>
              <w:right w:val="single" w:sz="6" w:space="0" w:color="000000"/>
            </w:tcBorders>
          </w:tcPr>
          <w:p>
            <w:pPr>
              <w:pStyle w:val="TableParagraph"/>
              <w:spacing w:before="40"/>
              <w:ind w:left="219"/>
              <w:rPr>
                <w:rFonts w:ascii="黑体" w:eastAsia="黑体" w:hint="eastAsia"/>
                <w:sz w:val="18"/>
              </w:rPr>
            </w:pPr>
            <w:r>
              <w:rPr>
                <w:rFonts w:ascii="黑体" w:eastAsia="黑体" w:hint="eastAsia"/>
                <w:sz w:val="18"/>
              </w:rPr>
              <w:t>功能</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spacing w:before="40"/>
              <w:ind w:left="222"/>
              <w:rPr>
                <w:rFonts w:ascii="黑体" w:eastAsia="黑体" w:hint="eastAsia"/>
                <w:sz w:val="18"/>
              </w:rPr>
            </w:pPr>
            <w:r>
              <w:rPr>
                <w:rFonts w:ascii="黑体" w:eastAsia="黑体" w:hint="eastAsia"/>
                <w:sz w:val="18"/>
              </w:rPr>
              <w:t>设备</w:t>
            </w:r>
          </w:p>
        </w:tc>
        <w:tc>
          <w:tcPr>
            <w:tcW w:w="795" w:type="dxa"/>
            <w:tcBorders>
              <w:top w:val="single" w:sz="6" w:space="0" w:color="000000"/>
              <w:left w:val="single" w:sz="6" w:space="0" w:color="000000"/>
              <w:bottom w:val="single" w:sz="6" w:space="0" w:color="000000"/>
              <w:right w:val="single" w:sz="6" w:space="0" w:color="000000"/>
            </w:tcBorders>
          </w:tcPr>
          <w:p>
            <w:pPr>
              <w:pStyle w:val="TableParagraph"/>
              <w:spacing w:before="40"/>
              <w:ind w:left="224"/>
              <w:rPr>
                <w:rFonts w:ascii="黑体" w:eastAsia="黑体" w:hint="eastAsia"/>
                <w:sz w:val="18"/>
              </w:rPr>
            </w:pPr>
            <w:r>
              <w:rPr>
                <w:rFonts w:ascii="黑体" w:eastAsia="黑体" w:hint="eastAsia"/>
                <w:sz w:val="18"/>
              </w:rPr>
              <w:t>面积</w:t>
            </w:r>
          </w:p>
        </w:tc>
        <w:tc>
          <w:tcPr>
            <w:tcW w:w="1326" w:type="dxa"/>
            <w:tcBorders>
              <w:top w:val="single" w:sz="6" w:space="0" w:color="000000"/>
              <w:left w:val="single" w:sz="6" w:space="0" w:color="000000"/>
              <w:bottom w:val="single" w:sz="6" w:space="0" w:color="000000"/>
              <w:right w:val="single" w:sz="6" w:space="0" w:color="000000"/>
            </w:tcBorders>
          </w:tcPr>
          <w:p>
            <w:pPr>
              <w:pStyle w:val="TableParagraph"/>
              <w:spacing w:before="40"/>
              <w:ind w:left="128" w:right="98"/>
              <w:jc w:val="center"/>
              <w:rPr>
                <w:rFonts w:ascii="黑体" w:eastAsia="黑体" w:hint="eastAsia"/>
                <w:sz w:val="18"/>
              </w:rPr>
            </w:pPr>
            <w:r>
              <w:rPr>
                <w:rFonts w:ascii="黑体" w:eastAsia="黑体" w:hint="eastAsia"/>
                <w:sz w:val="18"/>
              </w:rPr>
              <w:t>功能</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spacing w:before="40"/>
              <w:ind w:left="222"/>
              <w:rPr>
                <w:rFonts w:ascii="黑体" w:eastAsia="黑体" w:hint="eastAsia"/>
                <w:sz w:val="18"/>
              </w:rPr>
            </w:pPr>
            <w:r>
              <w:rPr>
                <w:rFonts w:ascii="黑体" w:eastAsia="黑体" w:hint="eastAsia"/>
                <w:sz w:val="18"/>
              </w:rPr>
              <w:t>设备</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spacing w:before="40"/>
              <w:ind w:left="222"/>
              <w:rPr>
                <w:rFonts w:ascii="黑体" w:eastAsia="黑体" w:hint="eastAsia"/>
                <w:sz w:val="18"/>
              </w:rPr>
            </w:pPr>
            <w:r>
              <w:rPr>
                <w:rFonts w:ascii="黑体" w:eastAsia="黑体" w:hint="eastAsia"/>
                <w:sz w:val="18"/>
              </w:rPr>
              <w:t>面积</w:t>
            </w:r>
          </w:p>
        </w:tc>
        <w:tc>
          <w:tcPr>
            <w:tcW w:w="790" w:type="dxa"/>
            <w:tcBorders>
              <w:top w:val="single" w:sz="6" w:space="0" w:color="000000"/>
              <w:left w:val="single" w:sz="6" w:space="0" w:color="000000"/>
              <w:bottom w:val="single" w:sz="6" w:space="0" w:color="000000"/>
              <w:right w:val="single" w:sz="6" w:space="0" w:color="000000"/>
            </w:tcBorders>
          </w:tcPr>
          <w:p>
            <w:pPr>
              <w:pStyle w:val="TableParagraph"/>
              <w:spacing w:before="40"/>
              <w:ind w:left="202" w:right="172"/>
              <w:jc w:val="center"/>
              <w:rPr>
                <w:rFonts w:ascii="黑体" w:eastAsia="黑体" w:hint="eastAsia"/>
                <w:sz w:val="18"/>
              </w:rPr>
            </w:pPr>
            <w:r>
              <w:rPr>
                <w:rFonts w:ascii="黑体" w:eastAsia="黑体" w:hint="eastAsia"/>
                <w:sz w:val="18"/>
              </w:rPr>
              <w:t>功能</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spacing w:before="40"/>
              <w:ind w:left="129" w:right="101"/>
              <w:jc w:val="center"/>
              <w:rPr>
                <w:rFonts w:ascii="黑体" w:eastAsia="黑体" w:hint="eastAsia"/>
                <w:sz w:val="18"/>
              </w:rPr>
            </w:pPr>
            <w:r>
              <w:rPr>
                <w:rFonts w:ascii="黑体" w:eastAsia="黑体" w:hint="eastAsia"/>
                <w:sz w:val="18"/>
              </w:rPr>
              <w:t>设备</w:t>
            </w:r>
          </w:p>
        </w:tc>
        <w:tc>
          <w:tcPr>
            <w:tcW w:w="802" w:type="dxa"/>
            <w:vMerge/>
            <w:tcBorders>
              <w:top w:val="nil"/>
              <w:left w:val="single" w:sz="6" w:space="0" w:color="000000"/>
              <w:bottom w:val="single" w:sz="6" w:space="0" w:color="000000"/>
            </w:tcBorders>
          </w:tcPr>
          <w:p>
            <w:pPr>
              <w:rPr>
                <w:sz w:val="2"/>
                <w:szCs w:val="2"/>
              </w:rPr>
            </w:pPr>
          </w:p>
        </w:tc>
      </w:tr>
      <w:tr>
        <w:tblPrEx>
          <w:tblW w:w="0" w:type="auto"/>
          <w:jc w:val="left"/>
          <w:tblInd w:w="324" w:type="dxa"/>
          <w:tblLayout w:type="fixed"/>
          <w:tblCellMar>
            <w:top w:w="0" w:type="dxa"/>
            <w:left w:w="0" w:type="dxa"/>
            <w:bottom w:w="0" w:type="dxa"/>
            <w:right w:w="0" w:type="dxa"/>
          </w:tblCellMar>
          <w:tblLook w:val="01E0"/>
        </w:tblPrEx>
        <w:trPr>
          <w:trHeight w:val="1920"/>
          <w:jc w:val="left"/>
        </w:trPr>
        <w:tc>
          <w:tcPr>
            <w:tcW w:w="1111" w:type="dxa"/>
            <w:tcBorders>
              <w:top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9"/>
              <w:rPr>
                <w:rFonts w:ascii="黑体"/>
                <w:sz w:val="17"/>
              </w:rPr>
            </w:pPr>
          </w:p>
          <w:p>
            <w:pPr>
              <w:pStyle w:val="TableParagraph"/>
              <w:spacing w:line="324" w:lineRule="auto"/>
              <w:ind w:left="464" w:right="42" w:hanging="336"/>
              <w:rPr>
                <w:sz w:val="18"/>
              </w:rPr>
            </w:pPr>
            <w:r>
              <w:rPr>
                <w:sz w:val="18"/>
              </w:rPr>
              <w:t>A 类建宁驿站</w:t>
            </w:r>
          </w:p>
        </w:tc>
        <w:tc>
          <w:tcPr>
            <w:tcW w:w="787"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8"/>
              <w:rPr>
                <w:rFonts w:ascii="黑体"/>
                <w:sz w:val="21"/>
              </w:rPr>
            </w:pPr>
          </w:p>
          <w:p>
            <w:pPr>
              <w:pStyle w:val="TableParagraph"/>
              <w:spacing w:line="324" w:lineRule="auto"/>
              <w:ind w:left="130" w:right="99" w:hanging="3"/>
              <w:jc w:val="center"/>
              <w:rPr>
                <w:sz w:val="18"/>
              </w:rPr>
            </w:pPr>
            <w:r>
              <w:rPr>
                <w:sz w:val="18"/>
              </w:rPr>
              <w:t xml:space="preserve">卫生 </w:t>
            </w:r>
            <w:r>
              <w:rPr>
                <w:spacing w:val="-6"/>
                <w:sz w:val="18"/>
              </w:rPr>
              <w:t>间、第三卫生间、管理间、</w:t>
            </w:r>
            <w:r>
              <w:rPr>
                <w:sz w:val="18"/>
              </w:rPr>
              <w:t xml:space="preserve">工具 </w:t>
            </w:r>
            <w:r>
              <w:rPr>
                <w:spacing w:val="-6"/>
                <w:sz w:val="18"/>
              </w:rPr>
              <w:t>间、无障碍设</w:t>
            </w:r>
            <w:r>
              <w:rPr>
                <w:sz w:val="18"/>
              </w:rPr>
              <w:t>施等</w:t>
            </w:r>
          </w:p>
        </w:tc>
        <w:tc>
          <w:tcPr>
            <w:tcW w:w="792"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35" w:line="324" w:lineRule="auto"/>
              <w:ind w:left="133" w:right="101"/>
              <w:jc w:val="center"/>
              <w:rPr>
                <w:sz w:val="18"/>
              </w:rPr>
            </w:pPr>
            <w:r>
              <w:rPr>
                <w:spacing w:val="-6"/>
                <w:sz w:val="18"/>
              </w:rPr>
              <w:t>卫生基础功能设备、通风排气、除臭、防火防潮防霉、保湿防</w:t>
            </w:r>
            <w:r>
              <w:rPr>
                <w:sz w:val="18"/>
              </w:rPr>
              <w:t xml:space="preserve">寒设 </w:t>
            </w:r>
            <w:r>
              <w:rPr>
                <w:spacing w:val="-6"/>
                <w:sz w:val="18"/>
              </w:rPr>
              <w:t>备、智能化管理系统</w:t>
            </w:r>
            <w:r>
              <w:rPr>
                <w:sz w:val="18"/>
              </w:rPr>
              <w:t>等</w:t>
            </w:r>
          </w:p>
        </w:tc>
        <w:tc>
          <w:tcPr>
            <w:tcW w:w="795"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6"/>
              <w:rPr>
                <w:rFonts w:ascii="黑体"/>
                <w:sz w:val="23"/>
              </w:rPr>
            </w:pPr>
          </w:p>
          <w:p>
            <w:pPr>
              <w:pStyle w:val="TableParagraph"/>
              <w:ind w:left="224"/>
              <w:rPr>
                <w:sz w:val="18"/>
              </w:rPr>
            </w:pPr>
            <w:r>
              <w:rPr>
                <w:sz w:val="18"/>
              </w:rPr>
              <w:t>40～</w:t>
            </w:r>
          </w:p>
          <w:p>
            <w:pPr>
              <w:pStyle w:val="TableParagraph"/>
              <w:spacing w:before="147" w:line="104" w:lineRule="exact"/>
              <w:ind w:right="163"/>
              <w:jc w:val="right"/>
              <w:rPr>
                <w:sz w:val="16"/>
              </w:rPr>
            </w:pPr>
            <w:r>
              <w:rPr>
                <w:w w:val="100"/>
                <w:sz w:val="16"/>
              </w:rPr>
              <w:t>2</w:t>
            </w:r>
          </w:p>
          <w:p>
            <w:pPr>
              <w:pStyle w:val="TableParagraph"/>
              <w:spacing w:line="309" w:lineRule="exact"/>
              <w:ind w:left="193"/>
              <w:rPr>
                <w:sz w:val="32"/>
              </w:rPr>
            </w:pPr>
            <w:r>
              <w:rPr>
                <w:sz w:val="18"/>
              </w:rPr>
              <w:t>50</w:t>
            </w:r>
            <w:r>
              <w:rPr>
                <w:sz w:val="32"/>
              </w:rPr>
              <w:t>m</w:t>
            </w:r>
          </w:p>
        </w:tc>
        <w:tc>
          <w:tcPr>
            <w:tcW w:w="1326"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28" w:line="324" w:lineRule="auto"/>
              <w:ind w:left="130" w:right="98"/>
              <w:jc w:val="center"/>
              <w:rPr>
                <w:sz w:val="18"/>
              </w:rPr>
            </w:pPr>
            <w:r>
              <w:rPr>
                <w:sz w:val="18"/>
              </w:rPr>
              <w:t>户外劳动者港湾、城管执法岗亭、青年之家、走失老人临时联络站、图书漂流角、宣传栏</w:t>
            </w:r>
          </w:p>
        </w:tc>
        <w:tc>
          <w:tcPr>
            <w:tcW w:w="792"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40" w:line="324" w:lineRule="auto"/>
              <w:ind w:left="131" w:right="103"/>
              <w:jc w:val="center"/>
              <w:rPr>
                <w:sz w:val="18"/>
              </w:rPr>
            </w:pPr>
            <w:r>
              <w:rPr>
                <w:spacing w:val="-6"/>
                <w:sz w:val="18"/>
              </w:rPr>
              <w:t>直饮水机、急救医药箱、无线网络</w:t>
            </w:r>
            <w:r>
              <w:rPr>
                <w:sz w:val="18"/>
              </w:rPr>
              <w:t xml:space="preserve">路由 </w:t>
            </w:r>
            <w:r>
              <w:rPr>
                <w:spacing w:val="-6"/>
                <w:sz w:val="18"/>
              </w:rPr>
              <w:t>器、充电宝、共享雨伞、称重仪、</w:t>
            </w:r>
          </w:p>
          <w:p>
            <w:pPr>
              <w:pStyle w:val="TableParagraph"/>
              <w:spacing w:before="7"/>
              <w:ind w:left="111" w:right="85"/>
              <w:jc w:val="center"/>
              <w:rPr>
                <w:sz w:val="18"/>
              </w:rPr>
            </w:pPr>
            <w:r>
              <w:rPr>
                <w:sz w:val="18"/>
              </w:rPr>
              <w:t>擦鞋机</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6"/>
              <w:rPr>
                <w:rFonts w:ascii="黑体"/>
                <w:sz w:val="23"/>
              </w:rPr>
            </w:pPr>
          </w:p>
          <w:p>
            <w:pPr>
              <w:pStyle w:val="TableParagraph"/>
              <w:ind w:left="222"/>
              <w:rPr>
                <w:sz w:val="18"/>
              </w:rPr>
            </w:pPr>
            <w:r>
              <w:rPr>
                <w:sz w:val="18"/>
              </w:rPr>
              <w:t>大于</w:t>
            </w:r>
          </w:p>
          <w:p>
            <w:pPr>
              <w:pStyle w:val="TableParagraph"/>
              <w:spacing w:before="147" w:line="104" w:lineRule="exact"/>
              <w:ind w:right="163"/>
              <w:jc w:val="right"/>
              <w:rPr>
                <w:sz w:val="16"/>
              </w:rPr>
            </w:pPr>
            <w:r>
              <w:rPr>
                <w:w w:val="100"/>
                <w:sz w:val="16"/>
              </w:rPr>
              <w:t>2</w:t>
            </w:r>
          </w:p>
          <w:p>
            <w:pPr>
              <w:pStyle w:val="TableParagraph"/>
              <w:spacing w:line="309" w:lineRule="exact"/>
              <w:ind w:left="191"/>
              <w:rPr>
                <w:sz w:val="32"/>
              </w:rPr>
            </w:pPr>
            <w:r>
              <w:rPr>
                <w:sz w:val="18"/>
              </w:rPr>
              <w:t>50</w:t>
            </w:r>
            <w:r>
              <w:rPr>
                <w:sz w:val="32"/>
              </w:rPr>
              <w:t>m</w:t>
            </w:r>
          </w:p>
        </w:tc>
        <w:tc>
          <w:tcPr>
            <w:tcW w:w="790"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1"/>
              <w:rPr>
                <w:rFonts w:ascii="黑体"/>
                <w:sz w:val="16"/>
              </w:rPr>
            </w:pPr>
          </w:p>
          <w:p>
            <w:pPr>
              <w:pStyle w:val="TableParagraph"/>
              <w:spacing w:line="324" w:lineRule="auto"/>
              <w:ind w:left="131" w:right="101"/>
              <w:rPr>
                <w:sz w:val="18"/>
              </w:rPr>
            </w:pPr>
            <w:r>
              <w:rPr>
                <w:sz w:val="18"/>
              </w:rPr>
              <w:t>选配商业功能</w:t>
            </w:r>
          </w:p>
        </w:tc>
        <w:tc>
          <w:tcPr>
            <w:tcW w:w="792" w:type="dxa"/>
            <w:vMerge w:val="restart"/>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1"/>
              <w:rPr>
                <w:rFonts w:ascii="黑体"/>
                <w:sz w:val="16"/>
              </w:rPr>
            </w:pPr>
          </w:p>
          <w:p>
            <w:pPr>
              <w:pStyle w:val="TableParagraph"/>
              <w:spacing w:line="324" w:lineRule="auto"/>
              <w:ind w:left="133" w:right="101"/>
              <w:rPr>
                <w:sz w:val="18"/>
              </w:rPr>
            </w:pPr>
            <w:r>
              <w:rPr>
                <w:sz w:val="18"/>
              </w:rPr>
              <w:t>选配配套设备</w:t>
            </w:r>
          </w:p>
        </w:tc>
        <w:tc>
          <w:tcPr>
            <w:tcW w:w="802" w:type="dxa"/>
            <w:tcBorders>
              <w:top w:val="single" w:sz="6" w:space="0" w:color="000000"/>
              <w:left w:val="single" w:sz="6" w:space="0" w:color="000000"/>
              <w:bottom w:val="single" w:sz="6" w:space="0" w:color="000000"/>
            </w:tcBorders>
          </w:tcPr>
          <w:p>
            <w:pPr>
              <w:pStyle w:val="TableParagraph"/>
              <w:rPr>
                <w:rFonts w:ascii="黑体"/>
                <w:sz w:val="18"/>
              </w:rPr>
            </w:pPr>
          </w:p>
          <w:p>
            <w:pPr>
              <w:pStyle w:val="TableParagraph"/>
              <w:spacing w:before="6"/>
              <w:rPr>
                <w:rFonts w:ascii="黑体"/>
                <w:sz w:val="23"/>
              </w:rPr>
            </w:pPr>
          </w:p>
          <w:p>
            <w:pPr>
              <w:pStyle w:val="TableParagraph"/>
              <w:ind w:left="227"/>
              <w:rPr>
                <w:sz w:val="18"/>
              </w:rPr>
            </w:pPr>
            <w:r>
              <w:rPr>
                <w:sz w:val="18"/>
              </w:rPr>
              <w:t>80～</w:t>
            </w:r>
          </w:p>
          <w:p>
            <w:pPr>
              <w:pStyle w:val="TableParagraph"/>
              <w:spacing w:before="147" w:line="104" w:lineRule="exact"/>
              <w:ind w:right="114"/>
              <w:jc w:val="right"/>
              <w:rPr>
                <w:sz w:val="16"/>
              </w:rPr>
            </w:pPr>
            <w:r>
              <w:rPr>
                <w:w w:val="100"/>
                <w:sz w:val="16"/>
              </w:rPr>
              <w:t>2</w:t>
            </w:r>
          </w:p>
          <w:p>
            <w:pPr>
              <w:pStyle w:val="TableParagraph"/>
              <w:spacing w:line="309" w:lineRule="exact"/>
              <w:ind w:left="152"/>
              <w:rPr>
                <w:sz w:val="32"/>
              </w:rPr>
            </w:pPr>
            <w:r>
              <w:rPr>
                <w:sz w:val="18"/>
              </w:rPr>
              <w:t>100</w:t>
            </w:r>
            <w:r>
              <w:rPr>
                <w:sz w:val="32"/>
              </w:rPr>
              <w:t>m</w:t>
            </w:r>
          </w:p>
        </w:tc>
      </w:tr>
      <w:tr>
        <w:tblPrEx>
          <w:tblW w:w="0" w:type="auto"/>
          <w:jc w:val="left"/>
          <w:tblInd w:w="324" w:type="dxa"/>
          <w:tblLayout w:type="fixed"/>
          <w:tblCellMar>
            <w:top w:w="0" w:type="dxa"/>
            <w:left w:w="0" w:type="dxa"/>
            <w:bottom w:w="0" w:type="dxa"/>
            <w:right w:w="0" w:type="dxa"/>
          </w:tblCellMar>
          <w:tblLook w:val="01E0"/>
        </w:tblPrEx>
        <w:trPr>
          <w:trHeight w:val="1808"/>
          <w:jc w:val="left"/>
        </w:trPr>
        <w:tc>
          <w:tcPr>
            <w:tcW w:w="1111" w:type="dxa"/>
            <w:tcBorders>
              <w:top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4"/>
              <w:rPr>
                <w:rFonts w:ascii="黑体"/>
                <w:sz w:val="13"/>
              </w:rPr>
            </w:pPr>
          </w:p>
          <w:p>
            <w:pPr>
              <w:pStyle w:val="TableParagraph"/>
              <w:spacing w:line="324" w:lineRule="auto"/>
              <w:ind w:left="464" w:right="42" w:hanging="336"/>
              <w:rPr>
                <w:sz w:val="18"/>
              </w:rPr>
            </w:pPr>
            <w:r>
              <w:rPr>
                <w:sz w:val="18"/>
              </w:rPr>
              <w:t>B 类建宁驿站</w:t>
            </w:r>
          </w:p>
        </w:tc>
        <w:tc>
          <w:tcPr>
            <w:tcW w:w="787" w:type="dxa"/>
            <w:vMerge/>
            <w:tcBorders>
              <w:top w:val="nil"/>
              <w:left w:val="single" w:sz="6" w:space="0" w:color="000000"/>
              <w:bottom w:val="single" w:sz="6" w:space="0" w:color="000000"/>
              <w:right w:val="single" w:sz="6" w:space="0" w:color="000000"/>
            </w:tcBorders>
          </w:tcPr>
          <w:p>
            <w:pPr>
              <w:rPr>
                <w:sz w:val="2"/>
                <w:szCs w:val="2"/>
              </w:rPr>
            </w:pPr>
          </w:p>
        </w:tc>
        <w:tc>
          <w:tcPr>
            <w:tcW w:w="792" w:type="dxa"/>
            <w:vMerge/>
            <w:tcBorders>
              <w:top w:val="nil"/>
              <w:left w:val="single" w:sz="6" w:space="0" w:color="000000"/>
              <w:bottom w:val="single" w:sz="6" w:space="0" w:color="000000"/>
              <w:right w:val="single" w:sz="6" w:space="0" w:color="000000"/>
            </w:tcBorders>
          </w:tcPr>
          <w:p>
            <w:pPr>
              <w:rPr>
                <w:sz w:val="2"/>
                <w:szCs w:val="2"/>
              </w:rPr>
            </w:pPr>
          </w:p>
        </w:tc>
        <w:tc>
          <w:tcPr>
            <w:tcW w:w="795"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2"/>
              <w:rPr>
                <w:rFonts w:ascii="黑体"/>
                <w:sz w:val="19"/>
              </w:rPr>
            </w:pPr>
          </w:p>
          <w:p>
            <w:pPr>
              <w:pStyle w:val="TableParagraph"/>
              <w:ind w:left="224"/>
              <w:rPr>
                <w:sz w:val="18"/>
              </w:rPr>
            </w:pPr>
            <w:r>
              <w:rPr>
                <w:sz w:val="18"/>
              </w:rPr>
              <w:t>20～</w:t>
            </w:r>
          </w:p>
          <w:p>
            <w:pPr>
              <w:pStyle w:val="TableParagraph"/>
              <w:spacing w:before="147" w:line="104" w:lineRule="exact"/>
              <w:ind w:right="163"/>
              <w:jc w:val="right"/>
              <w:rPr>
                <w:sz w:val="16"/>
              </w:rPr>
            </w:pPr>
            <w:r>
              <w:rPr>
                <w:w w:val="100"/>
                <w:sz w:val="16"/>
              </w:rPr>
              <w:t>2</w:t>
            </w:r>
          </w:p>
          <w:p>
            <w:pPr>
              <w:pStyle w:val="TableParagraph"/>
              <w:spacing w:line="309" w:lineRule="exact"/>
              <w:ind w:left="193"/>
              <w:rPr>
                <w:sz w:val="32"/>
              </w:rPr>
            </w:pPr>
            <w:r>
              <w:rPr>
                <w:sz w:val="18"/>
              </w:rPr>
              <w:t>30</w:t>
            </w:r>
            <w:r>
              <w:rPr>
                <w:sz w:val="32"/>
              </w:rPr>
              <w:t>m</w:t>
            </w:r>
          </w:p>
        </w:tc>
        <w:tc>
          <w:tcPr>
            <w:tcW w:w="1326" w:type="dxa"/>
            <w:vMerge/>
            <w:tcBorders>
              <w:top w:val="nil"/>
              <w:left w:val="single" w:sz="6" w:space="0" w:color="000000"/>
              <w:bottom w:val="single" w:sz="6" w:space="0" w:color="000000"/>
              <w:right w:val="single" w:sz="6" w:space="0" w:color="000000"/>
            </w:tcBorders>
          </w:tcPr>
          <w:p>
            <w:pPr>
              <w:rPr>
                <w:sz w:val="2"/>
                <w:szCs w:val="2"/>
              </w:rPr>
            </w:pPr>
          </w:p>
        </w:tc>
        <w:tc>
          <w:tcPr>
            <w:tcW w:w="792" w:type="dxa"/>
            <w:vMerge/>
            <w:tcBorders>
              <w:top w:val="nil"/>
              <w:left w:val="single" w:sz="6" w:space="0" w:color="000000"/>
              <w:bottom w:val="single" w:sz="6" w:space="0" w:color="000000"/>
              <w:right w:val="single" w:sz="6" w:space="0" w:color="000000"/>
            </w:tcBorders>
          </w:tcPr>
          <w:p>
            <w:pPr>
              <w:rPr>
                <w:sz w:val="2"/>
                <w:szCs w:val="2"/>
              </w:rPr>
            </w:pPr>
          </w:p>
        </w:tc>
        <w:tc>
          <w:tcPr>
            <w:tcW w:w="792"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spacing w:before="2"/>
              <w:rPr>
                <w:rFonts w:ascii="黑体"/>
                <w:sz w:val="19"/>
              </w:rPr>
            </w:pPr>
          </w:p>
          <w:p>
            <w:pPr>
              <w:pStyle w:val="TableParagraph"/>
              <w:ind w:left="222"/>
              <w:rPr>
                <w:sz w:val="18"/>
              </w:rPr>
            </w:pPr>
            <w:r>
              <w:rPr>
                <w:sz w:val="18"/>
              </w:rPr>
              <w:t>大于</w:t>
            </w:r>
          </w:p>
          <w:p>
            <w:pPr>
              <w:pStyle w:val="TableParagraph"/>
              <w:spacing w:before="147" w:line="104" w:lineRule="exact"/>
              <w:ind w:right="163"/>
              <w:jc w:val="right"/>
              <w:rPr>
                <w:sz w:val="16"/>
              </w:rPr>
            </w:pPr>
            <w:r>
              <w:rPr>
                <w:w w:val="100"/>
                <w:sz w:val="16"/>
              </w:rPr>
              <w:t>2</w:t>
            </w:r>
          </w:p>
          <w:p>
            <w:pPr>
              <w:pStyle w:val="TableParagraph"/>
              <w:spacing w:line="309" w:lineRule="exact"/>
              <w:ind w:left="191"/>
              <w:rPr>
                <w:sz w:val="32"/>
              </w:rPr>
            </w:pPr>
            <w:r>
              <w:rPr>
                <w:sz w:val="18"/>
              </w:rPr>
              <w:t>30</w:t>
            </w:r>
            <w:r>
              <w:rPr>
                <w:sz w:val="32"/>
              </w:rPr>
              <w:t>m</w:t>
            </w:r>
          </w:p>
        </w:tc>
        <w:tc>
          <w:tcPr>
            <w:tcW w:w="790" w:type="dxa"/>
            <w:vMerge/>
            <w:tcBorders>
              <w:top w:val="nil"/>
              <w:left w:val="single" w:sz="6" w:space="0" w:color="000000"/>
              <w:bottom w:val="single" w:sz="6" w:space="0" w:color="000000"/>
              <w:right w:val="single" w:sz="6" w:space="0" w:color="000000"/>
            </w:tcBorders>
          </w:tcPr>
          <w:p>
            <w:pPr>
              <w:rPr>
                <w:sz w:val="2"/>
                <w:szCs w:val="2"/>
              </w:rPr>
            </w:pPr>
          </w:p>
        </w:tc>
        <w:tc>
          <w:tcPr>
            <w:tcW w:w="792" w:type="dxa"/>
            <w:vMerge/>
            <w:tcBorders>
              <w:top w:val="nil"/>
              <w:left w:val="single" w:sz="6" w:space="0" w:color="000000"/>
              <w:bottom w:val="single" w:sz="6" w:space="0" w:color="000000"/>
              <w:right w:val="single" w:sz="6" w:space="0" w:color="000000"/>
            </w:tcBorders>
          </w:tcPr>
          <w:p>
            <w:pPr>
              <w:rPr>
                <w:sz w:val="2"/>
                <w:szCs w:val="2"/>
              </w:rPr>
            </w:pPr>
          </w:p>
        </w:tc>
        <w:tc>
          <w:tcPr>
            <w:tcW w:w="802" w:type="dxa"/>
            <w:tcBorders>
              <w:top w:val="single" w:sz="6" w:space="0" w:color="000000"/>
              <w:left w:val="single" w:sz="6" w:space="0" w:color="000000"/>
              <w:bottom w:val="single" w:sz="6" w:space="0" w:color="000000"/>
            </w:tcBorders>
          </w:tcPr>
          <w:p>
            <w:pPr>
              <w:pStyle w:val="TableParagraph"/>
              <w:rPr>
                <w:rFonts w:ascii="黑体"/>
                <w:sz w:val="18"/>
              </w:rPr>
            </w:pPr>
          </w:p>
          <w:p>
            <w:pPr>
              <w:pStyle w:val="TableParagraph"/>
              <w:spacing w:before="2"/>
              <w:rPr>
                <w:rFonts w:ascii="黑体"/>
                <w:sz w:val="19"/>
              </w:rPr>
            </w:pPr>
          </w:p>
          <w:p>
            <w:pPr>
              <w:pStyle w:val="TableParagraph"/>
              <w:ind w:left="227"/>
              <w:rPr>
                <w:sz w:val="18"/>
              </w:rPr>
            </w:pPr>
            <w:r>
              <w:rPr>
                <w:sz w:val="18"/>
              </w:rPr>
              <w:t>60～</w:t>
            </w:r>
          </w:p>
          <w:p>
            <w:pPr>
              <w:pStyle w:val="TableParagraph"/>
              <w:spacing w:before="147" w:line="104" w:lineRule="exact"/>
              <w:ind w:right="160"/>
              <w:jc w:val="right"/>
              <w:rPr>
                <w:sz w:val="16"/>
              </w:rPr>
            </w:pPr>
            <w:r>
              <w:rPr>
                <w:w w:val="100"/>
                <w:sz w:val="16"/>
              </w:rPr>
              <w:t>2</w:t>
            </w:r>
          </w:p>
          <w:p>
            <w:pPr>
              <w:pStyle w:val="TableParagraph"/>
              <w:spacing w:line="309" w:lineRule="exact"/>
              <w:ind w:left="198"/>
              <w:rPr>
                <w:sz w:val="32"/>
              </w:rPr>
            </w:pPr>
            <w:r>
              <w:rPr>
                <w:sz w:val="18"/>
              </w:rPr>
              <w:t>80</w:t>
            </w:r>
            <w:r>
              <w:rPr>
                <w:sz w:val="32"/>
              </w:rPr>
              <w:t>m</w:t>
            </w:r>
          </w:p>
        </w:tc>
      </w:tr>
      <w:tr>
        <w:tblPrEx>
          <w:tblW w:w="0" w:type="auto"/>
          <w:jc w:val="left"/>
          <w:tblInd w:w="324" w:type="dxa"/>
          <w:tblLayout w:type="fixed"/>
          <w:tblCellMar>
            <w:top w:w="0" w:type="dxa"/>
            <w:left w:w="0" w:type="dxa"/>
            <w:bottom w:w="0" w:type="dxa"/>
            <w:right w:w="0" w:type="dxa"/>
          </w:tblCellMar>
          <w:tblLook w:val="01E0"/>
        </w:tblPrEx>
        <w:trPr>
          <w:trHeight w:val="2184"/>
          <w:jc w:val="left"/>
        </w:trPr>
        <w:tc>
          <w:tcPr>
            <w:tcW w:w="1111" w:type="dxa"/>
            <w:tcBorders>
              <w:top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130" w:line="324" w:lineRule="auto"/>
              <w:ind w:left="464" w:right="42" w:hanging="336"/>
              <w:rPr>
                <w:sz w:val="18"/>
              </w:rPr>
            </w:pPr>
            <w:r>
              <w:rPr>
                <w:sz w:val="18"/>
              </w:rPr>
              <w:t>C 类建宁驿站</w:t>
            </w:r>
          </w:p>
        </w:tc>
        <w:tc>
          <w:tcPr>
            <w:tcW w:w="787" w:type="dxa"/>
            <w:tcBorders>
              <w:top w:val="single" w:sz="6" w:space="0" w:color="000000"/>
              <w:left w:val="single" w:sz="6" w:space="0" w:color="000000"/>
              <w:bottom w:val="single" w:sz="6" w:space="0" w:color="000000"/>
              <w:right w:val="single" w:sz="6" w:space="0" w:color="000000"/>
            </w:tcBorders>
          </w:tcPr>
          <w:p>
            <w:pPr>
              <w:pStyle w:val="TableParagraph"/>
              <w:spacing w:before="42" w:line="324" w:lineRule="auto"/>
              <w:ind w:left="130" w:right="99" w:hanging="3"/>
              <w:jc w:val="center"/>
              <w:rPr>
                <w:sz w:val="18"/>
              </w:rPr>
            </w:pPr>
            <w:r>
              <w:rPr>
                <w:sz w:val="18"/>
              </w:rPr>
              <w:t xml:space="preserve">卫生 </w:t>
            </w:r>
            <w:r>
              <w:rPr>
                <w:spacing w:val="-6"/>
                <w:sz w:val="18"/>
              </w:rPr>
              <w:t>间、管理间、</w:t>
            </w:r>
            <w:r>
              <w:rPr>
                <w:sz w:val="18"/>
              </w:rPr>
              <w:t xml:space="preserve">工具 </w:t>
            </w:r>
            <w:r>
              <w:rPr>
                <w:spacing w:val="-6"/>
                <w:sz w:val="18"/>
              </w:rPr>
              <w:t>间、无障碍设</w:t>
            </w:r>
          </w:p>
          <w:p>
            <w:pPr>
              <w:pStyle w:val="TableParagraph"/>
              <w:spacing w:before="4"/>
              <w:ind w:left="199" w:right="172"/>
              <w:jc w:val="center"/>
              <w:rPr>
                <w:sz w:val="18"/>
              </w:rPr>
            </w:pPr>
            <w:r>
              <w:rPr>
                <w:sz w:val="18"/>
              </w:rPr>
              <w:t>施等</w:t>
            </w:r>
          </w:p>
        </w:tc>
        <w:tc>
          <w:tcPr>
            <w:tcW w:w="792" w:type="dxa"/>
            <w:vMerge/>
            <w:tcBorders>
              <w:top w:val="nil"/>
              <w:left w:val="single" w:sz="6" w:space="0" w:color="000000"/>
              <w:bottom w:val="single" w:sz="6" w:space="0" w:color="000000"/>
              <w:right w:val="single" w:sz="6" w:space="0" w:color="000000"/>
            </w:tcBorders>
          </w:tcPr>
          <w:p>
            <w:pPr>
              <w:rPr>
                <w:sz w:val="2"/>
                <w:szCs w:val="2"/>
              </w:rPr>
            </w:pPr>
          </w:p>
        </w:tc>
        <w:tc>
          <w:tcPr>
            <w:tcW w:w="795"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2"/>
              <w:rPr>
                <w:rFonts w:ascii="黑体"/>
                <w:sz w:val="15"/>
              </w:rPr>
            </w:pPr>
          </w:p>
          <w:p>
            <w:pPr>
              <w:pStyle w:val="TableParagraph"/>
              <w:ind w:left="224"/>
              <w:rPr>
                <w:sz w:val="18"/>
              </w:rPr>
            </w:pPr>
            <w:r>
              <w:rPr>
                <w:sz w:val="18"/>
              </w:rPr>
              <w:t>10～</w:t>
            </w:r>
          </w:p>
          <w:p>
            <w:pPr>
              <w:pStyle w:val="TableParagraph"/>
              <w:spacing w:before="145" w:line="104" w:lineRule="exact"/>
              <w:ind w:right="163"/>
              <w:jc w:val="right"/>
              <w:rPr>
                <w:sz w:val="16"/>
              </w:rPr>
            </w:pPr>
            <w:r>
              <w:rPr>
                <w:w w:val="100"/>
                <w:sz w:val="16"/>
              </w:rPr>
              <w:t>2</w:t>
            </w:r>
          </w:p>
          <w:p>
            <w:pPr>
              <w:pStyle w:val="TableParagraph"/>
              <w:spacing w:line="309" w:lineRule="exact"/>
              <w:ind w:left="193"/>
              <w:rPr>
                <w:sz w:val="32"/>
              </w:rPr>
            </w:pPr>
            <w:r>
              <w:rPr>
                <w:sz w:val="18"/>
              </w:rPr>
              <w:t>15</w:t>
            </w:r>
            <w:r>
              <w:rPr>
                <w:sz w:val="32"/>
              </w:rPr>
              <w:t>m</w:t>
            </w:r>
          </w:p>
        </w:tc>
        <w:tc>
          <w:tcPr>
            <w:tcW w:w="2118"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4"/>
              <w:rPr>
                <w:rFonts w:ascii="黑体"/>
                <w:sz w:val="22"/>
              </w:rPr>
            </w:pPr>
          </w:p>
          <w:p>
            <w:pPr>
              <w:pStyle w:val="TableParagraph"/>
              <w:ind w:left="615"/>
              <w:rPr>
                <w:sz w:val="18"/>
              </w:rPr>
            </w:pPr>
            <w:r>
              <w:rPr>
                <w:sz w:val="18"/>
              </w:rPr>
              <w:t>休息等候区</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2"/>
              <w:rPr>
                <w:rFonts w:ascii="黑体"/>
                <w:sz w:val="15"/>
              </w:rPr>
            </w:pPr>
          </w:p>
          <w:p>
            <w:pPr>
              <w:pStyle w:val="TableParagraph"/>
              <w:ind w:left="222"/>
              <w:rPr>
                <w:sz w:val="18"/>
              </w:rPr>
            </w:pPr>
            <w:r>
              <w:rPr>
                <w:sz w:val="18"/>
              </w:rPr>
              <w:t>大于</w:t>
            </w:r>
          </w:p>
          <w:p>
            <w:pPr>
              <w:pStyle w:val="TableParagraph"/>
              <w:spacing w:before="145" w:line="104" w:lineRule="exact"/>
              <w:ind w:right="163"/>
              <w:jc w:val="right"/>
              <w:rPr>
                <w:sz w:val="16"/>
              </w:rPr>
            </w:pPr>
            <w:r>
              <w:rPr>
                <w:w w:val="100"/>
                <w:sz w:val="16"/>
              </w:rPr>
              <w:t>2</w:t>
            </w:r>
          </w:p>
          <w:p>
            <w:pPr>
              <w:pStyle w:val="TableParagraph"/>
              <w:spacing w:line="309" w:lineRule="exact"/>
              <w:ind w:left="191"/>
              <w:rPr>
                <w:sz w:val="32"/>
              </w:rPr>
            </w:pPr>
            <w:r>
              <w:rPr>
                <w:sz w:val="18"/>
              </w:rPr>
              <w:t>10</w:t>
            </w:r>
            <w:r>
              <w:rPr>
                <w:sz w:val="32"/>
              </w:rPr>
              <w:t>m</w:t>
            </w:r>
          </w:p>
        </w:tc>
        <w:tc>
          <w:tcPr>
            <w:tcW w:w="790"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4"/>
              <w:rPr>
                <w:rFonts w:ascii="黑体"/>
                <w:sz w:val="22"/>
              </w:rPr>
            </w:pPr>
          </w:p>
          <w:p>
            <w:pPr>
              <w:pStyle w:val="TableParagraph"/>
              <w:ind w:left="28"/>
              <w:jc w:val="center"/>
              <w:rPr>
                <w:sz w:val="18"/>
              </w:rPr>
            </w:pPr>
            <w:r>
              <w:rPr>
                <w:sz w:val="18"/>
              </w:rPr>
              <w:t>无</w:t>
            </w:r>
          </w:p>
        </w:tc>
        <w:tc>
          <w:tcPr>
            <w:tcW w:w="792" w:type="dxa"/>
            <w:tcBorders>
              <w:top w:val="single" w:sz="6" w:space="0" w:color="000000"/>
              <w:left w:val="single" w:sz="6" w:space="0" w:color="000000"/>
              <w:bottom w:val="single" w:sz="6" w:space="0" w:color="000000"/>
              <w:right w:val="single" w:sz="6" w:space="0" w:color="000000"/>
            </w:tcBorders>
          </w:tcPr>
          <w:p>
            <w:pPr>
              <w:pStyle w:val="TableParagraph"/>
              <w:rPr>
                <w:rFonts w:ascii="黑体"/>
                <w:sz w:val="18"/>
              </w:rPr>
            </w:pPr>
          </w:p>
          <w:p>
            <w:pPr>
              <w:pStyle w:val="TableParagraph"/>
              <w:rPr>
                <w:rFonts w:ascii="黑体"/>
                <w:sz w:val="18"/>
              </w:rPr>
            </w:pPr>
          </w:p>
          <w:p>
            <w:pPr>
              <w:pStyle w:val="TableParagraph"/>
              <w:rPr>
                <w:rFonts w:ascii="黑体"/>
                <w:sz w:val="18"/>
              </w:rPr>
            </w:pPr>
          </w:p>
          <w:p>
            <w:pPr>
              <w:pStyle w:val="TableParagraph"/>
              <w:spacing w:before="4"/>
              <w:rPr>
                <w:rFonts w:ascii="黑体"/>
                <w:sz w:val="22"/>
              </w:rPr>
            </w:pPr>
          </w:p>
          <w:p>
            <w:pPr>
              <w:pStyle w:val="TableParagraph"/>
              <w:ind w:left="30"/>
              <w:jc w:val="center"/>
              <w:rPr>
                <w:sz w:val="18"/>
              </w:rPr>
            </w:pPr>
            <w:r>
              <w:rPr>
                <w:sz w:val="18"/>
              </w:rPr>
              <w:t>无</w:t>
            </w:r>
          </w:p>
        </w:tc>
        <w:tc>
          <w:tcPr>
            <w:tcW w:w="802" w:type="dxa"/>
            <w:tcBorders>
              <w:top w:val="single" w:sz="6" w:space="0" w:color="000000"/>
              <w:left w:val="single" w:sz="6" w:space="0" w:color="000000"/>
              <w:bottom w:val="single" w:sz="6" w:space="0" w:color="000000"/>
            </w:tcBorders>
          </w:tcPr>
          <w:p>
            <w:pPr>
              <w:pStyle w:val="TableParagraph"/>
              <w:rPr>
                <w:rFonts w:ascii="黑体"/>
                <w:sz w:val="18"/>
              </w:rPr>
            </w:pPr>
          </w:p>
          <w:p>
            <w:pPr>
              <w:pStyle w:val="TableParagraph"/>
              <w:rPr>
                <w:rFonts w:ascii="黑体"/>
                <w:sz w:val="18"/>
              </w:rPr>
            </w:pPr>
          </w:p>
          <w:p>
            <w:pPr>
              <w:pStyle w:val="TableParagraph"/>
              <w:spacing w:before="12"/>
              <w:rPr>
                <w:rFonts w:ascii="黑体"/>
                <w:sz w:val="15"/>
              </w:rPr>
            </w:pPr>
          </w:p>
          <w:p>
            <w:pPr>
              <w:pStyle w:val="TableParagraph"/>
              <w:ind w:left="227"/>
              <w:rPr>
                <w:sz w:val="18"/>
              </w:rPr>
            </w:pPr>
            <w:r>
              <w:rPr>
                <w:sz w:val="18"/>
              </w:rPr>
              <w:t>30～</w:t>
            </w:r>
          </w:p>
          <w:p>
            <w:pPr>
              <w:pStyle w:val="TableParagraph"/>
              <w:spacing w:before="145" w:line="104" w:lineRule="exact"/>
              <w:ind w:right="160"/>
              <w:jc w:val="right"/>
              <w:rPr>
                <w:sz w:val="16"/>
              </w:rPr>
            </w:pPr>
            <w:r>
              <w:rPr>
                <w:w w:val="100"/>
                <w:sz w:val="16"/>
              </w:rPr>
              <w:t>2</w:t>
            </w:r>
          </w:p>
          <w:p>
            <w:pPr>
              <w:pStyle w:val="TableParagraph"/>
              <w:spacing w:line="309" w:lineRule="exact"/>
              <w:ind w:left="198"/>
              <w:rPr>
                <w:sz w:val="32"/>
              </w:rPr>
            </w:pPr>
            <w:r>
              <w:rPr>
                <w:sz w:val="18"/>
              </w:rPr>
              <w:t>50</w:t>
            </w:r>
            <w:r>
              <w:rPr>
                <w:sz w:val="32"/>
              </w:rPr>
              <w:t>m</w:t>
            </w:r>
          </w:p>
        </w:tc>
      </w:tr>
      <w:tr>
        <w:tblPrEx>
          <w:tblW w:w="0" w:type="auto"/>
          <w:jc w:val="left"/>
          <w:tblInd w:w="324" w:type="dxa"/>
          <w:tblLayout w:type="fixed"/>
          <w:tblCellMar>
            <w:top w:w="0" w:type="dxa"/>
            <w:left w:w="0" w:type="dxa"/>
            <w:bottom w:w="0" w:type="dxa"/>
            <w:right w:w="0" w:type="dxa"/>
          </w:tblCellMar>
          <w:tblLook w:val="01E0"/>
        </w:tblPrEx>
        <w:trPr>
          <w:trHeight w:val="623"/>
          <w:jc w:val="left"/>
        </w:trPr>
        <w:tc>
          <w:tcPr>
            <w:tcW w:w="8779" w:type="dxa"/>
            <w:gridSpan w:val="10"/>
            <w:tcBorders>
              <w:top w:val="single" w:sz="6" w:space="0" w:color="000000"/>
            </w:tcBorders>
          </w:tcPr>
          <w:p>
            <w:pPr>
              <w:pStyle w:val="TableParagraph"/>
              <w:spacing w:before="41"/>
              <w:ind w:left="471" w:right="-15"/>
              <w:rPr>
                <w:sz w:val="18"/>
              </w:rPr>
            </w:pPr>
            <w:r>
              <w:rPr>
                <w:spacing w:val="-13"/>
                <w:sz w:val="18"/>
              </w:rPr>
              <w:t>注：卫生基础功能设备应包括洗手液、洗手盆、烘干机、手盒、水溶性厕纸、一次性坐垫、搁物台、扶手、</w:t>
            </w:r>
          </w:p>
          <w:p>
            <w:pPr>
              <w:pStyle w:val="TableParagraph"/>
              <w:spacing w:before="81"/>
              <w:ind w:left="651"/>
              <w:rPr>
                <w:sz w:val="18"/>
              </w:rPr>
            </w:pPr>
            <w:r>
              <w:rPr>
                <w:sz w:val="18"/>
              </w:rPr>
              <w:t>面镜、挂衣钩、灭火器、废纸警等。</w:t>
            </w:r>
          </w:p>
        </w:tc>
      </w:tr>
    </w:tbl>
    <w:p>
      <w:pPr>
        <w:pStyle w:val="BodyText"/>
        <w:rPr>
          <w:rFonts w:ascii="黑体"/>
          <w:sz w:val="20"/>
        </w:rPr>
      </w:pPr>
    </w:p>
    <w:p>
      <w:pPr>
        <w:pStyle w:val="BodyText"/>
        <w:rPr>
          <w:rFonts w:ascii="黑体"/>
          <w:sz w:val="20"/>
        </w:rPr>
      </w:pPr>
    </w:p>
    <w:p>
      <w:pPr>
        <w:pStyle w:val="ListParagraph"/>
        <w:numPr>
          <w:ilvl w:val="0"/>
          <w:numId w:val="18"/>
        </w:numPr>
        <w:tabs>
          <w:tab w:val="left" w:pos="732"/>
          <w:tab w:val="left" w:pos="733"/>
        </w:tabs>
        <w:spacing w:before="134" w:after="0" w:line="240" w:lineRule="auto"/>
        <w:ind w:left="732" w:right="0" w:hanging="318"/>
        <w:jc w:val="left"/>
        <w:rPr>
          <w:rFonts w:ascii="黑体" w:eastAsia="黑体" w:hint="eastAsia"/>
          <w:sz w:val="21"/>
        </w:rPr>
      </w:pPr>
      <w:bookmarkStart w:id="22" w:name="5　建设要求"/>
      <w:bookmarkEnd w:id="22"/>
      <w:bookmarkStart w:id="23" w:name="_bookmark5"/>
      <w:bookmarkEnd w:id="23"/>
      <w:r>
        <w:rPr>
          <w:rFonts w:ascii="黑体" w:eastAsia="黑体" w:hint="eastAsia"/>
          <w:sz w:val="21"/>
        </w:rPr>
        <w:t>建设要求</w:t>
      </w:r>
    </w:p>
    <w:p>
      <w:pPr>
        <w:pStyle w:val="BodyText"/>
        <w:spacing w:before="9"/>
        <w:rPr>
          <w:rFonts w:ascii="黑体"/>
          <w:sz w:val="27"/>
        </w:rPr>
      </w:pPr>
    </w:p>
    <w:p>
      <w:pPr>
        <w:pStyle w:val="ListParagraph"/>
        <w:numPr>
          <w:ilvl w:val="1"/>
          <w:numId w:val="18"/>
        </w:numPr>
        <w:tabs>
          <w:tab w:val="left" w:pos="941"/>
          <w:tab w:val="left" w:pos="942"/>
        </w:tabs>
        <w:spacing w:before="0" w:after="0" w:line="240" w:lineRule="auto"/>
        <w:ind w:left="941" w:right="0" w:hanging="527"/>
        <w:jc w:val="left"/>
        <w:rPr>
          <w:rFonts w:ascii="黑体" w:eastAsia="黑体" w:hint="eastAsia"/>
          <w:sz w:val="21"/>
        </w:rPr>
      </w:pPr>
      <w:bookmarkStart w:id="24" w:name="5.1　建筑选址"/>
      <w:bookmarkEnd w:id="24"/>
      <w:r>
        <w:rPr>
          <w:rFonts w:ascii="黑体" w:eastAsia="黑体" w:hint="eastAsia"/>
          <w:sz w:val="21"/>
        </w:rPr>
        <w:t>建筑选址</w:t>
      </w:r>
    </w:p>
    <w:p>
      <w:pPr>
        <w:pStyle w:val="BodyText"/>
        <w:spacing w:before="7"/>
        <w:rPr>
          <w:rFonts w:ascii="黑体"/>
          <w:sz w:val="15"/>
        </w:rPr>
      </w:pPr>
    </w:p>
    <w:p>
      <w:pPr>
        <w:pStyle w:val="ListParagraph"/>
        <w:numPr>
          <w:ilvl w:val="2"/>
          <w:numId w:val="18"/>
        </w:numPr>
        <w:tabs>
          <w:tab w:val="left" w:pos="1152"/>
          <w:tab w:val="left" w:pos="1153"/>
        </w:tabs>
        <w:spacing w:before="0" w:after="0" w:line="240" w:lineRule="auto"/>
        <w:ind w:left="1152" w:right="0" w:hanging="738"/>
        <w:jc w:val="left"/>
        <w:rPr>
          <w:sz w:val="21"/>
        </w:rPr>
      </w:pPr>
      <w:bookmarkStart w:id="25" w:name="5.1.1　建宁驿站的规划应符合GB/T 50337的规定。"/>
      <w:bookmarkEnd w:id="25"/>
      <w:r>
        <w:rPr>
          <w:spacing w:val="-5"/>
          <w:sz w:val="21"/>
        </w:rPr>
        <w:t xml:space="preserve">建宁驿站的规划应符合 </w:t>
      </w:r>
      <w:r>
        <w:rPr>
          <w:sz w:val="21"/>
        </w:rPr>
        <w:t>GB/T</w:t>
      </w:r>
      <w:r>
        <w:rPr>
          <w:spacing w:val="-1"/>
          <w:sz w:val="21"/>
        </w:rPr>
        <w:t xml:space="preserve"> </w:t>
      </w:r>
      <w:r>
        <w:rPr>
          <w:sz w:val="21"/>
        </w:rPr>
        <w:t>50337</w:t>
      </w:r>
      <w:r>
        <w:rPr>
          <w:spacing w:val="-12"/>
          <w:sz w:val="21"/>
        </w:rPr>
        <w:t xml:space="preserve"> 的规定。</w:t>
      </w:r>
    </w:p>
    <w:p>
      <w:pPr>
        <w:pStyle w:val="ListParagraph"/>
        <w:numPr>
          <w:ilvl w:val="2"/>
          <w:numId w:val="18"/>
        </w:numPr>
        <w:tabs>
          <w:tab w:val="left" w:pos="1152"/>
          <w:tab w:val="left" w:pos="1153"/>
        </w:tabs>
        <w:spacing w:before="43" w:after="0" w:line="278" w:lineRule="auto"/>
        <w:ind w:left="415" w:right="402" w:firstLine="0"/>
        <w:jc w:val="left"/>
        <w:rPr>
          <w:sz w:val="21"/>
        </w:rPr>
      </w:pPr>
      <w:bookmarkStart w:id="26" w:name="5.1.2　按照株洲市的地方特色，宜在最需要厕所的江两岸、主道旁、桥底下、公园里"/>
      <w:bookmarkEnd w:id="26"/>
      <w:r>
        <w:rPr>
          <w:w w:val="95"/>
          <w:sz w:val="21"/>
        </w:rPr>
        <w:t>按照株洲市的地方特色，宜在最需要厕所的江两岸、主道旁、桥底下、公园里、小区内、市场</w:t>
      </w:r>
      <w:r>
        <w:rPr>
          <w:w w:val="95"/>
          <w:sz w:val="21"/>
        </w:rPr>
        <w:t xml:space="preserve">   </w:t>
      </w:r>
      <w:r>
        <w:rPr>
          <w:sz w:val="21"/>
        </w:rPr>
        <w:t>中建立建宁驿站。</w:t>
      </w:r>
    </w:p>
    <w:p>
      <w:pPr>
        <w:pStyle w:val="ListParagraph"/>
        <w:numPr>
          <w:ilvl w:val="1"/>
          <w:numId w:val="18"/>
        </w:numPr>
        <w:tabs>
          <w:tab w:val="left" w:pos="941"/>
          <w:tab w:val="left" w:pos="942"/>
        </w:tabs>
        <w:spacing w:before="156" w:after="0" w:line="240" w:lineRule="auto"/>
        <w:ind w:left="941" w:right="0" w:hanging="527"/>
        <w:jc w:val="left"/>
        <w:rPr>
          <w:rFonts w:ascii="黑体" w:eastAsia="黑体" w:hint="eastAsia"/>
          <w:sz w:val="21"/>
        </w:rPr>
      </w:pPr>
      <w:bookmarkStart w:id="27" w:name="5.2　建筑设计"/>
      <w:bookmarkEnd w:id="27"/>
      <w:r>
        <w:rPr>
          <w:rFonts w:ascii="黑体" w:eastAsia="黑体" w:hint="eastAsia"/>
          <w:sz w:val="21"/>
        </w:rPr>
        <w:t>建筑设计</w:t>
      </w:r>
    </w:p>
    <w:p>
      <w:pPr>
        <w:pStyle w:val="BodyText"/>
        <w:spacing w:before="6"/>
        <w:rPr>
          <w:rFonts w:ascii="黑体"/>
          <w:sz w:val="15"/>
        </w:rPr>
      </w:pPr>
    </w:p>
    <w:p>
      <w:pPr>
        <w:pStyle w:val="ListParagraph"/>
        <w:numPr>
          <w:ilvl w:val="2"/>
          <w:numId w:val="18"/>
        </w:numPr>
        <w:tabs>
          <w:tab w:val="left" w:pos="1152"/>
          <w:tab w:val="left" w:pos="1153"/>
        </w:tabs>
        <w:spacing w:before="0" w:after="0" w:line="240" w:lineRule="auto"/>
        <w:ind w:left="1152" w:right="0" w:hanging="738"/>
        <w:jc w:val="left"/>
        <w:rPr>
          <w:rFonts w:ascii="黑体" w:eastAsia="黑体" w:hint="eastAsia"/>
          <w:sz w:val="21"/>
        </w:rPr>
      </w:pPr>
      <w:bookmarkStart w:id="28" w:name="5.2.1　一厕（站）一景"/>
      <w:bookmarkEnd w:id="28"/>
      <w:r>
        <w:rPr>
          <w:rFonts w:ascii="黑体" w:eastAsia="黑体" w:hint="eastAsia"/>
          <w:sz w:val="21"/>
        </w:rPr>
        <w:t>一厕</w:t>
      </w:r>
      <w:r>
        <w:rPr>
          <w:rFonts w:ascii="黑体" w:eastAsia="黑体" w:hint="eastAsia"/>
          <w:sz w:val="21"/>
        </w:rPr>
        <w:t>（站）一景</w:t>
      </w:r>
    </w:p>
    <w:p>
      <w:pPr>
        <w:pStyle w:val="BodyText"/>
        <w:spacing w:before="7"/>
        <w:rPr>
          <w:rFonts w:ascii="黑体"/>
          <w:sz w:val="15"/>
        </w:rPr>
      </w:pPr>
    </w:p>
    <w:p>
      <w:pPr>
        <w:pStyle w:val="BodyText"/>
        <w:spacing w:line="278" w:lineRule="auto"/>
        <w:ind w:left="415" w:right="392" w:firstLine="420"/>
      </w:pPr>
      <w:r>
        <w:rPr>
          <w:spacing w:val="-6"/>
          <w:w w:val="95"/>
        </w:rPr>
        <w:t xml:space="preserve">根据不同区域的特色和周围环境的特点，通过改变建筑的局部设计达到一个建宁驿站就是一个景观   </w:t>
      </w:r>
      <w:r>
        <w:rPr>
          <w:spacing w:val="-6"/>
        </w:rPr>
        <w:t>的效果。</w:t>
      </w:r>
    </w:p>
    <w:p>
      <w:pPr>
        <w:pStyle w:val="ListParagraph"/>
        <w:numPr>
          <w:ilvl w:val="2"/>
          <w:numId w:val="18"/>
        </w:numPr>
        <w:tabs>
          <w:tab w:val="left" w:pos="1152"/>
          <w:tab w:val="left" w:pos="1153"/>
        </w:tabs>
        <w:spacing w:before="156" w:after="0" w:line="240" w:lineRule="auto"/>
        <w:ind w:left="1152" w:right="0" w:hanging="738"/>
        <w:jc w:val="left"/>
        <w:rPr>
          <w:rFonts w:ascii="黑体" w:eastAsia="黑体" w:hint="eastAsia"/>
          <w:sz w:val="21"/>
        </w:rPr>
      </w:pPr>
      <w:bookmarkStart w:id="29" w:name="5.2.2　模块化设计"/>
      <w:bookmarkEnd w:id="29"/>
      <w:r>
        <w:rPr>
          <w:rFonts w:ascii="黑体" w:eastAsia="黑体" w:hint="eastAsia"/>
          <w:sz w:val="21"/>
        </w:rPr>
        <w:t>模块化设计</w:t>
      </w:r>
    </w:p>
    <w:p>
      <w:pPr>
        <w:pStyle w:val="BodyText"/>
        <w:spacing w:before="6"/>
        <w:rPr>
          <w:rFonts w:ascii="黑体"/>
          <w:sz w:val="15"/>
        </w:rPr>
      </w:pPr>
    </w:p>
    <w:p>
      <w:pPr>
        <w:pStyle w:val="BodyText"/>
        <w:spacing w:before="1"/>
        <w:ind w:left="836"/>
      </w:pPr>
      <w:r>
        <w:t>结合现状设计。</w:t>
      </w:r>
    </w:p>
    <w:p>
      <w:pPr>
        <w:spacing w:after="0"/>
        <w:sectPr>
          <w:headerReference w:type="even" r:id="rId20"/>
          <w:headerReference w:type="default" r:id="rId21"/>
          <w:footerReference w:type="even" r:id="rId22"/>
          <w:footerReference w:type="default" r:id="rId23"/>
          <w:pgSz w:w="11910" w:h="16840"/>
          <w:pgMar w:top="1660" w:right="740" w:bottom="1340" w:left="1000" w:header="1442" w:footer="1141"/>
          <w:pgNumType w:start="3"/>
          <w:cols w:space="708"/>
        </w:sectPr>
      </w:pPr>
    </w:p>
    <w:p>
      <w:pPr>
        <w:pStyle w:val="BodyText"/>
        <w:spacing w:before="9"/>
        <w:rPr>
          <w:sz w:val="14"/>
        </w:rPr>
      </w:pPr>
    </w:p>
    <w:p>
      <w:pPr>
        <w:pStyle w:val="ListParagraph"/>
        <w:numPr>
          <w:ilvl w:val="2"/>
          <w:numId w:val="15"/>
        </w:numPr>
        <w:tabs>
          <w:tab w:val="left" w:pos="869"/>
          <w:tab w:val="left" w:pos="870"/>
        </w:tabs>
        <w:spacing w:before="70" w:after="0" w:line="240" w:lineRule="auto"/>
        <w:ind w:left="869" w:right="0" w:hanging="738"/>
        <w:jc w:val="left"/>
        <w:rPr>
          <w:rFonts w:ascii="黑体" w:eastAsia="黑体" w:hint="eastAsia"/>
          <w:sz w:val="21"/>
        </w:rPr>
      </w:pPr>
      <w:bookmarkStart w:id="30" w:name="5.2.3　工程设计"/>
      <w:bookmarkEnd w:id="30"/>
      <w:r>
        <w:rPr>
          <w:rFonts w:ascii="黑体" w:eastAsia="黑体" w:hint="eastAsia"/>
          <w:sz w:val="21"/>
        </w:rPr>
        <w:t>工程设计</w:t>
      </w:r>
    </w:p>
    <w:p>
      <w:pPr>
        <w:pStyle w:val="BodyText"/>
        <w:spacing w:before="6"/>
        <w:rPr>
          <w:rFonts w:ascii="黑体"/>
          <w:sz w:val="15"/>
        </w:rPr>
      </w:pPr>
    </w:p>
    <w:p>
      <w:pPr>
        <w:pStyle w:val="ListParagraph"/>
        <w:numPr>
          <w:ilvl w:val="3"/>
          <w:numId w:val="15"/>
        </w:numPr>
        <w:tabs>
          <w:tab w:val="left" w:pos="1078"/>
          <w:tab w:val="left" w:pos="1079"/>
        </w:tabs>
        <w:spacing w:before="0" w:after="0" w:line="240" w:lineRule="auto"/>
        <w:ind w:left="1078" w:right="0" w:hanging="947"/>
        <w:jc w:val="left"/>
        <w:rPr>
          <w:sz w:val="21"/>
        </w:rPr>
      </w:pPr>
      <w:bookmarkStart w:id="31" w:name="5.2.3.1　建筑、防火、抗震、卫生、节能、通风、给排水、第三卫生间等设计应符"/>
      <w:bookmarkEnd w:id="31"/>
      <w:r>
        <w:rPr>
          <w:spacing w:val="-2"/>
          <w:sz w:val="21"/>
        </w:rPr>
        <w:t xml:space="preserve">建筑、防火、抗震、卫生、节能、通风、给排水、第三卫生间等设计应符合 </w:t>
      </w:r>
      <w:r>
        <w:rPr>
          <w:sz w:val="21"/>
        </w:rPr>
        <w:t>CJJ</w:t>
      </w:r>
      <w:r>
        <w:rPr>
          <w:spacing w:val="-3"/>
          <w:sz w:val="21"/>
        </w:rPr>
        <w:t xml:space="preserve"> </w:t>
      </w:r>
      <w:r>
        <w:rPr>
          <w:sz w:val="21"/>
        </w:rPr>
        <w:t>14</w:t>
      </w:r>
      <w:r>
        <w:rPr>
          <w:spacing w:val="-12"/>
          <w:sz w:val="21"/>
        </w:rPr>
        <w:t xml:space="preserve"> 的规定。</w:t>
      </w:r>
    </w:p>
    <w:p>
      <w:pPr>
        <w:pStyle w:val="ListParagraph"/>
        <w:numPr>
          <w:ilvl w:val="3"/>
          <w:numId w:val="15"/>
        </w:numPr>
        <w:tabs>
          <w:tab w:val="left" w:pos="1078"/>
          <w:tab w:val="left" w:pos="1079"/>
        </w:tabs>
        <w:spacing w:before="43" w:after="0" w:line="240" w:lineRule="auto"/>
        <w:ind w:left="1078" w:right="0" w:hanging="947"/>
        <w:jc w:val="left"/>
        <w:rPr>
          <w:sz w:val="21"/>
        </w:rPr>
      </w:pPr>
      <w:bookmarkStart w:id="32" w:name="5.2.3.2　防雷设计应符合GB 50057的规定。"/>
      <w:bookmarkEnd w:id="32"/>
      <w:r>
        <w:rPr>
          <w:spacing w:val="-7"/>
          <w:sz w:val="21"/>
        </w:rPr>
        <w:t xml:space="preserve">防雷设计应符合 </w:t>
      </w:r>
      <w:r>
        <w:rPr>
          <w:sz w:val="21"/>
        </w:rPr>
        <w:t>GB</w:t>
      </w:r>
      <w:r>
        <w:rPr>
          <w:spacing w:val="1"/>
          <w:sz w:val="21"/>
        </w:rPr>
        <w:t xml:space="preserve"> </w:t>
      </w:r>
      <w:r>
        <w:rPr>
          <w:sz w:val="21"/>
        </w:rPr>
        <w:t>50057</w:t>
      </w:r>
      <w:r>
        <w:rPr>
          <w:spacing w:val="-12"/>
          <w:sz w:val="21"/>
        </w:rPr>
        <w:t xml:space="preserve"> 的规定。</w:t>
      </w:r>
    </w:p>
    <w:p>
      <w:pPr>
        <w:pStyle w:val="ListParagraph"/>
        <w:numPr>
          <w:ilvl w:val="3"/>
          <w:numId w:val="15"/>
        </w:numPr>
        <w:tabs>
          <w:tab w:val="left" w:pos="1078"/>
          <w:tab w:val="left" w:pos="1079"/>
        </w:tabs>
        <w:spacing w:before="43" w:after="0" w:line="240" w:lineRule="auto"/>
        <w:ind w:left="1078" w:right="0" w:hanging="947"/>
        <w:jc w:val="left"/>
        <w:rPr>
          <w:sz w:val="21"/>
        </w:rPr>
      </w:pPr>
      <w:bookmarkStart w:id="33" w:name="5.2.3.3　无障碍设施的设计应符合GB 55019的规定。"/>
      <w:bookmarkEnd w:id="33"/>
      <w:r>
        <w:rPr>
          <w:spacing w:val="-5"/>
          <w:sz w:val="21"/>
        </w:rPr>
        <w:t xml:space="preserve">无障碍设施的设计应符合 </w:t>
      </w:r>
      <w:r>
        <w:rPr>
          <w:sz w:val="21"/>
        </w:rPr>
        <w:t>GB</w:t>
      </w:r>
      <w:r>
        <w:rPr>
          <w:spacing w:val="1"/>
          <w:sz w:val="21"/>
        </w:rPr>
        <w:t xml:space="preserve"> </w:t>
      </w:r>
      <w:r>
        <w:rPr>
          <w:sz w:val="21"/>
        </w:rPr>
        <w:t>55019</w:t>
      </w:r>
      <w:r>
        <w:rPr>
          <w:spacing w:val="-12"/>
          <w:sz w:val="21"/>
        </w:rPr>
        <w:t xml:space="preserve"> 的规定。</w:t>
      </w:r>
    </w:p>
    <w:p>
      <w:pPr>
        <w:pStyle w:val="BodyText"/>
        <w:spacing w:before="7"/>
        <w:rPr>
          <w:sz w:val="15"/>
        </w:rPr>
      </w:pPr>
    </w:p>
    <w:p>
      <w:pPr>
        <w:pStyle w:val="ListParagraph"/>
        <w:numPr>
          <w:ilvl w:val="1"/>
          <w:numId w:val="14"/>
        </w:numPr>
        <w:tabs>
          <w:tab w:val="left" w:pos="658"/>
          <w:tab w:val="left" w:pos="659"/>
        </w:tabs>
        <w:spacing w:before="0" w:after="0" w:line="240" w:lineRule="auto"/>
        <w:ind w:left="658" w:right="0" w:hanging="527"/>
        <w:jc w:val="left"/>
        <w:rPr>
          <w:rFonts w:ascii="黑体" w:eastAsia="黑体" w:hint="eastAsia"/>
          <w:sz w:val="21"/>
        </w:rPr>
      </w:pPr>
      <w:bookmarkStart w:id="34" w:name="5.3　装潢设计"/>
      <w:bookmarkEnd w:id="34"/>
      <w:r>
        <w:rPr>
          <w:rFonts w:ascii="黑体" w:eastAsia="黑体" w:hint="eastAsia"/>
          <w:sz w:val="21"/>
        </w:rPr>
        <w:t>装潢设计</w:t>
      </w:r>
    </w:p>
    <w:p>
      <w:pPr>
        <w:pStyle w:val="BodyText"/>
        <w:spacing w:before="7"/>
        <w:rPr>
          <w:rFonts w:ascii="黑体"/>
          <w:sz w:val="15"/>
        </w:rPr>
      </w:pPr>
    </w:p>
    <w:p>
      <w:pPr>
        <w:pStyle w:val="ListParagraph"/>
        <w:numPr>
          <w:ilvl w:val="2"/>
          <w:numId w:val="14"/>
        </w:numPr>
        <w:tabs>
          <w:tab w:val="left" w:pos="869"/>
          <w:tab w:val="left" w:pos="870"/>
        </w:tabs>
        <w:spacing w:before="0" w:after="0" w:line="240" w:lineRule="auto"/>
        <w:ind w:left="869" w:right="0" w:hanging="738"/>
        <w:jc w:val="left"/>
        <w:rPr>
          <w:rFonts w:ascii="黑体" w:eastAsia="黑体" w:hint="eastAsia"/>
          <w:sz w:val="21"/>
        </w:rPr>
      </w:pPr>
      <w:bookmarkStart w:id="35" w:name="5.3.1　室外设计"/>
      <w:bookmarkEnd w:id="35"/>
      <w:r>
        <w:rPr>
          <w:rFonts w:ascii="黑体" w:eastAsia="黑体" w:hint="eastAsia"/>
          <w:sz w:val="21"/>
        </w:rPr>
        <w:t>室外设计</w:t>
      </w:r>
    </w:p>
    <w:p>
      <w:pPr>
        <w:pStyle w:val="BodyText"/>
        <w:spacing w:before="6"/>
        <w:rPr>
          <w:rFonts w:ascii="黑体"/>
          <w:sz w:val="15"/>
        </w:rPr>
      </w:pPr>
    </w:p>
    <w:p>
      <w:pPr>
        <w:pStyle w:val="BodyText"/>
        <w:spacing w:before="1" w:line="278" w:lineRule="auto"/>
        <w:ind w:left="132" w:right="675" w:firstLine="420"/>
      </w:pPr>
      <w:r>
        <w:rPr>
          <w:spacing w:val="-9"/>
          <w:w w:val="95"/>
        </w:rPr>
        <w:t xml:space="preserve">建筑造型、立面选材、色彩设计等应与城市风貌呼应，与周围建筑和环境协调，节约城市空间，提   </w:t>
      </w:r>
      <w:r>
        <w:rPr>
          <w:spacing w:val="-9"/>
        </w:rPr>
        <w:t>升造型创意。</w:t>
      </w:r>
    </w:p>
    <w:p>
      <w:pPr>
        <w:pStyle w:val="ListParagraph"/>
        <w:numPr>
          <w:ilvl w:val="2"/>
          <w:numId w:val="14"/>
        </w:numPr>
        <w:tabs>
          <w:tab w:val="left" w:pos="869"/>
          <w:tab w:val="left" w:pos="870"/>
        </w:tabs>
        <w:spacing w:before="155" w:after="0" w:line="240" w:lineRule="auto"/>
        <w:ind w:left="869" w:right="0" w:hanging="738"/>
        <w:jc w:val="left"/>
        <w:rPr>
          <w:rFonts w:ascii="黑体" w:eastAsia="黑体" w:hint="eastAsia"/>
          <w:sz w:val="21"/>
        </w:rPr>
      </w:pPr>
      <w:bookmarkStart w:id="36" w:name="5.3.2　内部设计"/>
      <w:bookmarkEnd w:id="36"/>
      <w:r>
        <w:rPr>
          <w:rFonts w:ascii="黑体" w:eastAsia="黑体" w:hint="eastAsia"/>
          <w:sz w:val="21"/>
        </w:rPr>
        <w:t>内部设计</w:t>
      </w:r>
    </w:p>
    <w:p>
      <w:pPr>
        <w:pStyle w:val="BodyText"/>
        <w:spacing w:before="7"/>
        <w:rPr>
          <w:rFonts w:ascii="黑体"/>
          <w:sz w:val="15"/>
        </w:rPr>
      </w:pPr>
    </w:p>
    <w:p>
      <w:pPr>
        <w:pStyle w:val="BodyText"/>
        <w:ind w:left="552"/>
      </w:pPr>
      <w:r>
        <w:t>内部装饰应简洁、大方。</w:t>
      </w:r>
    </w:p>
    <w:p>
      <w:pPr>
        <w:pStyle w:val="BodyText"/>
        <w:spacing w:before="7"/>
        <w:rPr>
          <w:sz w:val="15"/>
        </w:rPr>
      </w:pPr>
    </w:p>
    <w:p>
      <w:pPr>
        <w:pStyle w:val="ListParagraph"/>
        <w:numPr>
          <w:ilvl w:val="1"/>
          <w:numId w:val="14"/>
        </w:numPr>
        <w:tabs>
          <w:tab w:val="left" w:pos="658"/>
          <w:tab w:val="left" w:pos="659"/>
        </w:tabs>
        <w:spacing w:before="0" w:after="0" w:line="240" w:lineRule="auto"/>
        <w:ind w:left="658" w:right="0" w:hanging="527"/>
        <w:jc w:val="left"/>
        <w:rPr>
          <w:rFonts w:ascii="黑体" w:eastAsia="黑体" w:hint="eastAsia"/>
          <w:sz w:val="21"/>
        </w:rPr>
      </w:pPr>
      <w:bookmarkStart w:id="37" w:name="5.4　广告设计"/>
      <w:bookmarkEnd w:id="37"/>
      <w:r>
        <w:rPr>
          <w:rFonts w:ascii="黑体" w:eastAsia="黑体" w:hint="eastAsia"/>
          <w:sz w:val="21"/>
        </w:rPr>
        <w:t>广告设计</w:t>
      </w:r>
    </w:p>
    <w:p>
      <w:pPr>
        <w:pStyle w:val="BodyText"/>
        <w:spacing w:before="6"/>
        <w:rPr>
          <w:rFonts w:ascii="黑体"/>
          <w:sz w:val="15"/>
        </w:rPr>
      </w:pPr>
    </w:p>
    <w:p>
      <w:pPr>
        <w:pStyle w:val="BodyText"/>
        <w:spacing w:before="1"/>
        <w:ind w:left="552"/>
      </w:pPr>
      <w:r>
        <w:t>按照DB4302/T 1的规定执行。</w:t>
      </w:r>
    </w:p>
    <w:p>
      <w:pPr>
        <w:pStyle w:val="BodyText"/>
        <w:spacing w:before="6"/>
        <w:rPr>
          <w:sz w:val="15"/>
        </w:rPr>
      </w:pPr>
    </w:p>
    <w:p>
      <w:pPr>
        <w:pStyle w:val="ListParagraph"/>
        <w:numPr>
          <w:ilvl w:val="1"/>
          <w:numId w:val="14"/>
        </w:numPr>
        <w:tabs>
          <w:tab w:val="left" w:pos="658"/>
          <w:tab w:val="left" w:pos="659"/>
        </w:tabs>
        <w:spacing w:before="0" w:after="0" w:line="240" w:lineRule="auto"/>
        <w:ind w:left="658" w:right="0" w:hanging="527"/>
        <w:jc w:val="left"/>
        <w:rPr>
          <w:rFonts w:ascii="黑体" w:eastAsia="黑体" w:hint="eastAsia"/>
          <w:sz w:val="21"/>
        </w:rPr>
      </w:pPr>
      <w:bookmarkStart w:id="38" w:name="5.5　总体布置"/>
      <w:bookmarkEnd w:id="38"/>
      <w:r>
        <w:rPr>
          <w:rFonts w:ascii="黑体" w:eastAsia="黑体" w:hint="eastAsia"/>
          <w:sz w:val="21"/>
        </w:rPr>
        <w:t>总体布置</w:t>
      </w:r>
    </w:p>
    <w:p>
      <w:pPr>
        <w:pStyle w:val="BodyText"/>
        <w:spacing w:before="7"/>
        <w:rPr>
          <w:rFonts w:ascii="黑体"/>
          <w:sz w:val="15"/>
        </w:rPr>
      </w:pPr>
    </w:p>
    <w:p>
      <w:pPr>
        <w:pStyle w:val="ListParagraph"/>
        <w:numPr>
          <w:ilvl w:val="2"/>
          <w:numId w:val="14"/>
        </w:numPr>
        <w:tabs>
          <w:tab w:val="left" w:pos="869"/>
          <w:tab w:val="left" w:pos="870"/>
        </w:tabs>
        <w:spacing w:before="0" w:after="0" w:line="240" w:lineRule="auto"/>
        <w:ind w:left="869" w:right="0" w:hanging="738"/>
        <w:jc w:val="left"/>
        <w:rPr>
          <w:rFonts w:ascii="黑体" w:eastAsia="黑体" w:hint="eastAsia"/>
          <w:sz w:val="21"/>
        </w:rPr>
      </w:pPr>
      <w:bookmarkStart w:id="39" w:name="5.5.1　空间要求"/>
      <w:bookmarkEnd w:id="39"/>
      <w:r>
        <w:rPr>
          <w:rFonts w:ascii="黑体" w:eastAsia="黑体" w:hint="eastAsia"/>
          <w:sz w:val="21"/>
        </w:rPr>
        <w:t>空间要求</w:t>
      </w:r>
    </w:p>
    <w:p>
      <w:pPr>
        <w:pStyle w:val="BodyText"/>
        <w:spacing w:before="7"/>
        <w:rPr>
          <w:rFonts w:ascii="黑体"/>
          <w:sz w:val="15"/>
        </w:rPr>
      </w:pPr>
    </w:p>
    <w:p>
      <w:pPr>
        <w:pStyle w:val="BodyText"/>
        <w:ind w:left="552"/>
      </w:pPr>
      <w:r>
        <w:t>空间要求应符合DB43/T 310-2023中5.3的规定。</w:t>
      </w:r>
    </w:p>
    <w:p>
      <w:pPr>
        <w:pStyle w:val="BodyText"/>
        <w:spacing w:before="6"/>
        <w:rPr>
          <w:sz w:val="15"/>
        </w:rPr>
      </w:pPr>
    </w:p>
    <w:p>
      <w:pPr>
        <w:pStyle w:val="ListParagraph"/>
        <w:numPr>
          <w:ilvl w:val="2"/>
          <w:numId w:val="14"/>
        </w:numPr>
        <w:tabs>
          <w:tab w:val="left" w:pos="869"/>
          <w:tab w:val="left" w:pos="870"/>
        </w:tabs>
        <w:spacing w:before="1" w:after="0" w:line="240" w:lineRule="auto"/>
        <w:ind w:left="869" w:right="0" w:hanging="738"/>
        <w:jc w:val="left"/>
        <w:rPr>
          <w:rFonts w:ascii="黑体" w:eastAsia="黑体" w:hint="eastAsia"/>
          <w:sz w:val="21"/>
        </w:rPr>
      </w:pPr>
      <w:bookmarkStart w:id="40" w:name="5.5.2　平面布局"/>
      <w:bookmarkEnd w:id="40"/>
      <w:r>
        <w:rPr>
          <w:rFonts w:ascii="黑体" w:eastAsia="黑体" w:hint="eastAsia"/>
          <w:sz w:val="21"/>
        </w:rPr>
        <w:t>平面布局</w:t>
      </w:r>
    </w:p>
    <w:p>
      <w:pPr>
        <w:pStyle w:val="BodyText"/>
        <w:spacing w:before="6"/>
        <w:rPr>
          <w:rFonts w:ascii="黑体"/>
          <w:sz w:val="15"/>
        </w:rPr>
      </w:pPr>
    </w:p>
    <w:p>
      <w:pPr>
        <w:pStyle w:val="BodyText"/>
        <w:ind w:left="552"/>
      </w:pPr>
      <w:r>
        <w:t>平面设计应符合CJJ</w:t>
      </w:r>
      <w:r>
        <w:rPr>
          <w:spacing w:val="-51"/>
        </w:rPr>
        <w:t xml:space="preserve"> </w:t>
      </w:r>
      <w:r>
        <w:t>14-2016中4.3的规定，卫生洁具的平面布置应符合CJJ 14—2016中4.4的规定。</w:t>
      </w:r>
    </w:p>
    <w:p>
      <w:pPr>
        <w:pStyle w:val="BodyText"/>
        <w:spacing w:before="7"/>
        <w:rPr>
          <w:sz w:val="15"/>
        </w:rPr>
      </w:pPr>
    </w:p>
    <w:p>
      <w:pPr>
        <w:pStyle w:val="ListParagraph"/>
        <w:numPr>
          <w:ilvl w:val="2"/>
          <w:numId w:val="14"/>
        </w:numPr>
        <w:tabs>
          <w:tab w:val="left" w:pos="869"/>
          <w:tab w:val="left" w:pos="870"/>
        </w:tabs>
        <w:spacing w:before="0" w:after="0" w:line="240" w:lineRule="auto"/>
        <w:ind w:left="869" w:right="0" w:hanging="738"/>
        <w:jc w:val="left"/>
        <w:rPr>
          <w:rFonts w:ascii="黑体" w:eastAsia="黑体" w:hint="eastAsia"/>
          <w:sz w:val="21"/>
        </w:rPr>
      </w:pPr>
      <w:bookmarkStart w:id="41" w:name="5.5.3　厕位设计"/>
      <w:bookmarkEnd w:id="41"/>
      <w:r>
        <w:rPr>
          <w:rFonts w:ascii="黑体" w:eastAsia="黑体" w:hint="eastAsia"/>
          <w:sz w:val="21"/>
        </w:rPr>
        <w:t>厕位设计</w:t>
      </w:r>
    </w:p>
    <w:p>
      <w:pPr>
        <w:pStyle w:val="BodyText"/>
        <w:spacing w:before="7"/>
        <w:rPr>
          <w:rFonts w:ascii="黑体"/>
          <w:sz w:val="15"/>
        </w:rPr>
      </w:pPr>
    </w:p>
    <w:p>
      <w:pPr>
        <w:pStyle w:val="ListParagraph"/>
        <w:numPr>
          <w:ilvl w:val="3"/>
          <w:numId w:val="14"/>
        </w:numPr>
        <w:tabs>
          <w:tab w:val="left" w:pos="1078"/>
          <w:tab w:val="left" w:pos="1079"/>
        </w:tabs>
        <w:spacing w:before="0" w:after="0" w:line="240" w:lineRule="auto"/>
        <w:ind w:left="1078" w:right="0" w:hanging="947"/>
        <w:jc w:val="left"/>
        <w:rPr>
          <w:sz w:val="21"/>
        </w:rPr>
      </w:pPr>
      <w:bookmarkStart w:id="42" w:name="5.5.3.1　女厕位与男厕位的数量比例应≥2:1。"/>
      <w:bookmarkEnd w:id="42"/>
      <w:r>
        <w:rPr>
          <w:sz w:val="21"/>
        </w:rPr>
        <w:t>女厕位与男厕位的数量比例应≥</w:t>
      </w:r>
      <w:r>
        <w:rPr>
          <w:sz w:val="21"/>
        </w:rPr>
        <w:t>2:1。</w:t>
      </w:r>
    </w:p>
    <w:p>
      <w:pPr>
        <w:pStyle w:val="ListParagraph"/>
        <w:numPr>
          <w:ilvl w:val="3"/>
          <w:numId w:val="14"/>
        </w:numPr>
        <w:tabs>
          <w:tab w:val="left" w:pos="1078"/>
          <w:tab w:val="left" w:pos="1079"/>
        </w:tabs>
        <w:spacing w:before="43" w:after="0" w:line="240" w:lineRule="auto"/>
        <w:ind w:left="1078" w:right="0" w:hanging="947"/>
        <w:jc w:val="left"/>
        <w:rPr>
          <w:sz w:val="21"/>
        </w:rPr>
      </w:pPr>
      <w:bookmarkStart w:id="43" w:name="5.5.3.2　大便厕位中蹲便器与坐便器的数量比例应为4:1。"/>
      <w:bookmarkEnd w:id="43"/>
      <w:r>
        <w:rPr>
          <w:spacing w:val="-3"/>
          <w:sz w:val="21"/>
        </w:rPr>
        <w:t xml:space="preserve">大便厕位中蹲便器与坐便器的数量比例应为 </w:t>
      </w:r>
      <w:r>
        <w:rPr>
          <w:sz w:val="21"/>
        </w:rPr>
        <w:t>4:1。</w:t>
      </w:r>
    </w:p>
    <w:p>
      <w:pPr>
        <w:pStyle w:val="BodyText"/>
        <w:spacing w:before="6"/>
        <w:rPr>
          <w:sz w:val="15"/>
        </w:rPr>
      </w:pPr>
    </w:p>
    <w:p>
      <w:pPr>
        <w:pStyle w:val="ListParagraph"/>
        <w:numPr>
          <w:ilvl w:val="1"/>
          <w:numId w:val="14"/>
        </w:numPr>
        <w:tabs>
          <w:tab w:val="left" w:pos="658"/>
          <w:tab w:val="left" w:pos="659"/>
        </w:tabs>
        <w:spacing w:before="1" w:after="0" w:line="240" w:lineRule="auto"/>
        <w:ind w:left="658" w:right="0" w:hanging="527"/>
        <w:jc w:val="left"/>
        <w:rPr>
          <w:rFonts w:ascii="黑体" w:eastAsia="黑体" w:hint="eastAsia"/>
          <w:sz w:val="21"/>
        </w:rPr>
      </w:pPr>
      <w:bookmarkStart w:id="44" w:name="5.6　标识标牌设计"/>
      <w:bookmarkEnd w:id="44"/>
      <w:r>
        <w:rPr>
          <w:rFonts w:ascii="黑体" w:eastAsia="黑体" w:hint="eastAsia"/>
          <w:sz w:val="21"/>
        </w:rPr>
        <w:t>标识标牌设计</w:t>
      </w:r>
    </w:p>
    <w:p>
      <w:pPr>
        <w:pStyle w:val="BodyText"/>
        <w:spacing w:before="6"/>
        <w:rPr>
          <w:rFonts w:ascii="黑体"/>
          <w:sz w:val="15"/>
        </w:rPr>
      </w:pPr>
    </w:p>
    <w:p>
      <w:pPr>
        <w:pStyle w:val="ListParagraph"/>
        <w:numPr>
          <w:ilvl w:val="2"/>
          <w:numId w:val="14"/>
        </w:numPr>
        <w:tabs>
          <w:tab w:val="left" w:pos="869"/>
          <w:tab w:val="left" w:pos="870"/>
        </w:tabs>
        <w:spacing w:before="0" w:after="0" w:line="240" w:lineRule="auto"/>
        <w:ind w:left="869" w:right="0" w:hanging="738"/>
        <w:jc w:val="left"/>
        <w:rPr>
          <w:sz w:val="21"/>
        </w:rPr>
      </w:pPr>
      <w:bookmarkStart w:id="45" w:name="5.6.1　标识标牌设计和布置应符合GB/T 10001.1和CJJ 14-20"/>
      <w:bookmarkEnd w:id="45"/>
      <w:r>
        <w:rPr>
          <w:spacing w:val="-5"/>
          <w:sz w:val="21"/>
        </w:rPr>
        <w:t xml:space="preserve">标识标牌设计和布置应符合 </w:t>
      </w:r>
      <w:r>
        <w:rPr>
          <w:sz w:val="21"/>
        </w:rPr>
        <w:t>GB/T</w:t>
      </w:r>
      <w:r>
        <w:rPr>
          <w:spacing w:val="-1"/>
          <w:sz w:val="21"/>
        </w:rPr>
        <w:t xml:space="preserve"> </w:t>
      </w:r>
      <w:r>
        <w:rPr>
          <w:sz w:val="21"/>
        </w:rPr>
        <w:t>10001.1</w:t>
      </w:r>
      <w:r>
        <w:rPr>
          <w:spacing w:val="-36"/>
          <w:sz w:val="21"/>
        </w:rPr>
        <w:t xml:space="preserve"> 和 </w:t>
      </w:r>
      <w:r>
        <w:rPr>
          <w:sz w:val="21"/>
        </w:rPr>
        <w:t>CJJ</w:t>
      </w:r>
      <w:r>
        <w:rPr>
          <w:spacing w:val="-1"/>
          <w:sz w:val="21"/>
        </w:rPr>
        <w:t xml:space="preserve"> </w:t>
      </w:r>
      <w:r>
        <w:rPr>
          <w:sz w:val="21"/>
        </w:rPr>
        <w:t>14-2016</w:t>
      </w:r>
      <w:r>
        <w:rPr>
          <w:spacing w:val="-37"/>
          <w:sz w:val="21"/>
        </w:rPr>
        <w:t xml:space="preserve"> 中 </w:t>
      </w:r>
      <w:r>
        <w:rPr>
          <w:sz w:val="21"/>
        </w:rPr>
        <w:t>4.3.9</w:t>
      </w:r>
      <w:r>
        <w:rPr>
          <w:spacing w:val="-12"/>
          <w:sz w:val="21"/>
        </w:rPr>
        <w:t xml:space="preserve"> 的要求。</w:t>
      </w:r>
    </w:p>
    <w:p>
      <w:pPr>
        <w:pStyle w:val="ListParagraph"/>
        <w:numPr>
          <w:ilvl w:val="2"/>
          <w:numId w:val="14"/>
        </w:numPr>
        <w:tabs>
          <w:tab w:val="left" w:pos="869"/>
          <w:tab w:val="left" w:pos="870"/>
        </w:tabs>
        <w:spacing w:before="43" w:after="0" w:line="240" w:lineRule="auto"/>
        <w:ind w:left="869" w:right="0" w:hanging="738"/>
        <w:jc w:val="left"/>
        <w:rPr>
          <w:sz w:val="21"/>
        </w:rPr>
      </w:pPr>
      <w:bookmarkStart w:id="46" w:name="5.6.2　其他设计应符合附录A的要求。"/>
      <w:bookmarkEnd w:id="46"/>
      <w:r>
        <w:rPr>
          <w:spacing w:val="-6"/>
          <w:sz w:val="21"/>
        </w:rPr>
        <w:t xml:space="preserve">其他设计应符合附录 </w:t>
      </w:r>
      <w:r>
        <w:rPr>
          <w:sz w:val="21"/>
        </w:rPr>
        <w:t>A</w:t>
      </w:r>
      <w:r>
        <w:rPr>
          <w:spacing w:val="-12"/>
          <w:sz w:val="21"/>
        </w:rPr>
        <w:t xml:space="preserve"> 的要求。</w:t>
      </w:r>
    </w:p>
    <w:p>
      <w:pPr>
        <w:pStyle w:val="ListParagraph"/>
        <w:numPr>
          <w:ilvl w:val="2"/>
          <w:numId w:val="14"/>
        </w:numPr>
        <w:tabs>
          <w:tab w:val="left" w:pos="869"/>
          <w:tab w:val="left" w:pos="870"/>
        </w:tabs>
        <w:spacing w:before="43" w:after="0" w:line="240" w:lineRule="auto"/>
        <w:ind w:left="869" w:right="0" w:hanging="738"/>
        <w:jc w:val="left"/>
        <w:rPr>
          <w:sz w:val="21"/>
        </w:rPr>
      </w:pPr>
      <w:bookmarkStart w:id="47" w:name="5.6.3　建宁驿站根据路名或地理位置命名，每个驿站应有独立编号，由各区环卫中心"/>
      <w:bookmarkEnd w:id="47"/>
      <w:r>
        <w:rPr>
          <w:sz w:val="21"/>
        </w:rPr>
        <w:t>建宁驿站根据路名或地理位置命名，每个驿站应有独立编号，由各区环卫中心决定。</w:t>
      </w:r>
    </w:p>
    <w:p>
      <w:pPr>
        <w:pStyle w:val="BodyText"/>
        <w:spacing w:before="7"/>
        <w:rPr>
          <w:sz w:val="15"/>
        </w:rPr>
      </w:pPr>
    </w:p>
    <w:p>
      <w:pPr>
        <w:pStyle w:val="ListParagraph"/>
        <w:numPr>
          <w:ilvl w:val="1"/>
          <w:numId w:val="14"/>
        </w:numPr>
        <w:tabs>
          <w:tab w:val="left" w:pos="658"/>
          <w:tab w:val="left" w:pos="659"/>
        </w:tabs>
        <w:spacing w:before="0" w:after="0" w:line="240" w:lineRule="auto"/>
        <w:ind w:left="658" w:right="0" w:hanging="527"/>
        <w:jc w:val="left"/>
        <w:rPr>
          <w:rFonts w:ascii="黑体" w:eastAsia="黑体" w:hint="eastAsia"/>
          <w:sz w:val="21"/>
        </w:rPr>
      </w:pPr>
      <w:bookmarkStart w:id="48" w:name="5.7　设施要求"/>
      <w:bookmarkEnd w:id="48"/>
      <w:r>
        <w:rPr>
          <w:rFonts w:ascii="黑体" w:eastAsia="黑体" w:hint="eastAsia"/>
          <w:sz w:val="21"/>
        </w:rPr>
        <w:t>设施要求</w:t>
      </w:r>
    </w:p>
    <w:p>
      <w:pPr>
        <w:pStyle w:val="BodyText"/>
        <w:spacing w:before="7"/>
        <w:rPr>
          <w:rFonts w:ascii="黑体"/>
          <w:sz w:val="15"/>
        </w:rPr>
      </w:pPr>
    </w:p>
    <w:p>
      <w:pPr>
        <w:pStyle w:val="ListParagraph"/>
        <w:numPr>
          <w:ilvl w:val="2"/>
          <w:numId w:val="14"/>
        </w:numPr>
        <w:tabs>
          <w:tab w:val="left" w:pos="869"/>
          <w:tab w:val="left" w:pos="870"/>
        </w:tabs>
        <w:spacing w:before="0" w:after="0" w:line="240" w:lineRule="auto"/>
        <w:ind w:left="869" w:right="0" w:hanging="738"/>
        <w:jc w:val="left"/>
        <w:rPr>
          <w:rFonts w:ascii="黑体" w:eastAsia="黑体" w:hint="eastAsia"/>
          <w:sz w:val="21"/>
        </w:rPr>
      </w:pPr>
      <w:bookmarkStart w:id="49" w:name="5.7.1　智能化管理系统"/>
      <w:bookmarkEnd w:id="49"/>
      <w:r>
        <w:rPr>
          <w:rFonts w:ascii="黑体" w:eastAsia="黑体" w:hint="eastAsia"/>
          <w:sz w:val="21"/>
        </w:rPr>
        <w:t>智能化管理系统</w:t>
      </w:r>
    </w:p>
    <w:p>
      <w:pPr>
        <w:pStyle w:val="BodyText"/>
        <w:spacing w:before="6"/>
        <w:rPr>
          <w:rFonts w:ascii="黑体"/>
          <w:sz w:val="15"/>
        </w:rPr>
      </w:pPr>
    </w:p>
    <w:p>
      <w:pPr>
        <w:pStyle w:val="BodyText"/>
        <w:ind w:left="552"/>
      </w:pPr>
      <w:r>
        <w:rPr>
          <w:w w:val="95"/>
        </w:rPr>
        <w:t>应符合附录B的规定。</w:t>
      </w:r>
    </w:p>
    <w:p>
      <w:pPr>
        <w:pStyle w:val="BodyText"/>
        <w:spacing w:before="7"/>
        <w:rPr>
          <w:sz w:val="15"/>
        </w:rPr>
      </w:pPr>
    </w:p>
    <w:p>
      <w:pPr>
        <w:pStyle w:val="ListParagraph"/>
        <w:numPr>
          <w:ilvl w:val="2"/>
          <w:numId w:val="14"/>
        </w:numPr>
        <w:tabs>
          <w:tab w:val="left" w:pos="869"/>
          <w:tab w:val="left" w:pos="870"/>
        </w:tabs>
        <w:spacing w:before="0" w:after="0" w:line="240" w:lineRule="auto"/>
        <w:ind w:left="869" w:right="0" w:hanging="738"/>
        <w:jc w:val="left"/>
        <w:rPr>
          <w:rFonts w:ascii="黑体" w:eastAsia="黑体" w:hint="eastAsia"/>
          <w:sz w:val="21"/>
        </w:rPr>
      </w:pPr>
      <w:bookmarkStart w:id="50" w:name="5.7.2　卫生洁具"/>
      <w:bookmarkEnd w:id="50"/>
      <w:r>
        <w:rPr>
          <w:rFonts w:ascii="黑体" w:eastAsia="黑体" w:hint="eastAsia"/>
          <w:w w:val="95"/>
          <w:sz w:val="21"/>
        </w:rPr>
        <w:t>卫生洁具</w:t>
      </w:r>
    </w:p>
    <w:p>
      <w:pPr>
        <w:pStyle w:val="BodyText"/>
        <w:spacing w:before="7"/>
        <w:rPr>
          <w:rFonts w:ascii="黑体"/>
          <w:sz w:val="15"/>
        </w:rPr>
      </w:pPr>
    </w:p>
    <w:p>
      <w:pPr>
        <w:pStyle w:val="ListParagraph"/>
        <w:numPr>
          <w:ilvl w:val="3"/>
          <w:numId w:val="14"/>
        </w:numPr>
        <w:tabs>
          <w:tab w:val="left" w:pos="1078"/>
          <w:tab w:val="left" w:pos="1079"/>
        </w:tabs>
        <w:spacing w:before="0" w:after="0" w:line="240" w:lineRule="auto"/>
        <w:ind w:left="1078" w:right="0" w:hanging="947"/>
        <w:jc w:val="left"/>
        <w:rPr>
          <w:sz w:val="21"/>
        </w:rPr>
      </w:pPr>
      <w:bookmarkStart w:id="51" w:name="5.7.2.1　卫生洁具的设置应符合CJJ 14—2016中4.4的规定，用水量"/>
      <w:bookmarkEnd w:id="51"/>
      <w:r>
        <w:rPr>
          <w:spacing w:val="-5"/>
          <w:sz w:val="21"/>
        </w:rPr>
        <w:t xml:space="preserve">卫生洁具的设置应符合 </w:t>
      </w:r>
      <w:r>
        <w:rPr>
          <w:sz w:val="21"/>
        </w:rPr>
        <w:t>CJJ</w:t>
      </w:r>
      <w:r>
        <w:rPr>
          <w:spacing w:val="-3"/>
          <w:sz w:val="21"/>
        </w:rPr>
        <w:t xml:space="preserve"> </w:t>
      </w:r>
      <w:r>
        <w:rPr>
          <w:sz w:val="21"/>
        </w:rPr>
        <w:t>14—2016</w:t>
      </w:r>
      <w:r>
        <w:rPr>
          <w:spacing w:val="-36"/>
          <w:sz w:val="21"/>
        </w:rPr>
        <w:t xml:space="preserve"> 中 </w:t>
      </w:r>
      <w:r>
        <w:rPr>
          <w:sz w:val="21"/>
        </w:rPr>
        <w:t>4.4</w:t>
      </w:r>
      <w:r>
        <w:rPr>
          <w:spacing w:val="-12"/>
          <w:sz w:val="21"/>
        </w:rPr>
        <w:t xml:space="preserve"> 的规定，用水量应符合 </w:t>
      </w:r>
      <w:r>
        <w:rPr>
          <w:sz w:val="21"/>
        </w:rPr>
        <w:t>GB/T</w:t>
      </w:r>
      <w:r>
        <w:rPr>
          <w:spacing w:val="-3"/>
          <w:sz w:val="21"/>
        </w:rPr>
        <w:t xml:space="preserve"> </w:t>
      </w:r>
      <w:r>
        <w:rPr>
          <w:sz w:val="21"/>
        </w:rPr>
        <w:t>31436</w:t>
      </w:r>
      <w:r>
        <w:rPr>
          <w:spacing w:val="-12"/>
          <w:sz w:val="21"/>
        </w:rPr>
        <w:t xml:space="preserve"> 的规定。</w:t>
      </w:r>
    </w:p>
    <w:p>
      <w:pPr>
        <w:pStyle w:val="ListParagraph"/>
        <w:numPr>
          <w:ilvl w:val="3"/>
          <w:numId w:val="14"/>
        </w:numPr>
        <w:tabs>
          <w:tab w:val="left" w:pos="1078"/>
          <w:tab w:val="left" w:pos="1079"/>
        </w:tabs>
        <w:spacing w:before="43" w:after="0" w:line="240" w:lineRule="auto"/>
        <w:ind w:left="1078" w:right="0" w:hanging="947"/>
        <w:jc w:val="left"/>
        <w:rPr>
          <w:sz w:val="21"/>
        </w:rPr>
      </w:pPr>
      <w:bookmarkStart w:id="52" w:name="5.7.2.2　陶瓷卫生洁具应符合GB/T 6952的规定。"/>
      <w:bookmarkEnd w:id="52"/>
      <w:r>
        <w:rPr>
          <w:spacing w:val="-6"/>
          <w:sz w:val="21"/>
        </w:rPr>
        <w:t xml:space="preserve">陶瓷卫生洁具应符合 </w:t>
      </w:r>
      <w:r>
        <w:rPr>
          <w:sz w:val="21"/>
        </w:rPr>
        <w:t>GB/T</w:t>
      </w:r>
      <w:r>
        <w:rPr>
          <w:spacing w:val="-1"/>
          <w:sz w:val="21"/>
        </w:rPr>
        <w:t xml:space="preserve"> </w:t>
      </w:r>
      <w:r>
        <w:rPr>
          <w:sz w:val="21"/>
        </w:rPr>
        <w:t>6952</w:t>
      </w:r>
      <w:r>
        <w:rPr>
          <w:spacing w:val="-12"/>
          <w:sz w:val="21"/>
        </w:rPr>
        <w:t xml:space="preserve"> 的规定。</w:t>
      </w:r>
    </w:p>
    <w:p>
      <w:pPr>
        <w:pStyle w:val="ListParagraph"/>
        <w:numPr>
          <w:ilvl w:val="3"/>
          <w:numId w:val="14"/>
        </w:numPr>
        <w:tabs>
          <w:tab w:val="left" w:pos="1078"/>
          <w:tab w:val="left" w:pos="1079"/>
        </w:tabs>
        <w:spacing w:before="43" w:after="0" w:line="240" w:lineRule="auto"/>
        <w:ind w:left="1078" w:right="0" w:hanging="947"/>
        <w:jc w:val="left"/>
        <w:rPr>
          <w:sz w:val="21"/>
        </w:rPr>
      </w:pPr>
      <w:bookmarkStart w:id="53" w:name="5.7.2.3　洗手龙头应采用节水、耐用、感应式器具。"/>
      <w:bookmarkEnd w:id="53"/>
      <w:r>
        <w:rPr>
          <w:sz w:val="21"/>
        </w:rPr>
        <w:t>洗手龙头应采用节水、耐用、感应式器具。</w:t>
      </w:r>
    </w:p>
    <w:p>
      <w:pPr>
        <w:spacing w:after="0" w:line="240" w:lineRule="auto"/>
        <w:jc w:val="left"/>
        <w:rPr>
          <w:sz w:val="21"/>
        </w:rPr>
        <w:sectPr>
          <w:headerReference w:type="even" r:id="rId24"/>
          <w:headerReference w:type="default" r:id="rId25"/>
          <w:footerReference w:type="even" r:id="rId26"/>
          <w:footerReference w:type="default" r:id="rId27"/>
          <w:pgSz w:w="11910" w:h="16840"/>
          <w:pgMar w:top="1660" w:right="740" w:bottom="1340" w:left="1000" w:header="1442" w:footer="1141"/>
          <w:pgNumType w:start="4"/>
          <w:cols w:space="708"/>
        </w:sectPr>
      </w:pPr>
    </w:p>
    <w:p>
      <w:pPr>
        <w:pStyle w:val="BodyText"/>
        <w:spacing w:before="9"/>
        <w:rPr>
          <w:sz w:val="14"/>
        </w:rPr>
      </w:pPr>
    </w:p>
    <w:p>
      <w:pPr>
        <w:pStyle w:val="ListParagraph"/>
        <w:numPr>
          <w:ilvl w:val="2"/>
          <w:numId w:val="14"/>
        </w:numPr>
        <w:tabs>
          <w:tab w:val="left" w:pos="1152"/>
          <w:tab w:val="left" w:pos="1153"/>
        </w:tabs>
        <w:spacing w:before="70" w:after="0" w:line="240" w:lineRule="auto"/>
        <w:ind w:left="1152" w:right="0" w:hanging="738"/>
        <w:jc w:val="left"/>
        <w:rPr>
          <w:rFonts w:ascii="黑体" w:eastAsia="黑体" w:hint="eastAsia"/>
          <w:sz w:val="21"/>
        </w:rPr>
      </w:pPr>
      <w:bookmarkStart w:id="54" w:name="5.7.3　照明"/>
      <w:bookmarkEnd w:id="54"/>
      <w:r>
        <w:rPr>
          <w:rFonts w:ascii="黑体" w:eastAsia="黑体" w:hint="eastAsia"/>
          <w:sz w:val="21"/>
        </w:rPr>
        <w:t>照明</w:t>
      </w:r>
    </w:p>
    <w:p>
      <w:pPr>
        <w:pStyle w:val="BodyText"/>
        <w:spacing w:before="6"/>
        <w:rPr>
          <w:rFonts w:ascii="黑体"/>
          <w:sz w:val="15"/>
        </w:rPr>
      </w:pPr>
    </w:p>
    <w:p>
      <w:pPr>
        <w:pStyle w:val="BodyText"/>
        <w:ind w:left="836"/>
      </w:pPr>
      <w:r>
        <w:t>自然采光不足时，应选用 LED 照明灯光，采用声控、 光控、感应、定时等节能控制措施。</w:t>
      </w:r>
    </w:p>
    <w:p>
      <w:pPr>
        <w:pStyle w:val="BodyText"/>
        <w:spacing w:before="7"/>
        <w:rPr>
          <w:sz w:val="15"/>
        </w:rPr>
      </w:pPr>
    </w:p>
    <w:p>
      <w:pPr>
        <w:pStyle w:val="ListParagraph"/>
        <w:numPr>
          <w:ilvl w:val="1"/>
          <w:numId w:val="14"/>
        </w:numPr>
        <w:tabs>
          <w:tab w:val="left" w:pos="941"/>
          <w:tab w:val="left" w:pos="942"/>
        </w:tabs>
        <w:spacing w:before="0" w:after="0" w:line="240" w:lineRule="auto"/>
        <w:ind w:left="941" w:right="0" w:hanging="527"/>
        <w:jc w:val="left"/>
        <w:rPr>
          <w:rFonts w:ascii="黑体" w:eastAsia="黑体" w:hint="eastAsia"/>
          <w:sz w:val="21"/>
        </w:rPr>
      </w:pPr>
      <w:bookmarkStart w:id="55" w:name="5.8　施工与验收"/>
      <w:bookmarkEnd w:id="55"/>
      <w:r>
        <w:rPr>
          <w:rFonts w:ascii="黑体" w:eastAsia="黑体" w:hint="eastAsia"/>
          <w:sz w:val="21"/>
        </w:rPr>
        <w:t>施工与验收</w:t>
      </w:r>
    </w:p>
    <w:p>
      <w:pPr>
        <w:pStyle w:val="BodyText"/>
        <w:spacing w:before="7"/>
        <w:rPr>
          <w:rFonts w:ascii="黑体"/>
          <w:sz w:val="15"/>
        </w:rPr>
      </w:pPr>
    </w:p>
    <w:p>
      <w:pPr>
        <w:pStyle w:val="ListParagraph"/>
        <w:numPr>
          <w:ilvl w:val="2"/>
          <w:numId w:val="14"/>
        </w:numPr>
        <w:tabs>
          <w:tab w:val="left" w:pos="1152"/>
          <w:tab w:val="left" w:pos="1153"/>
        </w:tabs>
        <w:spacing w:before="0" w:after="0" w:line="240" w:lineRule="auto"/>
        <w:ind w:left="1152" w:right="0" w:hanging="738"/>
        <w:jc w:val="left"/>
        <w:rPr>
          <w:rFonts w:ascii="黑体" w:eastAsia="黑体" w:hint="eastAsia"/>
          <w:sz w:val="21"/>
        </w:rPr>
      </w:pPr>
      <w:bookmarkStart w:id="56" w:name="5.8.1　工程实体验收"/>
      <w:bookmarkEnd w:id="56"/>
      <w:r>
        <w:rPr>
          <w:rFonts w:ascii="黑体" w:eastAsia="黑体" w:hint="eastAsia"/>
          <w:w w:val="95"/>
          <w:sz w:val="21"/>
        </w:rPr>
        <w:t>工程实体验收</w:t>
      </w:r>
    </w:p>
    <w:p>
      <w:pPr>
        <w:pStyle w:val="BodyText"/>
        <w:spacing w:before="7"/>
        <w:rPr>
          <w:rFonts w:ascii="黑体"/>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57" w:name="5.8.1.1　基本要求"/>
      <w:bookmarkEnd w:id="57"/>
      <w:r>
        <w:rPr>
          <w:rFonts w:ascii="黑体" w:eastAsia="黑体" w:hint="eastAsia"/>
          <w:w w:val="95"/>
          <w:sz w:val="21"/>
        </w:rPr>
        <w:t>基本要求</w:t>
      </w:r>
    </w:p>
    <w:p>
      <w:pPr>
        <w:pStyle w:val="BodyText"/>
        <w:spacing w:before="6"/>
        <w:rPr>
          <w:rFonts w:ascii="黑体"/>
          <w:sz w:val="15"/>
        </w:rPr>
      </w:pPr>
    </w:p>
    <w:p>
      <w:pPr>
        <w:pStyle w:val="BodyText"/>
        <w:ind w:left="836"/>
      </w:pPr>
      <w:r>
        <w:t>工程实体验收应符合GB 50300的规定。</w:t>
      </w:r>
    </w:p>
    <w:p>
      <w:pPr>
        <w:pStyle w:val="BodyText"/>
        <w:spacing w:before="7"/>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58" w:name="5.8.1.2　地基与基础"/>
      <w:bookmarkEnd w:id="58"/>
      <w:r>
        <w:rPr>
          <w:rFonts w:ascii="黑体" w:eastAsia="黑体" w:hint="eastAsia"/>
          <w:sz w:val="21"/>
        </w:rPr>
        <w:t>地基与基础</w:t>
      </w:r>
    </w:p>
    <w:p>
      <w:pPr>
        <w:pStyle w:val="BodyText"/>
        <w:spacing w:before="7"/>
        <w:rPr>
          <w:rFonts w:ascii="黑体"/>
          <w:sz w:val="15"/>
        </w:rPr>
      </w:pPr>
    </w:p>
    <w:p>
      <w:pPr>
        <w:pStyle w:val="BodyText"/>
        <w:ind w:left="836"/>
      </w:pPr>
      <w:r>
        <w:t>地基与基础工程的施工和验收应符合GB 51004及GB 50202的规定。</w:t>
      </w:r>
    </w:p>
    <w:p>
      <w:pPr>
        <w:pStyle w:val="BodyText"/>
        <w:spacing w:before="7"/>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59" w:name="5.8.1.3　主体结构"/>
      <w:bookmarkEnd w:id="59"/>
      <w:r>
        <w:rPr>
          <w:rFonts w:ascii="黑体" w:eastAsia="黑体" w:hint="eastAsia"/>
          <w:sz w:val="21"/>
        </w:rPr>
        <w:t>主体结构</w:t>
      </w:r>
    </w:p>
    <w:p>
      <w:pPr>
        <w:pStyle w:val="BodyText"/>
        <w:spacing w:before="6"/>
        <w:rPr>
          <w:rFonts w:ascii="黑体"/>
          <w:sz w:val="15"/>
        </w:rPr>
      </w:pPr>
    </w:p>
    <w:p>
      <w:pPr>
        <w:pStyle w:val="BodyText"/>
        <w:ind w:left="836"/>
      </w:pPr>
      <w:r>
        <w:t>按照工程结构材料的不同，建宁驿站主体结构的施工和验收应符合以下规定：</w:t>
      </w:r>
    </w:p>
    <w:p>
      <w:pPr>
        <w:pStyle w:val="BodyText"/>
        <w:spacing w:before="43"/>
        <w:ind w:left="840"/>
      </w:pPr>
      <w:r>
        <w:t>——混凝土结构的施工应符合 GB 50666 的规定，验收应符合 GB 50204 的规定；</w:t>
      </w:r>
    </w:p>
    <w:p>
      <w:pPr>
        <w:pStyle w:val="BodyText"/>
        <w:spacing w:before="43"/>
        <w:ind w:left="840"/>
      </w:pPr>
      <w:r>
        <w:t>——砌体结构的施工应符合 GB 50924，验收应符合 GB 50203 的规定；</w:t>
      </w:r>
    </w:p>
    <w:p>
      <w:pPr>
        <w:pStyle w:val="BodyText"/>
        <w:spacing w:before="43"/>
        <w:ind w:left="840"/>
      </w:pPr>
      <w:r>
        <w:t>——钢结构的施工应符合 GB 50755 的规定，验收应符合 GB 50205 的规定；</w:t>
      </w:r>
    </w:p>
    <w:p>
      <w:pPr>
        <w:pStyle w:val="BodyText"/>
        <w:spacing w:before="43"/>
        <w:ind w:left="840"/>
      </w:pPr>
      <w:r>
        <w:t>——木结构的施工应符合 GB/T 50772 的规定，验收应符合 GB 50206 的规定。</w:t>
      </w:r>
    </w:p>
    <w:p>
      <w:pPr>
        <w:pStyle w:val="BodyText"/>
        <w:spacing w:before="7"/>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60" w:name="5.8.1.4　建筑装饰装修"/>
      <w:bookmarkEnd w:id="60"/>
      <w:r>
        <w:rPr>
          <w:rFonts w:ascii="黑体" w:eastAsia="黑体" w:hint="eastAsia"/>
          <w:sz w:val="21"/>
        </w:rPr>
        <w:t>建筑装饰装修</w:t>
      </w:r>
    </w:p>
    <w:p>
      <w:pPr>
        <w:pStyle w:val="BodyText"/>
        <w:spacing w:before="7"/>
        <w:rPr>
          <w:rFonts w:ascii="黑体"/>
          <w:sz w:val="15"/>
        </w:rPr>
      </w:pPr>
    </w:p>
    <w:p>
      <w:pPr>
        <w:pStyle w:val="BodyText"/>
        <w:ind w:left="836"/>
      </w:pPr>
      <w:r>
        <w:t>建筑装饰装修工程的施工应符合GB 50209的规定，验收应符合GB 50210的规定。</w:t>
      </w:r>
    </w:p>
    <w:p>
      <w:pPr>
        <w:pStyle w:val="BodyText"/>
        <w:spacing w:before="6"/>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61" w:name="5.8.1.5　屋面"/>
      <w:bookmarkEnd w:id="61"/>
      <w:r>
        <w:rPr>
          <w:rFonts w:ascii="黑体" w:eastAsia="黑体" w:hint="eastAsia"/>
          <w:sz w:val="21"/>
        </w:rPr>
        <w:t>屋面</w:t>
      </w:r>
    </w:p>
    <w:p>
      <w:pPr>
        <w:pStyle w:val="BodyText"/>
        <w:spacing w:before="7"/>
        <w:rPr>
          <w:rFonts w:ascii="黑体"/>
          <w:sz w:val="15"/>
        </w:rPr>
      </w:pPr>
    </w:p>
    <w:p>
      <w:pPr>
        <w:pStyle w:val="BodyText"/>
        <w:ind w:left="836"/>
      </w:pPr>
      <w:r>
        <w:t>屋面工程的施工应符合GB 50345的规定，验收应符合GB 50207的规定。</w:t>
      </w:r>
    </w:p>
    <w:p>
      <w:pPr>
        <w:pStyle w:val="BodyText"/>
        <w:spacing w:before="7"/>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62" w:name="5.8.1.6　给排水及卫生设备"/>
      <w:bookmarkEnd w:id="62"/>
      <w:r>
        <w:rPr>
          <w:rFonts w:ascii="黑体" w:eastAsia="黑体" w:hint="eastAsia"/>
          <w:sz w:val="21"/>
        </w:rPr>
        <w:t>给排水及卫生设备</w:t>
      </w:r>
    </w:p>
    <w:p>
      <w:pPr>
        <w:pStyle w:val="BodyText"/>
        <w:spacing w:before="7"/>
        <w:rPr>
          <w:rFonts w:ascii="黑体"/>
          <w:sz w:val="15"/>
        </w:rPr>
      </w:pPr>
    </w:p>
    <w:p>
      <w:pPr>
        <w:pStyle w:val="BodyText"/>
        <w:ind w:left="836"/>
      </w:pPr>
      <w:r>
        <w:t>给水、排水工程及卫生设备的安装应符合GB 50242的规定，验收应符合CJJ</w:t>
      </w:r>
      <w:r>
        <w:rPr>
          <w:spacing w:val="-51"/>
        </w:rPr>
        <w:t xml:space="preserve"> </w:t>
      </w:r>
      <w:r>
        <w:t>14—2016中4.5的规定。</w:t>
      </w:r>
    </w:p>
    <w:p>
      <w:pPr>
        <w:pStyle w:val="BodyText"/>
        <w:spacing w:before="6"/>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63" w:name="5.8.1.7　通风与空调"/>
      <w:bookmarkEnd w:id="63"/>
      <w:r>
        <w:rPr>
          <w:rFonts w:ascii="黑体" w:eastAsia="黑体" w:hint="eastAsia"/>
          <w:sz w:val="21"/>
        </w:rPr>
        <w:t>通风与空调</w:t>
      </w:r>
    </w:p>
    <w:p>
      <w:pPr>
        <w:pStyle w:val="BodyText"/>
        <w:spacing w:before="7"/>
        <w:rPr>
          <w:rFonts w:ascii="黑体"/>
          <w:sz w:val="15"/>
        </w:rPr>
      </w:pPr>
    </w:p>
    <w:p>
      <w:pPr>
        <w:pStyle w:val="BodyText"/>
        <w:ind w:left="836"/>
      </w:pPr>
      <w:r>
        <w:t>通风与空调工程的施工应符合GB 50738的规定，验收应符合GB 50243的规定。</w:t>
      </w:r>
    </w:p>
    <w:p>
      <w:pPr>
        <w:pStyle w:val="BodyText"/>
        <w:spacing w:before="7"/>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64" w:name="5.8.1.8　建筑电气"/>
      <w:bookmarkEnd w:id="64"/>
      <w:r>
        <w:rPr>
          <w:rFonts w:ascii="黑体" w:eastAsia="黑体" w:hint="eastAsia"/>
          <w:sz w:val="21"/>
        </w:rPr>
        <w:t>建筑电气</w:t>
      </w:r>
    </w:p>
    <w:p>
      <w:pPr>
        <w:pStyle w:val="BodyText"/>
        <w:spacing w:before="7"/>
        <w:rPr>
          <w:rFonts w:ascii="黑体"/>
          <w:sz w:val="15"/>
        </w:rPr>
      </w:pPr>
    </w:p>
    <w:p>
      <w:pPr>
        <w:pStyle w:val="BodyText"/>
        <w:ind w:left="836"/>
      </w:pPr>
      <w:r>
        <w:t>建筑电气工程的施工和验收应符合GB 50303的规定。</w:t>
      </w:r>
    </w:p>
    <w:p>
      <w:pPr>
        <w:pStyle w:val="BodyText"/>
        <w:spacing w:before="6"/>
        <w:rPr>
          <w:sz w:val="15"/>
        </w:rPr>
      </w:pPr>
    </w:p>
    <w:p>
      <w:pPr>
        <w:pStyle w:val="ListParagraph"/>
        <w:numPr>
          <w:ilvl w:val="3"/>
          <w:numId w:val="14"/>
        </w:numPr>
        <w:tabs>
          <w:tab w:val="left" w:pos="1361"/>
          <w:tab w:val="left" w:pos="1362"/>
        </w:tabs>
        <w:spacing w:before="0" w:after="0" w:line="240" w:lineRule="auto"/>
        <w:ind w:left="1361" w:right="0" w:hanging="947"/>
        <w:jc w:val="left"/>
        <w:rPr>
          <w:rFonts w:ascii="黑体" w:eastAsia="黑体" w:hint="eastAsia"/>
          <w:sz w:val="21"/>
        </w:rPr>
      </w:pPr>
      <w:bookmarkStart w:id="65" w:name="5.8.1.9　智能建筑"/>
      <w:bookmarkEnd w:id="65"/>
      <w:r>
        <w:rPr>
          <w:rFonts w:ascii="黑体" w:eastAsia="黑体" w:hint="eastAsia"/>
          <w:sz w:val="21"/>
        </w:rPr>
        <w:t>智能建筑</w:t>
      </w:r>
    </w:p>
    <w:p>
      <w:pPr>
        <w:pStyle w:val="BodyText"/>
        <w:spacing w:before="7"/>
        <w:rPr>
          <w:rFonts w:ascii="黑体"/>
          <w:sz w:val="15"/>
        </w:rPr>
      </w:pPr>
    </w:p>
    <w:p>
      <w:pPr>
        <w:pStyle w:val="BodyText"/>
        <w:ind w:left="836"/>
      </w:pPr>
      <w:r>
        <w:t>智能建筑工程的施工应符合GB 50606的规定，验收应符合GB 50339的规定。</w:t>
      </w:r>
    </w:p>
    <w:p>
      <w:pPr>
        <w:pStyle w:val="BodyText"/>
        <w:spacing w:before="7"/>
        <w:rPr>
          <w:sz w:val="15"/>
        </w:rPr>
      </w:pPr>
    </w:p>
    <w:p>
      <w:pPr>
        <w:pStyle w:val="ListParagraph"/>
        <w:numPr>
          <w:ilvl w:val="3"/>
          <w:numId w:val="14"/>
        </w:numPr>
        <w:tabs>
          <w:tab w:val="left" w:pos="1467"/>
          <w:tab w:val="left" w:pos="1468"/>
        </w:tabs>
        <w:spacing w:before="0" w:after="0" w:line="240" w:lineRule="auto"/>
        <w:ind w:left="1467" w:right="0" w:hanging="1053"/>
        <w:jc w:val="left"/>
        <w:rPr>
          <w:rFonts w:ascii="黑体" w:eastAsia="黑体" w:hint="eastAsia"/>
          <w:sz w:val="21"/>
        </w:rPr>
      </w:pPr>
      <w:bookmarkStart w:id="66" w:name="5.8.1.10　无障碍设施"/>
      <w:bookmarkEnd w:id="66"/>
      <w:r>
        <w:rPr>
          <w:rFonts w:ascii="黑体" w:eastAsia="黑体" w:hint="eastAsia"/>
          <w:sz w:val="21"/>
        </w:rPr>
        <w:t>无障碍设施</w:t>
      </w:r>
    </w:p>
    <w:p>
      <w:pPr>
        <w:pStyle w:val="BodyText"/>
        <w:spacing w:before="7"/>
        <w:rPr>
          <w:rFonts w:ascii="黑体"/>
          <w:sz w:val="15"/>
        </w:rPr>
      </w:pPr>
    </w:p>
    <w:p>
      <w:pPr>
        <w:pStyle w:val="BodyText"/>
        <w:ind w:left="836"/>
      </w:pPr>
      <w:r>
        <w:t>无障碍设施的施工和验收应符合GB 50642的规定。</w:t>
      </w:r>
    </w:p>
    <w:p>
      <w:pPr>
        <w:pStyle w:val="BodyText"/>
        <w:spacing w:before="6"/>
        <w:rPr>
          <w:sz w:val="15"/>
        </w:rPr>
      </w:pPr>
    </w:p>
    <w:p>
      <w:pPr>
        <w:pStyle w:val="ListParagraph"/>
        <w:numPr>
          <w:ilvl w:val="2"/>
          <w:numId w:val="14"/>
        </w:numPr>
        <w:tabs>
          <w:tab w:val="left" w:pos="1152"/>
          <w:tab w:val="left" w:pos="1153"/>
        </w:tabs>
        <w:spacing w:before="0" w:after="0" w:line="240" w:lineRule="auto"/>
        <w:ind w:left="1152" w:right="0" w:hanging="738"/>
        <w:jc w:val="left"/>
        <w:rPr>
          <w:rFonts w:ascii="黑体" w:eastAsia="黑体" w:hint="eastAsia"/>
          <w:sz w:val="21"/>
        </w:rPr>
      </w:pPr>
      <w:bookmarkStart w:id="67" w:name="5.8.2　资料验收"/>
      <w:bookmarkEnd w:id="67"/>
      <w:r>
        <w:rPr>
          <w:rFonts w:ascii="黑体" w:eastAsia="黑体" w:hint="eastAsia"/>
          <w:sz w:val="21"/>
        </w:rPr>
        <w:t>资料验收</w:t>
      </w:r>
    </w:p>
    <w:p>
      <w:pPr>
        <w:pStyle w:val="BodyText"/>
        <w:spacing w:before="7"/>
        <w:rPr>
          <w:rFonts w:ascii="黑体"/>
          <w:sz w:val="15"/>
        </w:rPr>
      </w:pPr>
    </w:p>
    <w:p>
      <w:pPr>
        <w:pStyle w:val="BodyText"/>
        <w:ind w:left="836"/>
      </w:pPr>
      <w:r>
        <w:t>资料验收应符合GB 50300-2013附录H的规定。</w:t>
      </w:r>
    </w:p>
    <w:p>
      <w:pPr>
        <w:spacing w:after="0"/>
        <w:sectPr>
          <w:headerReference w:type="even" r:id="rId28"/>
          <w:headerReference w:type="default" r:id="rId29"/>
          <w:footerReference w:type="even" r:id="rId30"/>
          <w:footerReference w:type="default" r:id="rId31"/>
          <w:pgSz w:w="11910" w:h="16840"/>
          <w:pgMar w:top="1660" w:right="740" w:bottom="1340" w:left="1000" w:header="1442" w:footer="1141"/>
          <w:pgNumType w:start="5"/>
          <w:cols w:space="708"/>
        </w:sectPr>
      </w:pPr>
    </w:p>
    <w:p>
      <w:pPr>
        <w:pStyle w:val="BodyText"/>
        <w:spacing w:before="9"/>
        <w:rPr>
          <w:sz w:val="14"/>
        </w:rPr>
      </w:pPr>
    </w:p>
    <w:p>
      <w:pPr>
        <w:pStyle w:val="ListParagraph"/>
        <w:numPr>
          <w:ilvl w:val="0"/>
          <w:numId w:val="15"/>
        </w:numPr>
        <w:tabs>
          <w:tab w:val="left" w:pos="449"/>
          <w:tab w:val="left" w:pos="450"/>
        </w:tabs>
        <w:spacing w:before="70" w:after="0" w:line="240" w:lineRule="auto"/>
        <w:ind w:left="449" w:right="0" w:hanging="318"/>
        <w:jc w:val="left"/>
        <w:rPr>
          <w:rFonts w:ascii="黑体" w:eastAsia="黑体" w:hint="eastAsia"/>
          <w:sz w:val="21"/>
        </w:rPr>
      </w:pPr>
      <w:bookmarkStart w:id="68" w:name="6　管理要求"/>
      <w:bookmarkEnd w:id="68"/>
      <w:bookmarkStart w:id="69" w:name="_bookmark6"/>
      <w:bookmarkEnd w:id="69"/>
      <w:r>
        <w:rPr>
          <w:rFonts w:ascii="黑体" w:eastAsia="黑体" w:hint="eastAsia"/>
          <w:sz w:val="21"/>
        </w:rPr>
        <w:t>管理要求</w:t>
      </w:r>
    </w:p>
    <w:p>
      <w:pPr>
        <w:pStyle w:val="BodyText"/>
        <w:spacing w:before="9"/>
        <w:rPr>
          <w:rFonts w:ascii="黑体"/>
          <w:sz w:val="27"/>
        </w:rPr>
      </w:pPr>
    </w:p>
    <w:p>
      <w:pPr>
        <w:pStyle w:val="ListParagraph"/>
        <w:numPr>
          <w:ilvl w:val="1"/>
          <w:numId w:val="15"/>
        </w:numPr>
        <w:tabs>
          <w:tab w:val="left" w:pos="658"/>
          <w:tab w:val="left" w:pos="659"/>
        </w:tabs>
        <w:spacing w:before="0" w:after="0" w:line="240" w:lineRule="auto"/>
        <w:ind w:left="658" w:right="0" w:hanging="527"/>
        <w:jc w:val="left"/>
        <w:rPr>
          <w:rFonts w:ascii="黑体" w:eastAsia="黑体" w:hint="eastAsia"/>
          <w:sz w:val="21"/>
        </w:rPr>
      </w:pPr>
      <w:bookmarkStart w:id="70" w:name="6.1　管理职责"/>
      <w:bookmarkEnd w:id="70"/>
      <w:r>
        <w:rPr>
          <w:rFonts w:ascii="黑体" w:eastAsia="黑体" w:hint="eastAsia"/>
          <w:sz w:val="21"/>
        </w:rPr>
        <w:t>管理职责</w:t>
      </w:r>
    </w:p>
    <w:p>
      <w:pPr>
        <w:pStyle w:val="BodyText"/>
        <w:spacing w:before="6"/>
        <w:rPr>
          <w:rFonts w:ascii="黑体"/>
          <w:sz w:val="15"/>
        </w:rPr>
      </w:pPr>
    </w:p>
    <w:p>
      <w:pPr>
        <w:pStyle w:val="ListParagraph"/>
        <w:numPr>
          <w:ilvl w:val="2"/>
          <w:numId w:val="15"/>
        </w:numPr>
        <w:tabs>
          <w:tab w:val="left" w:pos="869"/>
          <w:tab w:val="left" w:pos="870"/>
        </w:tabs>
        <w:spacing w:before="0" w:after="0" w:line="240" w:lineRule="auto"/>
        <w:ind w:left="869" w:right="0" w:hanging="738"/>
        <w:jc w:val="left"/>
        <w:rPr>
          <w:sz w:val="21"/>
        </w:rPr>
      </w:pPr>
      <w:bookmarkStart w:id="71" w:name="6.1.1　管理主体负责建宁驿站及管养单位的管理。"/>
      <w:bookmarkEnd w:id="71"/>
      <w:r>
        <w:rPr>
          <w:sz w:val="21"/>
        </w:rPr>
        <w:t>管理主体负责建宁驿站及管养单位的管理。</w:t>
      </w:r>
    </w:p>
    <w:p>
      <w:pPr>
        <w:pStyle w:val="ListParagraph"/>
        <w:numPr>
          <w:ilvl w:val="2"/>
          <w:numId w:val="15"/>
        </w:numPr>
        <w:tabs>
          <w:tab w:val="left" w:pos="869"/>
          <w:tab w:val="left" w:pos="870"/>
        </w:tabs>
        <w:spacing w:before="43" w:after="0" w:line="240" w:lineRule="auto"/>
        <w:ind w:left="869" w:right="0" w:hanging="738"/>
        <w:jc w:val="left"/>
        <w:rPr>
          <w:sz w:val="21"/>
        </w:rPr>
      </w:pPr>
      <w:bookmarkStart w:id="72" w:name="6.1.2　管养单位负责建宁驿站的日常运行养护。"/>
      <w:bookmarkEnd w:id="72"/>
      <w:r>
        <w:rPr>
          <w:sz w:val="21"/>
        </w:rPr>
        <w:t>管养单位负责建宁驿站的日常运行养护。</w:t>
      </w:r>
    </w:p>
    <w:p>
      <w:pPr>
        <w:pStyle w:val="ListParagraph"/>
        <w:numPr>
          <w:ilvl w:val="2"/>
          <w:numId w:val="15"/>
        </w:numPr>
        <w:tabs>
          <w:tab w:val="left" w:pos="869"/>
          <w:tab w:val="left" w:pos="870"/>
        </w:tabs>
        <w:spacing w:before="43" w:after="0" w:line="240" w:lineRule="auto"/>
        <w:ind w:left="869" w:right="0" w:hanging="738"/>
        <w:jc w:val="left"/>
        <w:rPr>
          <w:sz w:val="21"/>
        </w:rPr>
      </w:pPr>
      <w:bookmarkStart w:id="73" w:name="6.1.3　监管单位负责对建宁驿站的运行进行监督检查。"/>
      <w:bookmarkEnd w:id="73"/>
      <w:r>
        <w:rPr>
          <w:sz w:val="21"/>
        </w:rPr>
        <w:t>监管单位负责对建宁驿站的运行进行监督检查。</w:t>
      </w:r>
    </w:p>
    <w:p>
      <w:pPr>
        <w:pStyle w:val="ListParagraph"/>
        <w:numPr>
          <w:ilvl w:val="2"/>
          <w:numId w:val="15"/>
        </w:numPr>
        <w:tabs>
          <w:tab w:val="left" w:pos="869"/>
          <w:tab w:val="left" w:pos="870"/>
        </w:tabs>
        <w:spacing w:before="43" w:after="0" w:line="278" w:lineRule="auto"/>
        <w:ind w:left="132" w:right="685" w:firstLine="0"/>
        <w:jc w:val="left"/>
        <w:rPr>
          <w:sz w:val="21"/>
        </w:rPr>
      </w:pPr>
      <w:bookmarkStart w:id="74" w:name="6.1.4　采用市场化运作模式，主管部门筹集日常运行的资金，工会提供相关物品，保"/>
      <w:bookmarkEnd w:id="74"/>
      <w:r>
        <w:rPr>
          <w:w w:val="95"/>
          <w:sz w:val="21"/>
        </w:rPr>
        <w:t>采用市场化运作模式，主管部门筹集日常运行的资金，工会提供相关物品，保障各项工作、活</w:t>
      </w:r>
      <w:r>
        <w:rPr>
          <w:w w:val="95"/>
          <w:sz w:val="21"/>
        </w:rPr>
        <w:t xml:space="preserve">   </w:t>
      </w:r>
      <w:r>
        <w:rPr>
          <w:sz w:val="21"/>
        </w:rPr>
        <w:t>动的有序开展。</w:t>
      </w:r>
    </w:p>
    <w:p>
      <w:pPr>
        <w:pStyle w:val="ListParagraph"/>
        <w:numPr>
          <w:ilvl w:val="1"/>
          <w:numId w:val="15"/>
        </w:numPr>
        <w:tabs>
          <w:tab w:val="left" w:pos="658"/>
          <w:tab w:val="left" w:pos="659"/>
        </w:tabs>
        <w:spacing w:before="156" w:after="0" w:line="240" w:lineRule="auto"/>
        <w:ind w:left="658" w:right="0" w:hanging="527"/>
        <w:jc w:val="left"/>
        <w:rPr>
          <w:rFonts w:ascii="黑体" w:eastAsia="黑体" w:hint="eastAsia"/>
          <w:sz w:val="21"/>
        </w:rPr>
      </w:pPr>
      <w:bookmarkStart w:id="75" w:name="6.2　制度管理"/>
      <w:bookmarkEnd w:id="75"/>
      <w:r>
        <w:rPr>
          <w:rFonts w:ascii="黑体" w:eastAsia="黑体" w:hint="eastAsia"/>
          <w:sz w:val="21"/>
        </w:rPr>
        <w:t>制度管理</w:t>
      </w:r>
    </w:p>
    <w:p>
      <w:pPr>
        <w:pStyle w:val="BodyText"/>
        <w:spacing w:before="7"/>
        <w:rPr>
          <w:rFonts w:ascii="黑体"/>
          <w:sz w:val="15"/>
        </w:rPr>
      </w:pPr>
    </w:p>
    <w:p>
      <w:pPr>
        <w:pStyle w:val="ListParagraph"/>
        <w:numPr>
          <w:ilvl w:val="2"/>
          <w:numId w:val="15"/>
        </w:numPr>
        <w:tabs>
          <w:tab w:val="left" w:pos="869"/>
          <w:tab w:val="left" w:pos="870"/>
        </w:tabs>
        <w:spacing w:before="0" w:after="0" w:line="240" w:lineRule="auto"/>
        <w:ind w:left="869" w:right="0" w:hanging="738"/>
        <w:jc w:val="left"/>
        <w:rPr>
          <w:rFonts w:ascii="黑体" w:eastAsia="黑体" w:hint="eastAsia"/>
          <w:sz w:val="21"/>
        </w:rPr>
      </w:pPr>
      <w:bookmarkStart w:id="76" w:name="6.2.1　日常管理制度"/>
      <w:bookmarkEnd w:id="76"/>
      <w:r>
        <w:rPr>
          <w:rFonts w:ascii="黑体" w:eastAsia="黑体" w:hint="eastAsia"/>
          <w:sz w:val="21"/>
        </w:rPr>
        <w:t>日常管理制度</w:t>
      </w:r>
    </w:p>
    <w:p>
      <w:pPr>
        <w:pStyle w:val="BodyText"/>
        <w:spacing w:before="6"/>
        <w:rPr>
          <w:rFonts w:ascii="黑体"/>
          <w:sz w:val="15"/>
        </w:rPr>
      </w:pPr>
    </w:p>
    <w:p>
      <w:pPr>
        <w:pStyle w:val="BodyText"/>
        <w:spacing w:before="1" w:line="278" w:lineRule="auto"/>
        <w:ind w:left="132" w:right="582" w:firstLine="420"/>
      </w:pPr>
      <w:r>
        <w:rPr>
          <w:w w:val="95"/>
        </w:rPr>
        <w:t xml:space="preserve">应建立日常管理制度，包括但不限于资产管理制度、设施设备维护管理制度、环境卫生管理制度、   </w:t>
      </w:r>
      <w:r>
        <w:t>工作人员管理制度、投诉处理制度、信息管理制度。</w:t>
      </w:r>
    </w:p>
    <w:p>
      <w:pPr>
        <w:pStyle w:val="ListParagraph"/>
        <w:numPr>
          <w:ilvl w:val="2"/>
          <w:numId w:val="15"/>
        </w:numPr>
        <w:tabs>
          <w:tab w:val="left" w:pos="869"/>
          <w:tab w:val="left" w:pos="870"/>
        </w:tabs>
        <w:spacing w:before="155" w:after="0" w:line="240" w:lineRule="auto"/>
        <w:ind w:left="869" w:right="0" w:hanging="738"/>
        <w:jc w:val="left"/>
        <w:rPr>
          <w:rFonts w:ascii="黑体" w:eastAsia="黑体" w:hint="eastAsia"/>
          <w:sz w:val="21"/>
        </w:rPr>
      </w:pPr>
      <w:bookmarkStart w:id="77" w:name="6.2.2　服务场所针对性的服务与管理制度"/>
      <w:bookmarkEnd w:id="77"/>
      <w:r>
        <w:rPr>
          <w:rFonts w:ascii="黑体" w:eastAsia="黑体" w:hint="eastAsia"/>
          <w:sz w:val="21"/>
        </w:rPr>
        <w:t>服务场所针对性的服务与管理制度</w:t>
      </w:r>
    </w:p>
    <w:p>
      <w:pPr>
        <w:pStyle w:val="BodyText"/>
        <w:spacing w:before="7"/>
        <w:rPr>
          <w:rFonts w:ascii="黑体"/>
          <w:sz w:val="15"/>
        </w:rPr>
      </w:pPr>
    </w:p>
    <w:p>
      <w:pPr>
        <w:pStyle w:val="BodyText"/>
        <w:spacing w:line="278" w:lineRule="auto"/>
        <w:ind w:left="132" w:right="675" w:firstLine="420"/>
      </w:pPr>
      <w:r>
        <w:rPr>
          <w:spacing w:val="-5"/>
          <w:w w:val="95"/>
        </w:rPr>
        <w:t xml:space="preserve">应建立服务场所针对性的服务与管理制度，包括但不限于保洁服务作业流程规范、卫生检查及服务   </w:t>
      </w:r>
      <w:r>
        <w:rPr>
          <w:spacing w:val="-5"/>
        </w:rPr>
        <w:t>巡查制度、服务评价改进规范等。</w:t>
      </w:r>
    </w:p>
    <w:p>
      <w:pPr>
        <w:pStyle w:val="ListParagraph"/>
        <w:numPr>
          <w:ilvl w:val="2"/>
          <w:numId w:val="15"/>
        </w:numPr>
        <w:tabs>
          <w:tab w:val="left" w:pos="869"/>
          <w:tab w:val="left" w:pos="870"/>
        </w:tabs>
        <w:spacing w:before="156" w:after="0" w:line="240" w:lineRule="auto"/>
        <w:ind w:left="869" w:right="0" w:hanging="738"/>
        <w:jc w:val="left"/>
        <w:rPr>
          <w:rFonts w:ascii="黑体" w:eastAsia="黑体" w:hint="eastAsia"/>
          <w:sz w:val="21"/>
        </w:rPr>
      </w:pPr>
      <w:bookmarkStart w:id="78" w:name="6.2.3　6S管理制度"/>
      <w:bookmarkEnd w:id="78"/>
      <w:r>
        <w:rPr>
          <w:rFonts w:ascii="黑体" w:eastAsia="黑体" w:hint="eastAsia"/>
          <w:sz w:val="21"/>
        </w:rPr>
        <w:t>6</w:t>
      </w:r>
      <w:r>
        <w:rPr>
          <w:rFonts w:ascii="黑体" w:eastAsia="黑体" w:hint="eastAsia"/>
          <w:sz w:val="21"/>
        </w:rPr>
        <w:t>S</w:t>
      </w:r>
      <w:r>
        <w:rPr>
          <w:rFonts w:ascii="黑体" w:eastAsia="黑体" w:hint="eastAsia"/>
          <w:spacing w:val="-12"/>
          <w:sz w:val="21"/>
        </w:rPr>
        <w:t xml:space="preserve"> 管理制度</w:t>
      </w:r>
    </w:p>
    <w:p>
      <w:pPr>
        <w:pStyle w:val="BodyText"/>
        <w:spacing w:before="6"/>
        <w:rPr>
          <w:rFonts w:ascii="黑体"/>
          <w:sz w:val="15"/>
        </w:rPr>
      </w:pPr>
    </w:p>
    <w:p>
      <w:pPr>
        <w:pStyle w:val="BodyText"/>
        <w:spacing w:before="1"/>
        <w:ind w:left="552"/>
      </w:pPr>
      <w:r>
        <w:t>现场管理应采用6S管理方式，具体如下：</w:t>
      </w:r>
    </w:p>
    <w:p>
      <w:pPr>
        <w:pStyle w:val="BodyText"/>
        <w:spacing w:before="43" w:line="278" w:lineRule="auto"/>
        <w:ind w:left="968" w:right="678" w:hanging="408"/>
      </w:pPr>
      <w:r>
        <w:rPr>
          <w:spacing w:val="-8"/>
          <w:w w:val="95"/>
        </w:rPr>
        <w:t xml:space="preserve">——整理：应将工作场所的物品按必要性进行区分，留下必要的，消除非必要的，腾出空间，防止   </w:t>
      </w:r>
      <w:r>
        <w:rPr>
          <w:spacing w:val="-8"/>
        </w:rPr>
        <w:t>误用，塑造清爽的工作场所；</w:t>
      </w:r>
    </w:p>
    <w:p>
      <w:pPr>
        <w:pStyle w:val="BodyText"/>
        <w:spacing w:line="269" w:lineRule="exact"/>
        <w:ind w:left="560"/>
      </w:pPr>
      <w:r>
        <w:t>——整顿：应将必需品依据规定位置摆放，放置整齐并加以标识；</w:t>
      </w:r>
    </w:p>
    <w:p>
      <w:pPr>
        <w:pStyle w:val="BodyText"/>
        <w:spacing w:before="42"/>
        <w:ind w:left="560"/>
      </w:pPr>
      <w:r>
        <w:t>——清扫：应将工作场所内每个角落清扫干净，保持工作场所干净、亮丽；</w:t>
      </w:r>
    </w:p>
    <w:p>
      <w:pPr>
        <w:pStyle w:val="BodyText"/>
        <w:spacing w:before="43"/>
        <w:ind w:left="560"/>
      </w:pPr>
      <w:r>
        <w:t>——清洁：应将整理、整顿、清扫进行到底且制度化，保持环境美观；</w:t>
      </w:r>
    </w:p>
    <w:p>
      <w:pPr>
        <w:pStyle w:val="BodyText"/>
        <w:spacing w:before="43"/>
        <w:ind w:left="560"/>
      </w:pPr>
      <w:r>
        <w:t>——素养：每位管理员应严格遵守规则做事，养成积极主动的习惯；</w:t>
      </w:r>
    </w:p>
    <w:p>
      <w:pPr>
        <w:pStyle w:val="BodyText"/>
        <w:spacing w:before="43"/>
        <w:ind w:left="560"/>
      </w:pPr>
      <w:r>
        <w:t>——安全：重视员工的安全教育，每时每刻保持安全第一的观念，防患于未然。</w:t>
      </w:r>
    </w:p>
    <w:p>
      <w:pPr>
        <w:pStyle w:val="BodyText"/>
        <w:spacing w:before="7"/>
        <w:rPr>
          <w:sz w:val="15"/>
        </w:rPr>
      </w:pPr>
    </w:p>
    <w:p>
      <w:pPr>
        <w:pStyle w:val="ListParagraph"/>
        <w:numPr>
          <w:ilvl w:val="1"/>
          <w:numId w:val="15"/>
        </w:numPr>
        <w:tabs>
          <w:tab w:val="left" w:pos="658"/>
          <w:tab w:val="left" w:pos="659"/>
        </w:tabs>
        <w:spacing w:before="0" w:after="0" w:line="240" w:lineRule="auto"/>
        <w:ind w:left="658" w:right="0" w:hanging="527"/>
        <w:jc w:val="left"/>
        <w:rPr>
          <w:rFonts w:ascii="黑体" w:eastAsia="黑体" w:hint="eastAsia"/>
          <w:sz w:val="21"/>
        </w:rPr>
      </w:pPr>
      <w:bookmarkStart w:id="79" w:name="6.3　LOGO管理"/>
      <w:bookmarkEnd w:id="79"/>
      <w:r>
        <w:rPr>
          <w:rFonts w:ascii="黑体" w:eastAsia="黑体" w:hint="eastAsia"/>
          <w:sz w:val="21"/>
        </w:rPr>
        <w:t>L</w:t>
      </w:r>
      <w:r>
        <w:rPr>
          <w:rFonts w:ascii="黑体" w:eastAsia="黑体" w:hint="eastAsia"/>
          <w:sz w:val="21"/>
        </w:rPr>
        <w:t>OGO</w:t>
      </w:r>
      <w:r>
        <w:rPr>
          <w:rFonts w:ascii="黑体" w:eastAsia="黑体" w:hint="eastAsia"/>
          <w:spacing w:val="-19"/>
          <w:sz w:val="21"/>
        </w:rPr>
        <w:t xml:space="preserve"> 管理</w:t>
      </w:r>
    </w:p>
    <w:p>
      <w:pPr>
        <w:pStyle w:val="BodyText"/>
        <w:spacing w:before="7"/>
        <w:rPr>
          <w:rFonts w:ascii="黑体"/>
          <w:sz w:val="15"/>
        </w:rPr>
      </w:pPr>
    </w:p>
    <w:p>
      <w:pPr>
        <w:pStyle w:val="BodyText"/>
        <w:ind w:left="552"/>
      </w:pPr>
      <w:r>
        <w:t>在下列载体或活动中可以使用驿站LOGO：</w:t>
      </w:r>
    </w:p>
    <w:p>
      <w:pPr>
        <w:pStyle w:val="BodyText"/>
        <w:spacing w:before="43"/>
        <w:ind w:left="560"/>
      </w:pPr>
      <w:r>
        <w:t>——建宁驿站主标志标牌；</w:t>
      </w:r>
    </w:p>
    <w:p>
      <w:pPr>
        <w:pStyle w:val="BodyText"/>
        <w:spacing w:before="43"/>
        <w:ind w:left="560"/>
      </w:pPr>
      <w:r>
        <w:t>——建宁驿站广告宣传刊物；</w:t>
      </w:r>
    </w:p>
    <w:p>
      <w:pPr>
        <w:pStyle w:val="BodyText"/>
        <w:spacing w:before="43"/>
        <w:ind w:left="560"/>
      </w:pPr>
      <w:r>
        <w:t>——文档手册、宣传册等印刷品；</w:t>
      </w:r>
    </w:p>
    <w:p>
      <w:pPr>
        <w:pStyle w:val="BodyText"/>
        <w:spacing w:before="43"/>
        <w:ind w:left="560"/>
      </w:pPr>
      <w:r>
        <w:t>——建宁驿站内部的管理制度、标准及记录等相关文件；</w:t>
      </w:r>
    </w:p>
    <w:p>
      <w:pPr>
        <w:pStyle w:val="BodyText"/>
        <w:spacing w:before="42"/>
        <w:ind w:left="560"/>
      </w:pPr>
      <w:r>
        <w:t>——特定的交易文书；</w:t>
      </w:r>
    </w:p>
    <w:p>
      <w:pPr>
        <w:pStyle w:val="BodyText"/>
        <w:spacing w:before="43"/>
        <w:ind w:left="560"/>
      </w:pPr>
      <w:r>
        <w:t>——举办或参加展示会。</w:t>
      </w:r>
    </w:p>
    <w:p>
      <w:pPr>
        <w:pStyle w:val="BodyText"/>
        <w:spacing w:before="7"/>
        <w:rPr>
          <w:sz w:val="15"/>
        </w:rPr>
      </w:pPr>
    </w:p>
    <w:p>
      <w:pPr>
        <w:pStyle w:val="ListParagraph"/>
        <w:numPr>
          <w:ilvl w:val="1"/>
          <w:numId w:val="15"/>
        </w:numPr>
        <w:tabs>
          <w:tab w:val="left" w:pos="658"/>
          <w:tab w:val="left" w:pos="659"/>
        </w:tabs>
        <w:spacing w:before="0" w:after="0" w:line="240" w:lineRule="auto"/>
        <w:ind w:left="658" w:right="0" w:hanging="527"/>
        <w:jc w:val="left"/>
        <w:rPr>
          <w:rFonts w:ascii="黑体" w:eastAsia="黑体" w:hint="eastAsia"/>
          <w:sz w:val="21"/>
        </w:rPr>
      </w:pPr>
      <w:bookmarkStart w:id="80" w:name="6.4　服务管理"/>
      <w:bookmarkEnd w:id="80"/>
      <w:r>
        <w:rPr>
          <w:rFonts w:ascii="黑体" w:eastAsia="黑体" w:hint="eastAsia"/>
          <w:sz w:val="21"/>
        </w:rPr>
        <w:t>服务管理</w:t>
      </w:r>
    </w:p>
    <w:p>
      <w:pPr>
        <w:pStyle w:val="BodyText"/>
        <w:spacing w:before="7"/>
        <w:rPr>
          <w:rFonts w:ascii="黑体"/>
          <w:sz w:val="15"/>
        </w:rPr>
      </w:pPr>
    </w:p>
    <w:p>
      <w:pPr>
        <w:pStyle w:val="ListParagraph"/>
        <w:numPr>
          <w:ilvl w:val="2"/>
          <w:numId w:val="15"/>
        </w:numPr>
        <w:tabs>
          <w:tab w:val="left" w:pos="869"/>
          <w:tab w:val="left" w:pos="870"/>
        </w:tabs>
        <w:spacing w:before="0" w:after="0" w:line="240" w:lineRule="auto"/>
        <w:ind w:left="869" w:right="0" w:hanging="738"/>
        <w:jc w:val="left"/>
        <w:rPr>
          <w:rFonts w:ascii="黑体" w:eastAsia="黑体" w:hint="eastAsia"/>
          <w:sz w:val="21"/>
        </w:rPr>
      </w:pPr>
      <w:bookmarkStart w:id="81" w:name="6.4.1　开放时间"/>
      <w:bookmarkEnd w:id="81"/>
      <w:r>
        <w:rPr>
          <w:rFonts w:ascii="黑体" w:eastAsia="黑体" w:hint="eastAsia"/>
          <w:sz w:val="21"/>
        </w:rPr>
        <w:t>开放时间</w:t>
      </w:r>
    </w:p>
    <w:p>
      <w:pPr>
        <w:pStyle w:val="BodyText"/>
        <w:spacing w:before="6"/>
        <w:rPr>
          <w:rFonts w:ascii="黑体"/>
          <w:sz w:val="15"/>
        </w:rPr>
      </w:pPr>
    </w:p>
    <w:p>
      <w:pPr>
        <w:pStyle w:val="ListParagraph"/>
        <w:numPr>
          <w:ilvl w:val="3"/>
          <w:numId w:val="15"/>
        </w:numPr>
        <w:tabs>
          <w:tab w:val="left" w:pos="1078"/>
          <w:tab w:val="left" w:pos="1079"/>
        </w:tabs>
        <w:spacing w:before="1" w:after="0" w:line="240" w:lineRule="auto"/>
        <w:ind w:left="1078" w:right="0" w:hanging="947"/>
        <w:jc w:val="left"/>
        <w:rPr>
          <w:sz w:val="21"/>
        </w:rPr>
      </w:pPr>
      <w:bookmarkStart w:id="82" w:name="6.4.1.1　窗口地带、人口密集区域等的建宁驿站应24小时免费开放。"/>
      <w:bookmarkEnd w:id="82"/>
      <w:r>
        <w:rPr>
          <w:spacing w:val="-3"/>
          <w:sz w:val="21"/>
        </w:rPr>
        <w:t xml:space="preserve">窗口地带、人口密集区域等的建宁驿站应 </w:t>
      </w:r>
      <w:r>
        <w:rPr>
          <w:sz w:val="21"/>
        </w:rPr>
        <w:t>24</w:t>
      </w:r>
      <w:r>
        <w:rPr>
          <w:spacing w:val="-8"/>
          <w:sz w:val="21"/>
        </w:rPr>
        <w:t xml:space="preserve"> 小时免费开放。</w:t>
      </w:r>
    </w:p>
    <w:p>
      <w:pPr>
        <w:pStyle w:val="ListParagraph"/>
        <w:numPr>
          <w:ilvl w:val="3"/>
          <w:numId w:val="15"/>
        </w:numPr>
        <w:tabs>
          <w:tab w:val="left" w:pos="1078"/>
          <w:tab w:val="left" w:pos="1079"/>
        </w:tabs>
        <w:spacing w:before="43" w:after="0" w:line="240" w:lineRule="auto"/>
        <w:ind w:left="1078" w:right="0" w:hanging="947"/>
        <w:jc w:val="left"/>
        <w:rPr>
          <w:sz w:val="21"/>
        </w:rPr>
      </w:pPr>
      <w:bookmarkStart w:id="83" w:name="6.4.1.2　人流量较少的建宁驿站根据实际情况合理安排开放时间。"/>
      <w:bookmarkEnd w:id="83"/>
      <w:r>
        <w:rPr>
          <w:sz w:val="21"/>
        </w:rPr>
        <w:t>人流量较少的建宁驿站根据实际情况合理安排开放时间。</w:t>
      </w:r>
    </w:p>
    <w:p>
      <w:pPr>
        <w:spacing w:after="0" w:line="240" w:lineRule="auto"/>
        <w:jc w:val="left"/>
        <w:rPr>
          <w:sz w:val="21"/>
        </w:rPr>
        <w:sectPr>
          <w:headerReference w:type="even" r:id="rId32"/>
          <w:headerReference w:type="default" r:id="rId33"/>
          <w:footerReference w:type="even" r:id="rId34"/>
          <w:footerReference w:type="default" r:id="rId35"/>
          <w:pgSz w:w="11910" w:h="16840"/>
          <w:pgMar w:top="1660" w:right="740" w:bottom="1340" w:left="1000" w:header="1442" w:footer="1141"/>
          <w:pgNumType w:start="6"/>
          <w:cols w:space="708"/>
        </w:sectPr>
      </w:pPr>
    </w:p>
    <w:p>
      <w:pPr>
        <w:pStyle w:val="BodyText"/>
        <w:spacing w:before="9"/>
        <w:rPr>
          <w:sz w:val="14"/>
        </w:rPr>
      </w:pPr>
    </w:p>
    <w:p>
      <w:pPr>
        <w:pStyle w:val="ListParagraph"/>
        <w:numPr>
          <w:ilvl w:val="2"/>
          <w:numId w:val="15"/>
        </w:numPr>
        <w:tabs>
          <w:tab w:val="left" w:pos="1152"/>
          <w:tab w:val="left" w:pos="1153"/>
        </w:tabs>
        <w:spacing w:before="70" w:after="0" w:line="240" w:lineRule="auto"/>
        <w:ind w:left="1152" w:right="0" w:hanging="738"/>
        <w:jc w:val="left"/>
        <w:rPr>
          <w:rFonts w:ascii="黑体" w:eastAsia="黑体" w:hint="eastAsia"/>
          <w:sz w:val="21"/>
        </w:rPr>
      </w:pPr>
      <w:bookmarkStart w:id="84" w:name="6.4.2　服务内容"/>
      <w:bookmarkEnd w:id="84"/>
      <w:r>
        <w:rPr>
          <w:rFonts w:ascii="黑体" w:eastAsia="黑体" w:hint="eastAsia"/>
          <w:sz w:val="21"/>
        </w:rPr>
        <w:t>服务内容</w:t>
      </w:r>
    </w:p>
    <w:p>
      <w:pPr>
        <w:pStyle w:val="BodyText"/>
        <w:spacing w:before="6"/>
        <w:rPr>
          <w:rFonts w:ascii="黑体"/>
          <w:sz w:val="15"/>
        </w:rPr>
      </w:pPr>
    </w:p>
    <w:p>
      <w:pPr>
        <w:pStyle w:val="BodyText"/>
        <w:ind w:left="836"/>
      </w:pPr>
      <w:r>
        <w:t>建宁驿站免费向市民公开使用，各级建宁驿站的服务内容应符合表1的规定。</w:t>
      </w:r>
    </w:p>
    <w:p>
      <w:pPr>
        <w:pStyle w:val="BodyText"/>
        <w:spacing w:before="7"/>
        <w:rPr>
          <w:sz w:val="15"/>
        </w:rPr>
      </w:pPr>
    </w:p>
    <w:p>
      <w:pPr>
        <w:pStyle w:val="ListParagraph"/>
        <w:numPr>
          <w:ilvl w:val="2"/>
          <w:numId w:val="15"/>
        </w:numPr>
        <w:tabs>
          <w:tab w:val="left" w:pos="1152"/>
          <w:tab w:val="left" w:pos="1153"/>
        </w:tabs>
        <w:spacing w:before="0" w:after="0" w:line="240" w:lineRule="auto"/>
        <w:ind w:left="1152" w:right="0" w:hanging="738"/>
        <w:jc w:val="left"/>
        <w:rPr>
          <w:rFonts w:ascii="黑体" w:eastAsia="黑体" w:hint="eastAsia"/>
          <w:sz w:val="21"/>
        </w:rPr>
      </w:pPr>
      <w:bookmarkStart w:id="85" w:name="6.4.3　服务环境"/>
      <w:bookmarkEnd w:id="85"/>
      <w:r>
        <w:rPr>
          <w:rFonts w:ascii="黑体" w:eastAsia="黑体" w:hint="eastAsia"/>
          <w:sz w:val="21"/>
        </w:rPr>
        <w:t>服务环境</w:t>
      </w:r>
    </w:p>
    <w:p>
      <w:pPr>
        <w:pStyle w:val="BodyText"/>
        <w:spacing w:before="7"/>
        <w:rPr>
          <w:rFonts w:ascii="黑体"/>
          <w:sz w:val="15"/>
        </w:rPr>
      </w:pPr>
    </w:p>
    <w:p>
      <w:pPr>
        <w:pStyle w:val="ListParagraph"/>
        <w:numPr>
          <w:ilvl w:val="3"/>
          <w:numId w:val="15"/>
        </w:numPr>
        <w:tabs>
          <w:tab w:val="left" w:pos="1361"/>
          <w:tab w:val="left" w:pos="1362"/>
        </w:tabs>
        <w:spacing w:before="0" w:after="0" w:line="240" w:lineRule="auto"/>
        <w:ind w:left="1361" w:right="0" w:hanging="947"/>
        <w:jc w:val="left"/>
        <w:rPr>
          <w:rFonts w:ascii="黑体" w:eastAsia="黑体" w:hint="eastAsia"/>
          <w:sz w:val="21"/>
        </w:rPr>
      </w:pPr>
      <w:bookmarkStart w:id="86" w:name="6.4.3.1　基本要求"/>
      <w:bookmarkEnd w:id="86"/>
      <w:r>
        <w:rPr>
          <w:rFonts w:ascii="黑体" w:eastAsia="黑体" w:hint="eastAsia"/>
          <w:sz w:val="21"/>
        </w:rPr>
        <w:t>基本要求</w:t>
      </w:r>
    </w:p>
    <w:p>
      <w:pPr>
        <w:pStyle w:val="BodyText"/>
        <w:spacing w:before="7"/>
        <w:rPr>
          <w:rFonts w:ascii="黑体"/>
          <w:sz w:val="15"/>
        </w:rPr>
      </w:pPr>
    </w:p>
    <w:p>
      <w:pPr>
        <w:pStyle w:val="ListParagraph"/>
        <w:numPr>
          <w:ilvl w:val="4"/>
          <w:numId w:val="15"/>
        </w:numPr>
        <w:tabs>
          <w:tab w:val="left" w:pos="1572"/>
          <w:tab w:val="left" w:pos="1573"/>
        </w:tabs>
        <w:spacing w:before="0" w:after="0" w:line="240" w:lineRule="auto"/>
        <w:ind w:left="1572" w:right="0" w:hanging="1158"/>
        <w:jc w:val="left"/>
        <w:rPr>
          <w:sz w:val="21"/>
        </w:rPr>
      </w:pPr>
      <w:bookmarkStart w:id="87" w:name="6.4.3.1.1　卫生学评价指标应符合GB/T 17217—2021中表1的规"/>
      <w:bookmarkEnd w:id="87"/>
      <w:r>
        <w:rPr>
          <w:spacing w:val="-5"/>
          <w:sz w:val="21"/>
        </w:rPr>
        <w:t xml:space="preserve">卫生学评价指标应符合 </w:t>
      </w:r>
      <w:r>
        <w:rPr>
          <w:sz w:val="21"/>
        </w:rPr>
        <w:t>GB/T</w:t>
      </w:r>
      <w:r>
        <w:rPr>
          <w:spacing w:val="-1"/>
          <w:sz w:val="21"/>
        </w:rPr>
        <w:t xml:space="preserve"> </w:t>
      </w:r>
      <w:r>
        <w:rPr>
          <w:sz w:val="21"/>
        </w:rPr>
        <w:t>17217—2021</w:t>
      </w:r>
      <w:r>
        <w:rPr>
          <w:spacing w:val="-27"/>
          <w:sz w:val="21"/>
        </w:rPr>
        <w:t xml:space="preserve"> 中表 </w:t>
      </w:r>
      <w:r>
        <w:rPr>
          <w:sz w:val="21"/>
        </w:rPr>
        <w:t>1</w:t>
      </w:r>
      <w:r>
        <w:rPr>
          <w:spacing w:val="-12"/>
          <w:sz w:val="21"/>
        </w:rPr>
        <w:t xml:space="preserve"> 的规定。</w:t>
      </w:r>
    </w:p>
    <w:p>
      <w:pPr>
        <w:pStyle w:val="ListParagraph"/>
        <w:numPr>
          <w:ilvl w:val="4"/>
          <w:numId w:val="15"/>
        </w:numPr>
        <w:tabs>
          <w:tab w:val="left" w:pos="1572"/>
          <w:tab w:val="left" w:pos="1573"/>
        </w:tabs>
        <w:spacing w:before="43" w:after="0" w:line="240" w:lineRule="auto"/>
        <w:ind w:left="1572" w:right="0" w:hanging="1158"/>
        <w:jc w:val="left"/>
        <w:rPr>
          <w:sz w:val="21"/>
        </w:rPr>
      </w:pPr>
      <w:bookmarkStart w:id="88" w:name="6.4.3.1.2　恶臭污染物排放应符合GB 14554的规定。"/>
      <w:bookmarkEnd w:id="88"/>
      <w:r>
        <w:rPr>
          <w:spacing w:val="-5"/>
          <w:sz w:val="21"/>
        </w:rPr>
        <w:t xml:space="preserve">恶臭污染物排放应符合 </w:t>
      </w:r>
      <w:r>
        <w:rPr>
          <w:sz w:val="21"/>
        </w:rPr>
        <w:t>GB</w:t>
      </w:r>
      <w:r>
        <w:rPr>
          <w:spacing w:val="1"/>
          <w:sz w:val="21"/>
        </w:rPr>
        <w:t xml:space="preserve"> </w:t>
      </w:r>
      <w:r>
        <w:rPr>
          <w:sz w:val="21"/>
        </w:rPr>
        <w:t>14554</w:t>
      </w:r>
      <w:r>
        <w:rPr>
          <w:spacing w:val="-12"/>
          <w:sz w:val="21"/>
        </w:rPr>
        <w:t xml:space="preserve"> 的规定。</w:t>
      </w:r>
    </w:p>
    <w:p>
      <w:pPr>
        <w:pStyle w:val="BodyText"/>
        <w:spacing w:before="6"/>
        <w:rPr>
          <w:sz w:val="15"/>
        </w:rPr>
      </w:pPr>
    </w:p>
    <w:p>
      <w:pPr>
        <w:pStyle w:val="ListParagraph"/>
        <w:numPr>
          <w:ilvl w:val="3"/>
          <w:numId w:val="15"/>
        </w:numPr>
        <w:tabs>
          <w:tab w:val="left" w:pos="1361"/>
          <w:tab w:val="left" w:pos="1362"/>
        </w:tabs>
        <w:spacing w:before="0" w:after="0" w:line="240" w:lineRule="auto"/>
        <w:ind w:left="1361" w:right="0" w:hanging="947"/>
        <w:jc w:val="left"/>
        <w:rPr>
          <w:rFonts w:ascii="黑体" w:eastAsia="黑体" w:hint="eastAsia"/>
          <w:sz w:val="21"/>
        </w:rPr>
      </w:pPr>
      <w:bookmarkStart w:id="89" w:name="6.4.3.2　保洁频次"/>
      <w:bookmarkEnd w:id="89"/>
      <w:r>
        <w:rPr>
          <w:rFonts w:ascii="黑体" w:eastAsia="黑体" w:hint="eastAsia"/>
          <w:sz w:val="21"/>
        </w:rPr>
        <w:t>保洁频次</w:t>
      </w:r>
    </w:p>
    <w:p>
      <w:pPr>
        <w:pStyle w:val="BodyText"/>
        <w:spacing w:before="7"/>
        <w:rPr>
          <w:rFonts w:ascii="黑体"/>
          <w:sz w:val="15"/>
        </w:rPr>
      </w:pPr>
    </w:p>
    <w:p>
      <w:pPr>
        <w:pStyle w:val="BodyText"/>
        <w:ind w:left="836"/>
      </w:pPr>
      <w:r>
        <w:t>在保洁时段内应安排保洁循环清洁，人流高峰期应加大保洁频次。</w:t>
      </w:r>
    </w:p>
    <w:p>
      <w:pPr>
        <w:pStyle w:val="BodyText"/>
        <w:spacing w:before="7"/>
        <w:rPr>
          <w:sz w:val="15"/>
        </w:rPr>
      </w:pPr>
    </w:p>
    <w:p>
      <w:pPr>
        <w:pStyle w:val="ListParagraph"/>
        <w:numPr>
          <w:ilvl w:val="3"/>
          <w:numId w:val="15"/>
        </w:numPr>
        <w:tabs>
          <w:tab w:val="left" w:pos="1361"/>
          <w:tab w:val="left" w:pos="1362"/>
        </w:tabs>
        <w:spacing w:before="0" w:after="0" w:line="240" w:lineRule="auto"/>
        <w:ind w:left="1361" w:right="0" w:hanging="947"/>
        <w:jc w:val="left"/>
        <w:rPr>
          <w:rFonts w:ascii="黑体" w:eastAsia="黑体" w:hint="eastAsia"/>
          <w:sz w:val="21"/>
        </w:rPr>
      </w:pPr>
      <w:bookmarkStart w:id="90" w:name="6.4.3.3　室外保洁质量"/>
      <w:bookmarkEnd w:id="90"/>
      <w:r>
        <w:rPr>
          <w:rFonts w:ascii="黑体" w:eastAsia="黑体" w:hint="eastAsia"/>
          <w:sz w:val="21"/>
        </w:rPr>
        <w:t>室外保洁质量</w:t>
      </w:r>
    </w:p>
    <w:p>
      <w:pPr>
        <w:pStyle w:val="BodyText"/>
        <w:spacing w:before="6"/>
        <w:rPr>
          <w:rFonts w:ascii="黑体"/>
          <w:sz w:val="15"/>
        </w:rPr>
      </w:pPr>
    </w:p>
    <w:p>
      <w:pPr>
        <w:pStyle w:val="ListParagraph"/>
        <w:numPr>
          <w:ilvl w:val="4"/>
          <w:numId w:val="15"/>
        </w:numPr>
        <w:tabs>
          <w:tab w:val="left" w:pos="1572"/>
          <w:tab w:val="left" w:pos="1573"/>
        </w:tabs>
        <w:spacing w:before="1" w:after="0" w:line="240" w:lineRule="auto"/>
        <w:ind w:left="1572" w:right="0" w:hanging="1158"/>
        <w:jc w:val="left"/>
        <w:rPr>
          <w:sz w:val="21"/>
        </w:rPr>
      </w:pPr>
      <w:bookmarkStart w:id="91" w:name="6.4.3.3.1　外墙应清洁，不吊挂杂物。"/>
      <w:bookmarkEnd w:id="91"/>
      <w:r>
        <w:rPr>
          <w:sz w:val="21"/>
        </w:rPr>
        <w:t>外墙应清洁，不吊挂杂物。</w:t>
      </w:r>
    </w:p>
    <w:p>
      <w:pPr>
        <w:pStyle w:val="ListParagraph"/>
        <w:numPr>
          <w:ilvl w:val="4"/>
          <w:numId w:val="15"/>
        </w:numPr>
        <w:tabs>
          <w:tab w:val="left" w:pos="1572"/>
          <w:tab w:val="left" w:pos="1573"/>
        </w:tabs>
        <w:spacing w:before="43" w:after="0" w:line="240" w:lineRule="auto"/>
        <w:ind w:left="1572" w:right="0" w:hanging="1158"/>
        <w:jc w:val="left"/>
        <w:rPr>
          <w:sz w:val="21"/>
        </w:rPr>
      </w:pPr>
      <w:bookmarkStart w:id="92" w:name="6.4.3.3.2　室外区域应整洁，无垃圾、吊挂、积水、结冰、障碍物、纸屑、烟蒂"/>
      <w:bookmarkEnd w:id="92"/>
      <w:r>
        <w:rPr>
          <w:sz w:val="21"/>
        </w:rPr>
        <w:t>室外区域应整洁，无垃圾、吊挂、积水、结冰、障碍物、纸屑、烟蒂等杂物。</w:t>
      </w:r>
    </w:p>
    <w:p>
      <w:pPr>
        <w:pStyle w:val="ListParagraph"/>
        <w:numPr>
          <w:ilvl w:val="4"/>
          <w:numId w:val="15"/>
        </w:numPr>
        <w:tabs>
          <w:tab w:val="left" w:pos="1572"/>
          <w:tab w:val="left" w:pos="1573"/>
        </w:tabs>
        <w:spacing w:before="43" w:after="0" w:line="240" w:lineRule="auto"/>
        <w:ind w:left="1572" w:right="0" w:hanging="1158"/>
        <w:jc w:val="left"/>
        <w:rPr>
          <w:sz w:val="21"/>
        </w:rPr>
      </w:pPr>
      <w:bookmarkStart w:id="93" w:name="6.4.3.3.3　扶手应干净无灰尘。"/>
      <w:bookmarkEnd w:id="93"/>
      <w:r>
        <w:rPr>
          <w:sz w:val="21"/>
        </w:rPr>
        <w:t>扶手应干净无灰尘。</w:t>
      </w:r>
    </w:p>
    <w:p>
      <w:pPr>
        <w:pStyle w:val="ListParagraph"/>
        <w:numPr>
          <w:ilvl w:val="4"/>
          <w:numId w:val="15"/>
        </w:numPr>
        <w:tabs>
          <w:tab w:val="left" w:pos="1572"/>
          <w:tab w:val="left" w:pos="1573"/>
        </w:tabs>
        <w:spacing w:before="42" w:after="0" w:line="240" w:lineRule="auto"/>
        <w:ind w:left="1572" w:right="0" w:hanging="1158"/>
        <w:jc w:val="left"/>
        <w:rPr>
          <w:sz w:val="21"/>
        </w:rPr>
      </w:pPr>
      <w:bookmarkStart w:id="94" w:name="6.4.3.3.4　建宁驿站周边5 m范围内应干净整洁。"/>
      <w:bookmarkEnd w:id="94"/>
      <w:r>
        <w:rPr>
          <w:spacing w:val="-8"/>
          <w:sz w:val="21"/>
        </w:rPr>
        <w:t xml:space="preserve">建宁驿站周边 </w:t>
      </w:r>
      <w:r>
        <w:rPr>
          <w:sz w:val="21"/>
        </w:rPr>
        <w:t>5</w:t>
      </w:r>
      <w:r>
        <w:rPr>
          <w:rFonts w:ascii="Times New Roman" w:eastAsia="Times New Roman" w:hAnsi="Times New Roman"/>
          <w:sz w:val="21"/>
        </w:rPr>
        <w:t> </w:t>
      </w:r>
      <w:r>
        <w:rPr>
          <w:sz w:val="21"/>
        </w:rPr>
        <w:t>m</w:t>
      </w:r>
      <w:r>
        <w:rPr>
          <w:spacing w:val="-8"/>
          <w:sz w:val="21"/>
        </w:rPr>
        <w:t xml:space="preserve"> 范围内应干净整洁。</w:t>
      </w:r>
    </w:p>
    <w:p>
      <w:pPr>
        <w:pStyle w:val="ListParagraph"/>
        <w:numPr>
          <w:ilvl w:val="4"/>
          <w:numId w:val="15"/>
        </w:numPr>
        <w:tabs>
          <w:tab w:val="left" w:pos="1572"/>
          <w:tab w:val="left" w:pos="1573"/>
        </w:tabs>
        <w:spacing w:before="43" w:after="0" w:line="240" w:lineRule="auto"/>
        <w:ind w:left="1572" w:right="0" w:hanging="1158"/>
        <w:jc w:val="left"/>
        <w:rPr>
          <w:sz w:val="21"/>
        </w:rPr>
      </w:pPr>
      <w:bookmarkStart w:id="95" w:name="6.4.3.3.5　建宁驿站室外的标志、标牌应清晰可见，无污渍、无损坏、无脱落、"/>
      <w:bookmarkEnd w:id="95"/>
      <w:r>
        <w:rPr>
          <w:sz w:val="21"/>
        </w:rPr>
        <w:t>建宁驿站室外的标志、标牌应清晰可见，无污渍、无损坏、无脱落、无残缺等。</w:t>
      </w:r>
    </w:p>
    <w:p>
      <w:pPr>
        <w:pStyle w:val="BodyText"/>
        <w:spacing w:before="7"/>
        <w:rPr>
          <w:sz w:val="15"/>
        </w:rPr>
      </w:pPr>
    </w:p>
    <w:p>
      <w:pPr>
        <w:pStyle w:val="ListParagraph"/>
        <w:numPr>
          <w:ilvl w:val="3"/>
          <w:numId w:val="15"/>
        </w:numPr>
        <w:tabs>
          <w:tab w:val="left" w:pos="1361"/>
          <w:tab w:val="left" w:pos="1362"/>
        </w:tabs>
        <w:spacing w:before="0" w:after="0" w:line="240" w:lineRule="auto"/>
        <w:ind w:left="1361" w:right="0" w:hanging="947"/>
        <w:jc w:val="left"/>
        <w:rPr>
          <w:rFonts w:ascii="黑体" w:eastAsia="黑体" w:hint="eastAsia"/>
          <w:sz w:val="21"/>
        </w:rPr>
      </w:pPr>
      <w:bookmarkStart w:id="96" w:name="6.4.3.4　室内保洁质量"/>
      <w:bookmarkEnd w:id="96"/>
      <w:r>
        <w:rPr>
          <w:rFonts w:ascii="黑体" w:eastAsia="黑体" w:hint="eastAsia"/>
          <w:sz w:val="21"/>
        </w:rPr>
        <w:t>室内保洁质量</w:t>
      </w:r>
    </w:p>
    <w:p>
      <w:pPr>
        <w:pStyle w:val="BodyText"/>
        <w:spacing w:before="7"/>
        <w:rPr>
          <w:rFonts w:ascii="黑体"/>
          <w:sz w:val="15"/>
        </w:rPr>
      </w:pPr>
    </w:p>
    <w:p>
      <w:pPr>
        <w:pStyle w:val="ListParagraph"/>
        <w:numPr>
          <w:ilvl w:val="4"/>
          <w:numId w:val="15"/>
        </w:numPr>
        <w:tabs>
          <w:tab w:val="left" w:pos="1572"/>
          <w:tab w:val="left" w:pos="1573"/>
        </w:tabs>
        <w:spacing w:before="0" w:after="0" w:line="240" w:lineRule="auto"/>
        <w:ind w:left="1572" w:right="0" w:hanging="1158"/>
        <w:jc w:val="left"/>
        <w:rPr>
          <w:rFonts w:ascii="黑体" w:eastAsia="黑体" w:hint="eastAsia"/>
          <w:sz w:val="21"/>
        </w:rPr>
      </w:pPr>
      <w:bookmarkStart w:id="97" w:name="6.4.3.4.1　建宁驿站室内保洁应做到以下要求："/>
      <w:bookmarkEnd w:id="97"/>
      <w:r>
        <w:rPr>
          <w:sz w:val="21"/>
        </w:rPr>
        <w:t>建宁驿站室内保洁应做到以下要求</w:t>
      </w:r>
      <w:r>
        <w:rPr>
          <w:rFonts w:ascii="黑体" w:eastAsia="黑体" w:hint="eastAsia"/>
          <w:sz w:val="21"/>
        </w:rPr>
        <w:t>：</w:t>
      </w:r>
    </w:p>
    <w:p>
      <w:pPr>
        <w:pStyle w:val="BodyText"/>
        <w:spacing w:before="6"/>
        <w:rPr>
          <w:rFonts w:ascii="黑体"/>
          <w:sz w:val="15"/>
        </w:rPr>
      </w:pPr>
    </w:p>
    <w:p>
      <w:pPr>
        <w:pStyle w:val="BodyText"/>
        <w:spacing w:before="1" w:line="278" w:lineRule="auto"/>
        <w:ind w:left="1248" w:right="288" w:hanging="408"/>
      </w:pPr>
      <w:r>
        <w:rPr>
          <w:spacing w:val="-15"/>
          <w:w w:val="95"/>
        </w:rPr>
        <w:t xml:space="preserve">——“十净”：标牌净、门窗净、墙面净、地面净、便器净、隔板净、洗手台净、镜面净、扶手净、   </w:t>
      </w:r>
      <w:r>
        <w:rPr>
          <w:spacing w:val="-15"/>
        </w:rPr>
        <w:t>手纸盒净；</w:t>
      </w:r>
    </w:p>
    <w:p>
      <w:pPr>
        <w:pStyle w:val="BodyText"/>
        <w:spacing w:line="278" w:lineRule="auto"/>
        <w:ind w:left="1248" w:right="395" w:hanging="408"/>
      </w:pPr>
      <w:r>
        <w:rPr>
          <w:spacing w:val="-10"/>
          <w:w w:val="95"/>
        </w:rPr>
        <w:t xml:space="preserve">——“十无”：无蚊蝇、无臭味、无积尘、无蛛网、无暴露垃圾、无污水、无尿垢、无污迹、无废   </w:t>
      </w:r>
      <w:r>
        <w:rPr>
          <w:spacing w:val="-10"/>
        </w:rPr>
        <w:t>纸篓满溢、无乱贴乱画；</w:t>
      </w:r>
    </w:p>
    <w:p>
      <w:pPr>
        <w:pStyle w:val="BodyText"/>
        <w:spacing w:line="269" w:lineRule="exact"/>
        <w:ind w:left="840"/>
      </w:pPr>
      <w:r>
        <w:t>——“三通”：通水、通电、通风。</w:t>
      </w:r>
    </w:p>
    <w:p>
      <w:pPr>
        <w:pStyle w:val="ListParagraph"/>
        <w:numPr>
          <w:ilvl w:val="4"/>
          <w:numId w:val="15"/>
        </w:numPr>
        <w:tabs>
          <w:tab w:val="left" w:pos="1572"/>
          <w:tab w:val="left" w:pos="1573"/>
        </w:tabs>
        <w:spacing w:before="42" w:after="0" w:line="278" w:lineRule="auto"/>
        <w:ind w:left="415" w:right="402" w:firstLine="0"/>
        <w:jc w:val="left"/>
        <w:rPr>
          <w:sz w:val="21"/>
        </w:rPr>
      </w:pPr>
      <w:bookmarkStart w:id="98" w:name="6.4.3.4.2　建宁驿站内绿色植物应定期护理，及时清除落叶、枯枝；配备管理间"/>
      <w:bookmarkEnd w:id="98"/>
      <w:r>
        <w:rPr>
          <w:w w:val="95"/>
          <w:sz w:val="21"/>
        </w:rPr>
        <w:t>建宁驿站内绿色植物应定期护理，及时清除落叶、枯枝；配备管理间或工具间的应保持整</w:t>
      </w:r>
      <w:r>
        <w:rPr>
          <w:w w:val="95"/>
          <w:sz w:val="21"/>
        </w:rPr>
        <w:t xml:space="preserve">   </w:t>
      </w:r>
      <w:r>
        <w:rPr>
          <w:sz w:val="21"/>
        </w:rPr>
        <w:t>洁；配备第三卫生间的，第三卫生间内的设施应完好洁净。</w:t>
      </w:r>
    </w:p>
    <w:p>
      <w:pPr>
        <w:pStyle w:val="ListParagraph"/>
        <w:numPr>
          <w:ilvl w:val="4"/>
          <w:numId w:val="15"/>
        </w:numPr>
        <w:tabs>
          <w:tab w:val="left" w:pos="1572"/>
          <w:tab w:val="left" w:pos="1573"/>
        </w:tabs>
        <w:spacing w:before="0" w:after="0" w:line="269" w:lineRule="exact"/>
        <w:ind w:left="1572" w:right="0" w:hanging="1158"/>
        <w:jc w:val="left"/>
        <w:rPr>
          <w:sz w:val="21"/>
        </w:rPr>
      </w:pPr>
      <w:bookmarkStart w:id="99" w:name="6.4.3.4.3　厕纸、坐垫纸、洗手液及垃圾袋等耗材应保证能正常使用。"/>
      <w:bookmarkEnd w:id="99"/>
      <w:r>
        <w:rPr>
          <w:sz w:val="21"/>
        </w:rPr>
        <w:t>厕纸、坐垫纸、洗手液及垃圾袋等耗材应保证能正常使用。</w:t>
      </w:r>
    </w:p>
    <w:p>
      <w:pPr>
        <w:pStyle w:val="ListParagraph"/>
        <w:numPr>
          <w:ilvl w:val="4"/>
          <w:numId w:val="15"/>
        </w:numPr>
        <w:tabs>
          <w:tab w:val="left" w:pos="1572"/>
          <w:tab w:val="left" w:pos="1573"/>
        </w:tabs>
        <w:spacing w:before="43" w:after="0" w:line="240" w:lineRule="auto"/>
        <w:ind w:left="1572" w:right="0" w:hanging="1158"/>
        <w:jc w:val="left"/>
        <w:rPr>
          <w:sz w:val="21"/>
        </w:rPr>
      </w:pPr>
      <w:bookmarkStart w:id="100" w:name="6.4.3.4.4　建宁驿站室内无吸烟现象 (无烟味、无烟头、无烟具、无人吸烟或"/>
      <w:bookmarkEnd w:id="100"/>
      <w:r>
        <w:rPr>
          <w:spacing w:val="-1"/>
          <w:sz w:val="21"/>
        </w:rPr>
        <w:t>建宁驿站室内无吸烟现象 (无烟味、无烟头、无烟具、无人吸烟或吸烟有人劝阻)。</w:t>
      </w:r>
    </w:p>
    <w:p>
      <w:pPr>
        <w:pStyle w:val="BodyText"/>
        <w:spacing w:before="7"/>
        <w:rPr>
          <w:sz w:val="15"/>
        </w:rPr>
      </w:pPr>
    </w:p>
    <w:p>
      <w:pPr>
        <w:pStyle w:val="ListParagraph"/>
        <w:numPr>
          <w:ilvl w:val="2"/>
          <w:numId w:val="15"/>
        </w:numPr>
        <w:tabs>
          <w:tab w:val="left" w:pos="1152"/>
          <w:tab w:val="left" w:pos="1153"/>
        </w:tabs>
        <w:spacing w:before="0" w:after="0" w:line="240" w:lineRule="auto"/>
        <w:ind w:left="1152" w:right="0" w:hanging="738"/>
        <w:jc w:val="left"/>
        <w:rPr>
          <w:rFonts w:ascii="黑体" w:eastAsia="黑体" w:hint="eastAsia"/>
          <w:sz w:val="21"/>
        </w:rPr>
      </w:pPr>
      <w:bookmarkStart w:id="101" w:name="6.4.4　服务质量控制"/>
      <w:bookmarkEnd w:id="101"/>
      <w:r>
        <w:rPr>
          <w:rFonts w:ascii="黑体" w:eastAsia="黑体" w:hint="eastAsia"/>
          <w:sz w:val="21"/>
        </w:rPr>
        <w:t>服务质量控制</w:t>
      </w:r>
    </w:p>
    <w:p>
      <w:pPr>
        <w:pStyle w:val="BodyText"/>
        <w:spacing w:before="7"/>
        <w:rPr>
          <w:rFonts w:ascii="黑体"/>
          <w:sz w:val="15"/>
        </w:rPr>
      </w:pPr>
    </w:p>
    <w:p>
      <w:pPr>
        <w:pStyle w:val="ListParagraph"/>
        <w:numPr>
          <w:ilvl w:val="3"/>
          <w:numId w:val="15"/>
        </w:numPr>
        <w:tabs>
          <w:tab w:val="left" w:pos="1361"/>
          <w:tab w:val="left" w:pos="1362"/>
        </w:tabs>
        <w:spacing w:before="0" w:after="0" w:line="240" w:lineRule="auto"/>
        <w:ind w:left="1361" w:right="0" w:hanging="947"/>
        <w:jc w:val="left"/>
        <w:rPr>
          <w:sz w:val="21"/>
        </w:rPr>
      </w:pPr>
      <w:bookmarkStart w:id="102" w:name="6.4.4.1　管理主体应每日对责任片区内的建宁驿站进行巡查，每周应完整巡查责任"/>
      <w:bookmarkEnd w:id="102"/>
      <w:r>
        <w:rPr>
          <w:spacing w:val="-5"/>
          <w:sz w:val="21"/>
        </w:rPr>
        <w:t>管理主体应每日对责任片区内的建宁驿站进行巡查，每周应完整巡查责任片区内的建宁驿站。</w:t>
      </w:r>
    </w:p>
    <w:p>
      <w:pPr>
        <w:pStyle w:val="ListParagraph"/>
        <w:numPr>
          <w:ilvl w:val="3"/>
          <w:numId w:val="15"/>
        </w:numPr>
        <w:tabs>
          <w:tab w:val="left" w:pos="1361"/>
          <w:tab w:val="left" w:pos="1362"/>
        </w:tabs>
        <w:spacing w:before="43" w:after="0" w:line="278" w:lineRule="auto"/>
        <w:ind w:left="415" w:right="404" w:firstLine="0"/>
        <w:jc w:val="left"/>
        <w:rPr>
          <w:sz w:val="21"/>
        </w:rPr>
      </w:pPr>
      <w:bookmarkStart w:id="103" w:name="6.4.4.2　监管单位应定期对建宁驿站运营情况进行巡查，发现问题及时通知管理主"/>
      <w:bookmarkEnd w:id="103"/>
      <w:r>
        <w:rPr>
          <w:w w:val="95"/>
          <w:sz w:val="21"/>
        </w:rPr>
        <w:t>监管单位应定期对建宁驿站运营情况进行巡查，发现问题及时通知管理主体及管养单位进行</w:t>
      </w:r>
      <w:r>
        <w:rPr>
          <w:w w:val="95"/>
          <w:sz w:val="21"/>
        </w:rPr>
        <w:t xml:space="preserve">   </w:t>
      </w:r>
      <w:r>
        <w:rPr>
          <w:sz w:val="21"/>
        </w:rPr>
        <w:t>整改。</w:t>
      </w:r>
    </w:p>
    <w:p>
      <w:pPr>
        <w:pStyle w:val="ListParagraph"/>
        <w:numPr>
          <w:ilvl w:val="3"/>
          <w:numId w:val="15"/>
        </w:numPr>
        <w:tabs>
          <w:tab w:val="left" w:pos="1361"/>
          <w:tab w:val="left" w:pos="1362"/>
        </w:tabs>
        <w:spacing w:before="0" w:after="0" w:line="278" w:lineRule="auto"/>
        <w:ind w:left="415" w:right="402" w:firstLine="0"/>
        <w:jc w:val="left"/>
        <w:rPr>
          <w:sz w:val="21"/>
        </w:rPr>
      </w:pPr>
      <w:bookmarkStart w:id="104" w:name="6.4.4.3　管理主体应在建宁驿站内设意见本或意见箱，并在显著位置公开投诉渠道"/>
      <w:bookmarkEnd w:id="104"/>
      <w:r>
        <w:rPr>
          <w:spacing w:val="-2"/>
          <w:sz w:val="21"/>
        </w:rPr>
        <w:t xml:space="preserve">管理主体应在建宁驿站内设意见本或意见箱，并在显著位置公开投诉渠道。投诉一般在 </w:t>
      </w:r>
      <w:r>
        <w:rPr>
          <w:sz w:val="21"/>
        </w:rPr>
        <w:t>3</w:t>
      </w:r>
      <w:r>
        <w:rPr>
          <w:spacing w:val="-31"/>
          <w:sz w:val="21"/>
        </w:rPr>
        <w:t xml:space="preserve"> 个工作日内处理完结，情况复杂的可适当延长时限。</w:t>
      </w:r>
    </w:p>
    <w:p>
      <w:pPr>
        <w:pStyle w:val="ListParagraph"/>
        <w:numPr>
          <w:ilvl w:val="3"/>
          <w:numId w:val="15"/>
        </w:numPr>
        <w:tabs>
          <w:tab w:val="left" w:pos="1361"/>
          <w:tab w:val="left" w:pos="1362"/>
        </w:tabs>
        <w:spacing w:before="0" w:after="0" w:line="278" w:lineRule="auto"/>
        <w:ind w:left="415" w:right="404" w:firstLine="0"/>
        <w:jc w:val="left"/>
        <w:rPr>
          <w:sz w:val="21"/>
        </w:rPr>
      </w:pPr>
      <w:bookmarkStart w:id="105" w:name="6.4.4.4　管理主体每季度开展公众满意度调查，收集、分析公众对服务效果的反馈"/>
      <w:bookmarkEnd w:id="105"/>
      <w:r>
        <w:rPr>
          <w:w w:val="95"/>
          <w:sz w:val="21"/>
        </w:rPr>
        <w:t>管理主体每季度开展公众满意度调查，收集、分析公众对服务效果的反馈情况，采取有效的</w:t>
      </w:r>
      <w:r>
        <w:rPr>
          <w:w w:val="95"/>
          <w:sz w:val="21"/>
        </w:rPr>
        <w:t xml:space="preserve">   </w:t>
      </w:r>
      <w:r>
        <w:rPr>
          <w:sz w:val="21"/>
        </w:rPr>
        <w:t>纠正和预防措施，持续改进服务。</w:t>
      </w:r>
    </w:p>
    <w:p>
      <w:pPr>
        <w:pStyle w:val="ListParagraph"/>
        <w:numPr>
          <w:ilvl w:val="1"/>
          <w:numId w:val="15"/>
        </w:numPr>
        <w:tabs>
          <w:tab w:val="left" w:pos="941"/>
          <w:tab w:val="left" w:pos="942"/>
        </w:tabs>
        <w:spacing w:before="155" w:after="0" w:line="240" w:lineRule="auto"/>
        <w:ind w:left="941" w:right="0" w:hanging="527"/>
        <w:jc w:val="left"/>
        <w:rPr>
          <w:rFonts w:ascii="黑体" w:eastAsia="黑体" w:hint="eastAsia"/>
          <w:sz w:val="21"/>
        </w:rPr>
      </w:pPr>
      <w:bookmarkStart w:id="106" w:name="6.5　人员管理"/>
      <w:bookmarkEnd w:id="106"/>
      <w:r>
        <w:rPr>
          <w:rFonts w:ascii="黑体" w:eastAsia="黑体" w:hint="eastAsia"/>
          <w:sz w:val="21"/>
        </w:rPr>
        <w:t>人员管理</w:t>
      </w:r>
    </w:p>
    <w:p>
      <w:pPr>
        <w:pStyle w:val="BodyText"/>
        <w:spacing w:before="7"/>
        <w:rPr>
          <w:rFonts w:ascii="黑体"/>
          <w:sz w:val="15"/>
        </w:rPr>
      </w:pPr>
    </w:p>
    <w:p>
      <w:pPr>
        <w:pStyle w:val="ListParagraph"/>
        <w:numPr>
          <w:ilvl w:val="2"/>
          <w:numId w:val="15"/>
        </w:numPr>
        <w:tabs>
          <w:tab w:val="left" w:pos="1152"/>
          <w:tab w:val="left" w:pos="1153"/>
        </w:tabs>
        <w:spacing w:before="0" w:after="0" w:line="240" w:lineRule="auto"/>
        <w:ind w:left="1152" w:right="0" w:hanging="738"/>
        <w:jc w:val="left"/>
        <w:rPr>
          <w:rFonts w:ascii="黑体" w:eastAsia="黑体" w:hint="eastAsia"/>
          <w:sz w:val="21"/>
        </w:rPr>
      </w:pPr>
      <w:bookmarkStart w:id="107" w:name="6.5.1　人员配置"/>
      <w:bookmarkEnd w:id="107"/>
      <w:r>
        <w:rPr>
          <w:rFonts w:ascii="黑体" w:eastAsia="黑体" w:hint="eastAsia"/>
          <w:sz w:val="21"/>
        </w:rPr>
        <w:t>人员配置</w:t>
      </w:r>
    </w:p>
    <w:p>
      <w:pPr>
        <w:spacing w:after="0" w:line="240" w:lineRule="auto"/>
        <w:jc w:val="left"/>
        <w:rPr>
          <w:rFonts w:ascii="黑体" w:eastAsia="黑体" w:hint="eastAsia"/>
          <w:sz w:val="21"/>
        </w:rPr>
        <w:sectPr>
          <w:headerReference w:type="even" r:id="rId36"/>
          <w:headerReference w:type="default" r:id="rId37"/>
          <w:footerReference w:type="even" r:id="rId38"/>
          <w:footerReference w:type="default" r:id="rId39"/>
          <w:pgSz w:w="11910" w:h="16840"/>
          <w:pgMar w:top="1660" w:right="740" w:bottom="1340" w:left="1000" w:header="1442" w:footer="1141"/>
          <w:pgNumType w:start="7"/>
          <w:cols w:space="708"/>
        </w:sectPr>
      </w:pPr>
    </w:p>
    <w:p>
      <w:pPr>
        <w:pStyle w:val="BodyText"/>
        <w:spacing w:before="9"/>
        <w:rPr>
          <w:rFonts w:ascii="黑体"/>
          <w:sz w:val="14"/>
        </w:rPr>
      </w:pPr>
    </w:p>
    <w:p>
      <w:pPr>
        <w:pStyle w:val="ListParagraph"/>
        <w:numPr>
          <w:ilvl w:val="3"/>
          <w:numId w:val="15"/>
        </w:numPr>
        <w:tabs>
          <w:tab w:val="left" w:pos="1078"/>
          <w:tab w:val="left" w:pos="1079"/>
        </w:tabs>
        <w:spacing w:before="70" w:after="0" w:line="240" w:lineRule="auto"/>
        <w:ind w:left="1078" w:right="0" w:hanging="947"/>
        <w:jc w:val="left"/>
        <w:rPr>
          <w:sz w:val="21"/>
        </w:rPr>
      </w:pPr>
      <w:bookmarkStart w:id="108" w:name="6.5.1.1　每座建宁驿站应配备1名站长。"/>
      <w:bookmarkEnd w:id="108"/>
      <w:r>
        <w:rPr>
          <w:spacing w:val="-6"/>
          <w:sz w:val="21"/>
        </w:rPr>
        <w:t xml:space="preserve">每座建宁驿站应配备 </w:t>
      </w:r>
      <w:r>
        <w:rPr>
          <w:sz w:val="21"/>
        </w:rPr>
        <w:t>1</w:t>
      </w:r>
      <w:r>
        <w:rPr>
          <w:spacing w:val="-12"/>
          <w:sz w:val="21"/>
        </w:rPr>
        <w:t xml:space="preserve"> 名站长。</w:t>
      </w:r>
    </w:p>
    <w:p>
      <w:pPr>
        <w:pStyle w:val="ListParagraph"/>
        <w:numPr>
          <w:ilvl w:val="3"/>
          <w:numId w:val="15"/>
        </w:numPr>
        <w:tabs>
          <w:tab w:val="left" w:pos="1078"/>
          <w:tab w:val="left" w:pos="1079"/>
        </w:tabs>
        <w:spacing w:before="43" w:after="0" w:line="240" w:lineRule="auto"/>
        <w:ind w:left="1078" w:right="0" w:hanging="947"/>
        <w:jc w:val="left"/>
        <w:rPr>
          <w:sz w:val="21"/>
        </w:rPr>
      </w:pPr>
      <w:bookmarkStart w:id="109" w:name="6.5.1.2　每座建宁驿站应配备至少1名管理员和1名具备相应维修技能的维修员。"/>
      <w:bookmarkEnd w:id="109"/>
      <w:r>
        <w:rPr>
          <w:spacing w:val="-5"/>
          <w:sz w:val="21"/>
        </w:rPr>
        <w:t xml:space="preserve">每座建宁驿站应配备至少 </w:t>
      </w:r>
      <w:r>
        <w:rPr>
          <w:sz w:val="21"/>
        </w:rPr>
        <w:t>1</w:t>
      </w:r>
      <w:r>
        <w:rPr>
          <w:spacing w:val="-17"/>
          <w:sz w:val="21"/>
        </w:rPr>
        <w:t xml:space="preserve"> 名管理员和 </w:t>
      </w:r>
      <w:r>
        <w:rPr>
          <w:sz w:val="21"/>
        </w:rPr>
        <w:t>1</w:t>
      </w:r>
      <w:r>
        <w:rPr>
          <w:spacing w:val="-8"/>
          <w:sz w:val="21"/>
        </w:rPr>
        <w:t xml:space="preserve"> 名具备相应维修技能的维修员。</w:t>
      </w:r>
    </w:p>
    <w:p>
      <w:pPr>
        <w:pStyle w:val="ListParagraph"/>
        <w:numPr>
          <w:ilvl w:val="3"/>
          <w:numId w:val="15"/>
        </w:numPr>
        <w:tabs>
          <w:tab w:val="left" w:pos="1078"/>
          <w:tab w:val="left" w:pos="1079"/>
        </w:tabs>
        <w:spacing w:before="43" w:after="0" w:line="240" w:lineRule="auto"/>
        <w:ind w:left="1078" w:right="0" w:hanging="947"/>
        <w:jc w:val="left"/>
        <w:rPr>
          <w:sz w:val="21"/>
        </w:rPr>
      </w:pPr>
      <w:bookmarkStart w:id="110" w:name="6.5.1.3　建宁驿站站长、管理员及维修员的信息均应上墙公示。"/>
      <w:bookmarkEnd w:id="110"/>
      <w:r>
        <w:rPr>
          <w:sz w:val="21"/>
        </w:rPr>
        <w:t>建宁驿站站长、管理员及维修员的信息均应上墙公示。</w:t>
      </w:r>
    </w:p>
    <w:p>
      <w:pPr>
        <w:pStyle w:val="BodyText"/>
        <w:spacing w:before="6"/>
        <w:rPr>
          <w:sz w:val="15"/>
        </w:rPr>
      </w:pPr>
    </w:p>
    <w:p>
      <w:pPr>
        <w:pStyle w:val="ListParagraph"/>
        <w:numPr>
          <w:ilvl w:val="2"/>
          <w:numId w:val="15"/>
        </w:numPr>
        <w:tabs>
          <w:tab w:val="left" w:pos="869"/>
          <w:tab w:val="left" w:pos="870"/>
        </w:tabs>
        <w:spacing w:before="0" w:after="0" w:line="240" w:lineRule="auto"/>
        <w:ind w:left="869" w:right="0" w:hanging="738"/>
        <w:jc w:val="left"/>
        <w:rPr>
          <w:rFonts w:ascii="黑体" w:eastAsia="黑体" w:hint="eastAsia"/>
          <w:sz w:val="21"/>
        </w:rPr>
      </w:pPr>
      <w:bookmarkStart w:id="111" w:name="6.5.2　人员职责"/>
      <w:bookmarkEnd w:id="111"/>
      <w:r>
        <w:rPr>
          <w:rFonts w:ascii="黑体" w:eastAsia="黑体" w:hint="eastAsia"/>
          <w:sz w:val="21"/>
        </w:rPr>
        <w:t>人员职责</w:t>
      </w:r>
    </w:p>
    <w:p>
      <w:pPr>
        <w:pStyle w:val="BodyText"/>
        <w:spacing w:before="7"/>
        <w:rPr>
          <w:rFonts w:ascii="黑体"/>
          <w:sz w:val="15"/>
        </w:rPr>
      </w:pPr>
    </w:p>
    <w:p>
      <w:pPr>
        <w:pStyle w:val="ListParagraph"/>
        <w:numPr>
          <w:ilvl w:val="3"/>
          <w:numId w:val="15"/>
        </w:numPr>
        <w:tabs>
          <w:tab w:val="left" w:pos="1079"/>
        </w:tabs>
        <w:spacing w:before="0" w:after="0" w:line="278" w:lineRule="auto"/>
        <w:ind w:left="132" w:right="688" w:firstLine="0"/>
        <w:jc w:val="both"/>
        <w:rPr>
          <w:sz w:val="21"/>
        </w:rPr>
      </w:pPr>
      <w:bookmarkStart w:id="112" w:name="6.5.2.1　站长为监督责任人，负责建宁驿站的整体运行和监督管理，不定期对所辖"/>
      <w:bookmarkEnd w:id="112"/>
      <w:r>
        <w:rPr>
          <w:w w:val="95"/>
          <w:sz w:val="21"/>
        </w:rPr>
        <w:t>站长为监督责任人，负责建宁驿站的整体运行和监督管理，不定期对所辖建宁驿站进行监督</w:t>
      </w:r>
      <w:r>
        <w:rPr>
          <w:w w:val="95"/>
          <w:sz w:val="21"/>
        </w:rPr>
        <w:t xml:space="preserve">   </w:t>
      </w:r>
      <w:r>
        <w:rPr>
          <w:sz w:val="21"/>
        </w:rPr>
        <w:t>检查，沟通协调相关问题并进行处理，保证建宁驿站的正常运行。</w:t>
      </w:r>
    </w:p>
    <w:p>
      <w:pPr>
        <w:pStyle w:val="ListParagraph"/>
        <w:numPr>
          <w:ilvl w:val="3"/>
          <w:numId w:val="15"/>
        </w:numPr>
        <w:tabs>
          <w:tab w:val="left" w:pos="1079"/>
        </w:tabs>
        <w:spacing w:before="0" w:after="0" w:line="278" w:lineRule="auto"/>
        <w:ind w:left="132" w:right="675" w:firstLine="0"/>
        <w:jc w:val="both"/>
        <w:rPr>
          <w:sz w:val="21"/>
        </w:rPr>
      </w:pPr>
      <w:bookmarkStart w:id="113" w:name="6.5.2.2　管理员负责建宁驿站的保洁、控烟及设施设备的日常管理工作，定时定点"/>
      <w:bookmarkEnd w:id="113"/>
      <w:r>
        <w:rPr>
          <w:sz w:val="21"/>
        </w:rPr>
        <w:t>管理员负责建宁驿站的保洁、控烟及设施设备的日常管理工作，定时定点上岗，着装统一，</w:t>
      </w:r>
      <w:r>
        <w:rPr>
          <w:sz w:val="21"/>
        </w:rPr>
        <w:t xml:space="preserve"> </w:t>
      </w:r>
      <w:r>
        <w:rPr>
          <w:spacing w:val="-9"/>
          <w:w w:val="95"/>
          <w:sz w:val="21"/>
        </w:rPr>
        <w:t xml:space="preserve">文明作业、服务规范、礼貌待人，掌握药物消杀、消防等知识并能熟练使用，具备疏导和维持建宁驿站   </w:t>
      </w:r>
      <w:r>
        <w:rPr>
          <w:spacing w:val="-9"/>
          <w:sz w:val="21"/>
        </w:rPr>
        <w:t>秩序的能力，培训合格后方可上岗。</w:t>
      </w:r>
    </w:p>
    <w:p>
      <w:pPr>
        <w:pStyle w:val="ListParagraph"/>
        <w:numPr>
          <w:ilvl w:val="3"/>
          <w:numId w:val="15"/>
        </w:numPr>
        <w:tabs>
          <w:tab w:val="left" w:pos="1079"/>
        </w:tabs>
        <w:spacing w:before="0" w:after="0" w:line="278" w:lineRule="auto"/>
        <w:ind w:left="132" w:right="688" w:firstLine="0"/>
        <w:jc w:val="both"/>
        <w:rPr>
          <w:sz w:val="21"/>
        </w:rPr>
      </w:pPr>
      <w:bookmarkStart w:id="114" w:name="6.5.2.3　管理员应如实、及时做好工作台帐的记录，捡拾到遗失物品时，应及时交"/>
      <w:bookmarkEnd w:id="114"/>
      <w:r>
        <w:rPr>
          <w:w w:val="95"/>
          <w:sz w:val="21"/>
        </w:rPr>
        <w:t>管理员应如实、及时做好工作台帐的记录，捡拾到遗失物品时，应及时交还失主或上级主管</w:t>
      </w:r>
      <w:r>
        <w:rPr>
          <w:w w:val="95"/>
          <w:sz w:val="21"/>
        </w:rPr>
        <w:t xml:space="preserve">   </w:t>
      </w:r>
      <w:r>
        <w:rPr>
          <w:sz w:val="21"/>
        </w:rPr>
        <w:t>部门。</w:t>
      </w:r>
    </w:p>
    <w:p>
      <w:pPr>
        <w:pStyle w:val="ListParagraph"/>
        <w:numPr>
          <w:ilvl w:val="3"/>
          <w:numId w:val="15"/>
        </w:numPr>
        <w:tabs>
          <w:tab w:val="left" w:pos="1079"/>
        </w:tabs>
        <w:spacing w:before="0" w:after="0" w:line="269" w:lineRule="exact"/>
        <w:ind w:left="1078" w:right="0" w:hanging="947"/>
        <w:jc w:val="both"/>
        <w:rPr>
          <w:sz w:val="21"/>
        </w:rPr>
      </w:pPr>
      <w:bookmarkStart w:id="115" w:name="6.5.2.4　维修员应具备相应的维修技能，定期对设施设备进行维护保养，及时处理"/>
      <w:bookmarkEnd w:id="115"/>
      <w:r>
        <w:rPr>
          <w:sz w:val="21"/>
        </w:rPr>
        <w:t>维修员应具备相应的维修技能，定期对设施设备进行维护保养，及时处理维修通知。</w:t>
      </w:r>
    </w:p>
    <w:p>
      <w:pPr>
        <w:pStyle w:val="BodyText"/>
        <w:spacing w:before="6"/>
        <w:rPr>
          <w:sz w:val="15"/>
        </w:rPr>
      </w:pPr>
    </w:p>
    <w:p>
      <w:pPr>
        <w:pStyle w:val="ListParagraph"/>
        <w:numPr>
          <w:ilvl w:val="1"/>
          <w:numId w:val="15"/>
        </w:numPr>
        <w:tabs>
          <w:tab w:val="left" w:pos="658"/>
          <w:tab w:val="left" w:pos="659"/>
        </w:tabs>
        <w:spacing w:before="0" w:after="0" w:line="240" w:lineRule="auto"/>
        <w:ind w:left="658" w:right="0" w:hanging="527"/>
        <w:jc w:val="left"/>
        <w:rPr>
          <w:rFonts w:ascii="黑体" w:eastAsia="黑体" w:hint="eastAsia"/>
          <w:sz w:val="21"/>
        </w:rPr>
      </w:pPr>
      <w:bookmarkStart w:id="116" w:name="6.6　广告管理"/>
      <w:bookmarkEnd w:id="116"/>
      <w:r>
        <w:rPr>
          <w:rFonts w:ascii="黑体" w:eastAsia="黑体" w:hint="eastAsia"/>
          <w:sz w:val="21"/>
        </w:rPr>
        <w:t>广告管理</w:t>
      </w:r>
    </w:p>
    <w:p>
      <w:pPr>
        <w:pStyle w:val="BodyText"/>
        <w:spacing w:before="7"/>
        <w:rPr>
          <w:rFonts w:ascii="黑体"/>
          <w:sz w:val="15"/>
        </w:rPr>
      </w:pPr>
    </w:p>
    <w:p>
      <w:pPr>
        <w:pStyle w:val="ListParagraph"/>
        <w:numPr>
          <w:ilvl w:val="2"/>
          <w:numId w:val="15"/>
        </w:numPr>
        <w:tabs>
          <w:tab w:val="left" w:pos="869"/>
          <w:tab w:val="left" w:pos="870"/>
        </w:tabs>
        <w:spacing w:before="0" w:after="0" w:line="240" w:lineRule="auto"/>
        <w:ind w:left="869" w:right="0" w:hanging="738"/>
        <w:jc w:val="left"/>
        <w:rPr>
          <w:sz w:val="21"/>
        </w:rPr>
      </w:pPr>
      <w:bookmarkStart w:id="117" w:name="6.6.1　在公共场所内张贴各种海报及宣传，应先经管理方审核同意。 "/>
      <w:bookmarkEnd w:id="117"/>
      <w:r>
        <w:rPr>
          <w:sz w:val="21"/>
        </w:rPr>
        <w:t>在公共场所内张贴各种海报及宣传，应先经管理方审核同意。</w:t>
      </w:r>
    </w:p>
    <w:p>
      <w:pPr>
        <w:pStyle w:val="ListParagraph"/>
        <w:numPr>
          <w:ilvl w:val="2"/>
          <w:numId w:val="15"/>
        </w:numPr>
        <w:tabs>
          <w:tab w:val="left" w:pos="869"/>
          <w:tab w:val="left" w:pos="870"/>
        </w:tabs>
        <w:spacing w:before="43" w:after="0" w:line="240" w:lineRule="auto"/>
        <w:ind w:left="869" w:right="0" w:hanging="738"/>
        <w:jc w:val="left"/>
        <w:rPr>
          <w:sz w:val="21"/>
        </w:rPr>
      </w:pPr>
      <w:bookmarkStart w:id="118" w:name="6.6.2　POP 挂旗、广告宣传品保持整齐、清洁、无破损，过季及时更换。 "/>
      <w:bookmarkEnd w:id="118"/>
      <w:r>
        <w:rPr>
          <w:sz w:val="21"/>
        </w:rPr>
        <w:t>P</w:t>
      </w:r>
      <w:r>
        <w:rPr>
          <w:sz w:val="21"/>
        </w:rPr>
        <w:t>OP</w:t>
      </w:r>
      <w:r>
        <w:rPr>
          <w:spacing w:val="-1"/>
          <w:sz w:val="21"/>
        </w:rPr>
        <w:t xml:space="preserve"> 挂旗、广告宣传品保持整齐、清洁、无破损，过季及时更换。</w:t>
      </w:r>
    </w:p>
    <w:p>
      <w:pPr>
        <w:pStyle w:val="BodyText"/>
        <w:spacing w:before="7"/>
        <w:rPr>
          <w:sz w:val="15"/>
        </w:rPr>
      </w:pPr>
    </w:p>
    <w:p>
      <w:pPr>
        <w:pStyle w:val="ListParagraph"/>
        <w:numPr>
          <w:ilvl w:val="1"/>
          <w:numId w:val="15"/>
        </w:numPr>
        <w:tabs>
          <w:tab w:val="left" w:pos="658"/>
          <w:tab w:val="left" w:pos="659"/>
        </w:tabs>
        <w:spacing w:before="0" w:after="0" w:line="240" w:lineRule="auto"/>
        <w:ind w:left="658" w:right="0" w:hanging="527"/>
        <w:jc w:val="left"/>
        <w:rPr>
          <w:rFonts w:ascii="黑体" w:eastAsia="黑体" w:hint="eastAsia"/>
          <w:sz w:val="21"/>
        </w:rPr>
      </w:pPr>
      <w:bookmarkStart w:id="119" w:name="6.7　设施设备及用品管理"/>
      <w:bookmarkEnd w:id="119"/>
      <w:r>
        <w:rPr>
          <w:rFonts w:ascii="黑体" w:eastAsia="黑体" w:hint="eastAsia"/>
          <w:sz w:val="21"/>
        </w:rPr>
        <w:t>设施设备及用品管理</w:t>
      </w:r>
    </w:p>
    <w:p>
      <w:pPr>
        <w:pStyle w:val="BodyText"/>
        <w:spacing w:before="6"/>
        <w:rPr>
          <w:rFonts w:ascii="黑体"/>
          <w:sz w:val="15"/>
        </w:rPr>
      </w:pPr>
    </w:p>
    <w:p>
      <w:pPr>
        <w:pStyle w:val="ListParagraph"/>
        <w:numPr>
          <w:ilvl w:val="2"/>
          <w:numId w:val="15"/>
        </w:numPr>
        <w:tabs>
          <w:tab w:val="left" w:pos="869"/>
          <w:tab w:val="left" w:pos="870"/>
        </w:tabs>
        <w:spacing w:before="0" w:after="0" w:line="240" w:lineRule="auto"/>
        <w:ind w:left="869" w:right="0" w:hanging="738"/>
        <w:jc w:val="left"/>
        <w:rPr>
          <w:rFonts w:ascii="黑体" w:eastAsia="黑体" w:hint="eastAsia"/>
          <w:sz w:val="21"/>
        </w:rPr>
      </w:pPr>
      <w:bookmarkStart w:id="120" w:name="6.7.1　基本要求"/>
      <w:bookmarkEnd w:id="120"/>
      <w:r>
        <w:rPr>
          <w:rFonts w:ascii="黑体" w:eastAsia="黑体" w:hint="eastAsia"/>
          <w:sz w:val="21"/>
        </w:rPr>
        <w:t>基本要求</w:t>
      </w:r>
    </w:p>
    <w:p>
      <w:pPr>
        <w:pStyle w:val="BodyText"/>
        <w:spacing w:before="7"/>
        <w:rPr>
          <w:rFonts w:ascii="黑体"/>
          <w:sz w:val="15"/>
        </w:rPr>
      </w:pPr>
    </w:p>
    <w:p>
      <w:pPr>
        <w:pStyle w:val="ListParagraph"/>
        <w:numPr>
          <w:ilvl w:val="3"/>
          <w:numId w:val="15"/>
        </w:numPr>
        <w:tabs>
          <w:tab w:val="left" w:pos="1078"/>
          <w:tab w:val="left" w:pos="1079"/>
        </w:tabs>
        <w:spacing w:before="0" w:after="0" w:line="240" w:lineRule="auto"/>
        <w:ind w:left="1078" w:right="0" w:hanging="947"/>
        <w:jc w:val="left"/>
        <w:rPr>
          <w:sz w:val="21"/>
        </w:rPr>
      </w:pPr>
      <w:bookmarkStart w:id="121" w:name="6.7.1.1　采光、照明、通风、给排水以及便器等基础设施设备的完好率应大于或等"/>
      <w:bookmarkEnd w:id="121"/>
      <w:r>
        <w:rPr>
          <w:spacing w:val="-2"/>
          <w:sz w:val="21"/>
        </w:rPr>
        <w:t xml:space="preserve">采光、照明、通风、给排水以及便器等基础设施设备的完好率应大于或等于 </w:t>
      </w:r>
      <w:r>
        <w:rPr>
          <w:sz w:val="21"/>
        </w:rPr>
        <w:t>95%。</w:t>
      </w:r>
    </w:p>
    <w:p>
      <w:pPr>
        <w:pStyle w:val="ListParagraph"/>
        <w:numPr>
          <w:ilvl w:val="3"/>
          <w:numId w:val="15"/>
        </w:numPr>
        <w:tabs>
          <w:tab w:val="left" w:pos="1078"/>
          <w:tab w:val="left" w:pos="1079"/>
        </w:tabs>
        <w:spacing w:before="43" w:after="0" w:line="278" w:lineRule="auto"/>
        <w:ind w:left="132" w:right="688" w:firstLine="0"/>
        <w:jc w:val="left"/>
        <w:rPr>
          <w:sz w:val="21"/>
        </w:rPr>
      </w:pPr>
      <w:bookmarkStart w:id="122" w:name="6.7.1.2　标识标牌应保持清洁，且无破损、遮挡、残缺、锈迹、歪斜。各类指向性"/>
      <w:bookmarkEnd w:id="122"/>
      <w:r>
        <w:rPr>
          <w:w w:val="95"/>
          <w:sz w:val="21"/>
        </w:rPr>
        <w:t>标识标牌应保持清洁，且无破损、遮挡、残缺、锈迹、歪斜。各类指向性标牌应保持指示方</w:t>
      </w:r>
      <w:r>
        <w:rPr>
          <w:w w:val="95"/>
          <w:sz w:val="21"/>
        </w:rPr>
        <w:t xml:space="preserve">   </w:t>
      </w:r>
      <w:r>
        <w:rPr>
          <w:sz w:val="21"/>
        </w:rPr>
        <w:t>向准确。</w:t>
      </w:r>
    </w:p>
    <w:p>
      <w:pPr>
        <w:pStyle w:val="ListParagraph"/>
        <w:numPr>
          <w:ilvl w:val="3"/>
          <w:numId w:val="15"/>
        </w:numPr>
        <w:tabs>
          <w:tab w:val="left" w:pos="1078"/>
          <w:tab w:val="left" w:pos="1079"/>
        </w:tabs>
        <w:spacing w:before="0" w:after="0" w:line="269" w:lineRule="exact"/>
        <w:ind w:left="1078" w:right="0" w:hanging="947"/>
        <w:jc w:val="left"/>
        <w:rPr>
          <w:sz w:val="21"/>
        </w:rPr>
      </w:pPr>
      <w:bookmarkStart w:id="123" w:name="6.7.1.3　无障碍设施应完好，无障碍通道应通畅。"/>
      <w:bookmarkEnd w:id="123"/>
      <w:r>
        <w:rPr>
          <w:sz w:val="21"/>
        </w:rPr>
        <w:t>无障碍设施应完好，无障碍通道应通畅。</w:t>
      </w:r>
    </w:p>
    <w:p>
      <w:pPr>
        <w:pStyle w:val="ListParagraph"/>
        <w:numPr>
          <w:ilvl w:val="3"/>
          <w:numId w:val="15"/>
        </w:numPr>
        <w:tabs>
          <w:tab w:val="left" w:pos="1078"/>
          <w:tab w:val="left" w:pos="1079"/>
        </w:tabs>
        <w:spacing w:before="43" w:after="0" w:line="278" w:lineRule="auto"/>
        <w:ind w:left="132" w:right="685" w:firstLine="0"/>
        <w:jc w:val="left"/>
        <w:rPr>
          <w:sz w:val="21"/>
        </w:rPr>
      </w:pPr>
      <w:bookmarkStart w:id="124" w:name="6.7.1.4　管理主体应采用巡回方式检查，进行综合隐患排查，提出整改措施，督促"/>
      <w:bookmarkEnd w:id="124"/>
      <w:r>
        <w:rPr>
          <w:w w:val="95"/>
          <w:sz w:val="21"/>
        </w:rPr>
        <w:t>管理主体应采用巡回方式检查，进行综合隐患排查，提出整改措施，督促隐患治理，保障建</w:t>
      </w:r>
      <w:r>
        <w:rPr>
          <w:w w:val="95"/>
          <w:sz w:val="21"/>
        </w:rPr>
        <w:t xml:space="preserve">   </w:t>
      </w:r>
      <w:r>
        <w:rPr>
          <w:sz w:val="21"/>
        </w:rPr>
        <w:t>宁驿站内设施设备功能完好。</w:t>
      </w:r>
    </w:p>
    <w:p>
      <w:pPr>
        <w:pStyle w:val="ListParagraph"/>
        <w:numPr>
          <w:ilvl w:val="3"/>
          <w:numId w:val="15"/>
        </w:numPr>
        <w:tabs>
          <w:tab w:val="left" w:pos="1078"/>
          <w:tab w:val="left" w:pos="1079"/>
        </w:tabs>
        <w:spacing w:before="0" w:after="0" w:line="269" w:lineRule="exact"/>
        <w:ind w:left="1078" w:right="0" w:hanging="947"/>
        <w:jc w:val="left"/>
        <w:rPr>
          <w:sz w:val="21"/>
        </w:rPr>
      </w:pPr>
      <w:bookmarkStart w:id="125" w:name="6.7.1.5　设施设备维修期间，应有标识，并明确停用时间及原因。"/>
      <w:bookmarkEnd w:id="125"/>
      <w:r>
        <w:rPr>
          <w:sz w:val="21"/>
        </w:rPr>
        <w:t>设施设备维修期间，应有标识，并明确停用时间及原因。</w:t>
      </w:r>
    </w:p>
    <w:p>
      <w:pPr>
        <w:pStyle w:val="ListParagraph"/>
        <w:numPr>
          <w:ilvl w:val="3"/>
          <w:numId w:val="15"/>
        </w:numPr>
        <w:tabs>
          <w:tab w:val="left" w:pos="1078"/>
          <w:tab w:val="left" w:pos="1079"/>
        </w:tabs>
        <w:spacing w:before="43" w:after="0" w:line="240" w:lineRule="auto"/>
        <w:ind w:left="1078" w:right="0" w:hanging="947"/>
        <w:jc w:val="left"/>
        <w:rPr>
          <w:sz w:val="21"/>
        </w:rPr>
      </w:pPr>
      <w:bookmarkStart w:id="126" w:name="6.7.1.6　设施设备的维修记录应完整、清晰、准确，维修时限应符合表2的规定。"/>
      <w:bookmarkEnd w:id="126"/>
      <w:r>
        <w:rPr>
          <w:spacing w:val="-2"/>
          <w:sz w:val="21"/>
        </w:rPr>
        <w:t xml:space="preserve">设施设备的维修记录应完整、清晰、准确，维修时限应符合表 </w:t>
      </w:r>
      <w:r>
        <w:rPr>
          <w:sz w:val="21"/>
        </w:rPr>
        <w:t>2</w:t>
      </w:r>
      <w:r>
        <w:rPr>
          <w:spacing w:val="-12"/>
          <w:sz w:val="21"/>
        </w:rPr>
        <w:t xml:space="preserve"> 的规定。</w:t>
      </w:r>
    </w:p>
    <w:p>
      <w:pPr>
        <w:pStyle w:val="BodyText"/>
        <w:spacing w:before="7"/>
        <w:rPr>
          <w:sz w:val="15"/>
        </w:rPr>
      </w:pPr>
    </w:p>
    <w:p>
      <w:pPr>
        <w:pStyle w:val="BodyText"/>
        <w:tabs>
          <w:tab w:val="left" w:pos="3732"/>
        </w:tabs>
        <w:ind w:left="3156"/>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2</w:t>
        <w:tab/>
        <w:t>建宁驿站内设施设备维护时限</w:t>
      </w:r>
    </w:p>
    <w:p>
      <w:pPr>
        <w:pStyle w:val="BodyText"/>
        <w:spacing w:before="10"/>
        <w:rPr>
          <w:rFonts w:ascii="黑体"/>
          <w:sz w:val="13"/>
        </w:rPr>
      </w:pPr>
    </w:p>
    <w:tbl>
      <w:tblPr>
        <w:tblStyle w:val="TableNormal2"/>
        <w:tblW w:w="0" w:type="auto"/>
        <w:jc w:val="left"/>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028"/>
        <w:gridCol w:w="4785"/>
        <w:gridCol w:w="3543"/>
      </w:tblGrid>
      <w:tr>
        <w:tblPrEx>
          <w:tblW w:w="0" w:type="auto"/>
          <w:jc w:val="left"/>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97"/>
          <w:jc w:val="left"/>
        </w:trPr>
        <w:tc>
          <w:tcPr>
            <w:tcW w:w="1028" w:type="dxa"/>
            <w:tcBorders>
              <w:right w:val="single" w:sz="4" w:space="0" w:color="000000"/>
            </w:tcBorders>
          </w:tcPr>
          <w:p>
            <w:pPr>
              <w:pStyle w:val="TableParagraph"/>
              <w:spacing w:before="82"/>
              <w:ind w:left="312" w:right="295"/>
              <w:jc w:val="center"/>
              <w:rPr>
                <w:sz w:val="18"/>
              </w:rPr>
            </w:pPr>
            <w:r>
              <w:rPr>
                <w:sz w:val="18"/>
              </w:rPr>
              <w:t>序号</w:t>
            </w:r>
          </w:p>
        </w:tc>
        <w:tc>
          <w:tcPr>
            <w:tcW w:w="4785" w:type="dxa"/>
            <w:tcBorders>
              <w:left w:val="single" w:sz="4" w:space="0" w:color="000000"/>
              <w:right w:val="single" w:sz="4" w:space="0" w:color="000000"/>
            </w:tcBorders>
          </w:tcPr>
          <w:p>
            <w:pPr>
              <w:pStyle w:val="TableParagraph"/>
              <w:spacing w:before="82"/>
              <w:ind w:left="581" w:right="554"/>
              <w:jc w:val="center"/>
              <w:rPr>
                <w:sz w:val="18"/>
              </w:rPr>
            </w:pPr>
            <w:r>
              <w:rPr>
                <w:sz w:val="18"/>
              </w:rPr>
              <w:t>设施设备项目</w:t>
            </w:r>
          </w:p>
        </w:tc>
        <w:tc>
          <w:tcPr>
            <w:tcW w:w="3543" w:type="dxa"/>
            <w:tcBorders>
              <w:left w:val="single" w:sz="4" w:space="0" w:color="000000"/>
            </w:tcBorders>
          </w:tcPr>
          <w:p>
            <w:pPr>
              <w:pStyle w:val="TableParagraph"/>
              <w:spacing w:before="82"/>
              <w:ind w:left="1400" w:right="1363"/>
              <w:jc w:val="center"/>
              <w:rPr>
                <w:sz w:val="18"/>
              </w:rPr>
            </w:pPr>
            <w:r>
              <w:rPr>
                <w:sz w:val="18"/>
              </w:rPr>
              <w:t>维修时限</w:t>
            </w:r>
          </w:p>
        </w:tc>
      </w:tr>
      <w:tr>
        <w:tblPrEx>
          <w:tblW w:w="0" w:type="auto"/>
          <w:jc w:val="left"/>
          <w:tblInd w:w="148" w:type="dxa"/>
          <w:tblLayout w:type="fixed"/>
          <w:tblCellMar>
            <w:top w:w="0" w:type="dxa"/>
            <w:left w:w="0" w:type="dxa"/>
            <w:bottom w:w="0" w:type="dxa"/>
            <w:right w:w="0" w:type="dxa"/>
          </w:tblCellMar>
          <w:tblLook w:val="01E0"/>
        </w:tblPrEx>
        <w:trPr>
          <w:trHeight w:val="397"/>
          <w:jc w:val="left"/>
        </w:trPr>
        <w:tc>
          <w:tcPr>
            <w:tcW w:w="1028" w:type="dxa"/>
            <w:tcBorders>
              <w:bottom w:val="single" w:sz="4" w:space="0" w:color="000000"/>
              <w:right w:val="single" w:sz="4" w:space="0" w:color="000000"/>
            </w:tcBorders>
          </w:tcPr>
          <w:p>
            <w:pPr>
              <w:pStyle w:val="TableParagraph"/>
              <w:spacing w:before="82"/>
              <w:ind w:left="16"/>
              <w:jc w:val="center"/>
              <w:rPr>
                <w:sz w:val="18"/>
              </w:rPr>
            </w:pPr>
            <w:r>
              <w:rPr>
                <w:sz w:val="18"/>
              </w:rPr>
              <w:t>1</w:t>
            </w:r>
          </w:p>
        </w:tc>
        <w:tc>
          <w:tcPr>
            <w:tcW w:w="4785" w:type="dxa"/>
            <w:tcBorders>
              <w:left w:val="single" w:sz="4" w:space="0" w:color="000000"/>
              <w:bottom w:val="single" w:sz="4" w:space="0" w:color="000000"/>
              <w:right w:val="single" w:sz="4" w:space="0" w:color="000000"/>
            </w:tcBorders>
          </w:tcPr>
          <w:p>
            <w:pPr>
              <w:pStyle w:val="TableParagraph"/>
              <w:spacing w:before="82"/>
              <w:ind w:left="581" w:right="554"/>
              <w:jc w:val="center"/>
              <w:rPr>
                <w:sz w:val="18"/>
              </w:rPr>
            </w:pPr>
            <w:r>
              <w:rPr>
                <w:sz w:val="18"/>
              </w:rPr>
              <w:t>门、窗、洗手盆、冲水设备、面镜、挂衣钩等</w:t>
            </w:r>
          </w:p>
        </w:tc>
        <w:tc>
          <w:tcPr>
            <w:tcW w:w="3543" w:type="dxa"/>
            <w:tcBorders>
              <w:left w:val="single" w:sz="4" w:space="0" w:color="000000"/>
              <w:bottom w:val="single" w:sz="4" w:space="0" w:color="000000"/>
            </w:tcBorders>
          </w:tcPr>
          <w:p>
            <w:pPr>
              <w:pStyle w:val="TableParagraph"/>
              <w:spacing w:before="82"/>
              <w:ind w:left="1400" w:right="1361"/>
              <w:jc w:val="center"/>
              <w:rPr>
                <w:sz w:val="18"/>
              </w:rPr>
            </w:pPr>
            <w:r>
              <w:rPr>
                <w:sz w:val="18"/>
              </w:rPr>
              <w:t>1 天</w:t>
            </w:r>
          </w:p>
        </w:tc>
      </w:tr>
      <w:tr>
        <w:tblPrEx>
          <w:tblW w:w="0" w:type="auto"/>
          <w:jc w:val="left"/>
          <w:tblInd w:w="148" w:type="dxa"/>
          <w:tblLayout w:type="fixed"/>
          <w:tblCellMar>
            <w:top w:w="0" w:type="dxa"/>
            <w:left w:w="0" w:type="dxa"/>
            <w:bottom w:w="0" w:type="dxa"/>
            <w:right w:w="0" w:type="dxa"/>
          </w:tblCellMar>
          <w:tblLook w:val="01E0"/>
        </w:tblPrEx>
        <w:trPr>
          <w:trHeight w:val="397"/>
          <w:jc w:val="left"/>
        </w:trPr>
        <w:tc>
          <w:tcPr>
            <w:tcW w:w="1028" w:type="dxa"/>
            <w:tcBorders>
              <w:top w:val="single" w:sz="4" w:space="0" w:color="000000"/>
              <w:bottom w:val="single" w:sz="4" w:space="0" w:color="000000"/>
              <w:right w:val="single" w:sz="4" w:space="0" w:color="000000"/>
            </w:tcBorders>
          </w:tcPr>
          <w:p>
            <w:pPr>
              <w:pStyle w:val="TableParagraph"/>
              <w:spacing w:before="83"/>
              <w:ind w:left="16"/>
              <w:jc w:val="center"/>
              <w:rPr>
                <w:sz w:val="18"/>
              </w:rPr>
            </w:pPr>
            <w:r>
              <w:rPr>
                <w:sz w:val="18"/>
              </w:rPr>
              <w:t>2</w:t>
            </w:r>
          </w:p>
        </w:tc>
        <w:tc>
          <w:tcPr>
            <w:tcW w:w="4785" w:type="dxa"/>
            <w:tcBorders>
              <w:top w:val="single" w:sz="4" w:space="0" w:color="000000"/>
              <w:left w:val="single" w:sz="4" w:space="0" w:color="000000"/>
              <w:bottom w:val="single" w:sz="4" w:space="0" w:color="000000"/>
              <w:right w:val="single" w:sz="4" w:space="0" w:color="000000"/>
            </w:tcBorders>
          </w:tcPr>
          <w:p>
            <w:pPr>
              <w:pStyle w:val="TableParagraph"/>
              <w:spacing w:before="83"/>
              <w:ind w:left="581" w:right="552"/>
              <w:jc w:val="center"/>
              <w:rPr>
                <w:sz w:val="18"/>
              </w:rPr>
            </w:pPr>
            <w:r>
              <w:rPr>
                <w:sz w:val="18"/>
              </w:rPr>
              <w:t>除臭或空气净化设备</w:t>
            </w:r>
          </w:p>
        </w:tc>
        <w:tc>
          <w:tcPr>
            <w:tcW w:w="3543" w:type="dxa"/>
            <w:tcBorders>
              <w:top w:val="single" w:sz="4" w:space="0" w:color="000000"/>
              <w:left w:val="single" w:sz="4" w:space="0" w:color="000000"/>
              <w:bottom w:val="single" w:sz="4" w:space="0" w:color="000000"/>
            </w:tcBorders>
          </w:tcPr>
          <w:p>
            <w:pPr>
              <w:pStyle w:val="TableParagraph"/>
              <w:spacing w:before="83"/>
              <w:ind w:left="1400" w:right="1361"/>
              <w:jc w:val="center"/>
              <w:rPr>
                <w:sz w:val="18"/>
              </w:rPr>
            </w:pPr>
            <w:r>
              <w:rPr>
                <w:sz w:val="18"/>
              </w:rPr>
              <w:t>1 天</w:t>
            </w:r>
          </w:p>
        </w:tc>
      </w:tr>
      <w:tr>
        <w:tblPrEx>
          <w:tblW w:w="0" w:type="auto"/>
          <w:jc w:val="left"/>
          <w:tblInd w:w="148" w:type="dxa"/>
          <w:tblLayout w:type="fixed"/>
          <w:tblCellMar>
            <w:top w:w="0" w:type="dxa"/>
            <w:left w:w="0" w:type="dxa"/>
            <w:bottom w:w="0" w:type="dxa"/>
            <w:right w:w="0" w:type="dxa"/>
          </w:tblCellMar>
          <w:tblLook w:val="01E0"/>
        </w:tblPrEx>
        <w:trPr>
          <w:trHeight w:val="397"/>
          <w:jc w:val="left"/>
        </w:trPr>
        <w:tc>
          <w:tcPr>
            <w:tcW w:w="1028" w:type="dxa"/>
            <w:tcBorders>
              <w:top w:val="single" w:sz="4" w:space="0" w:color="000000"/>
              <w:bottom w:val="single" w:sz="4" w:space="0" w:color="000000"/>
              <w:right w:val="single" w:sz="4" w:space="0" w:color="000000"/>
            </w:tcBorders>
          </w:tcPr>
          <w:p>
            <w:pPr>
              <w:pStyle w:val="TableParagraph"/>
              <w:spacing w:before="84"/>
              <w:ind w:left="16"/>
              <w:jc w:val="center"/>
              <w:rPr>
                <w:sz w:val="18"/>
              </w:rPr>
            </w:pPr>
            <w:r>
              <w:rPr>
                <w:sz w:val="18"/>
              </w:rPr>
              <w:t>3</w:t>
            </w:r>
          </w:p>
        </w:tc>
        <w:tc>
          <w:tcPr>
            <w:tcW w:w="4785" w:type="dxa"/>
            <w:tcBorders>
              <w:top w:val="single" w:sz="4" w:space="0" w:color="000000"/>
              <w:left w:val="single" w:sz="4" w:space="0" w:color="000000"/>
              <w:bottom w:val="single" w:sz="4" w:space="0" w:color="000000"/>
              <w:right w:val="single" w:sz="4" w:space="0" w:color="000000"/>
            </w:tcBorders>
          </w:tcPr>
          <w:p>
            <w:pPr>
              <w:pStyle w:val="TableParagraph"/>
              <w:spacing w:before="84"/>
              <w:ind w:left="581" w:right="552"/>
              <w:jc w:val="center"/>
              <w:rPr>
                <w:sz w:val="18"/>
              </w:rPr>
            </w:pPr>
            <w:r>
              <w:rPr>
                <w:sz w:val="18"/>
              </w:rPr>
              <w:t>内外标识、提示牌、宣传牌等</w:t>
            </w:r>
          </w:p>
        </w:tc>
        <w:tc>
          <w:tcPr>
            <w:tcW w:w="3543" w:type="dxa"/>
            <w:tcBorders>
              <w:top w:val="single" w:sz="4" w:space="0" w:color="000000"/>
              <w:left w:val="single" w:sz="4" w:space="0" w:color="000000"/>
              <w:bottom w:val="single" w:sz="4" w:space="0" w:color="000000"/>
            </w:tcBorders>
          </w:tcPr>
          <w:p>
            <w:pPr>
              <w:pStyle w:val="TableParagraph"/>
              <w:spacing w:before="84"/>
              <w:ind w:left="1400" w:right="1361"/>
              <w:jc w:val="center"/>
              <w:rPr>
                <w:sz w:val="18"/>
              </w:rPr>
            </w:pPr>
            <w:r>
              <w:rPr>
                <w:sz w:val="18"/>
              </w:rPr>
              <w:t>1 天</w:t>
            </w:r>
          </w:p>
        </w:tc>
      </w:tr>
      <w:tr>
        <w:tblPrEx>
          <w:tblW w:w="0" w:type="auto"/>
          <w:jc w:val="left"/>
          <w:tblInd w:w="148" w:type="dxa"/>
          <w:tblLayout w:type="fixed"/>
          <w:tblCellMar>
            <w:top w:w="0" w:type="dxa"/>
            <w:left w:w="0" w:type="dxa"/>
            <w:bottom w:w="0" w:type="dxa"/>
            <w:right w:w="0" w:type="dxa"/>
          </w:tblCellMar>
          <w:tblLook w:val="01E0"/>
        </w:tblPrEx>
        <w:trPr>
          <w:trHeight w:val="396"/>
          <w:jc w:val="left"/>
        </w:trPr>
        <w:tc>
          <w:tcPr>
            <w:tcW w:w="1028" w:type="dxa"/>
            <w:tcBorders>
              <w:top w:val="single" w:sz="4" w:space="0" w:color="000000"/>
              <w:bottom w:val="single" w:sz="4" w:space="0" w:color="000000"/>
              <w:right w:val="single" w:sz="4" w:space="0" w:color="000000"/>
            </w:tcBorders>
          </w:tcPr>
          <w:p>
            <w:pPr>
              <w:pStyle w:val="TableParagraph"/>
              <w:spacing w:before="82"/>
              <w:ind w:left="16"/>
              <w:jc w:val="center"/>
              <w:rPr>
                <w:sz w:val="18"/>
              </w:rPr>
            </w:pPr>
            <w:r>
              <w:rPr>
                <w:sz w:val="18"/>
              </w:rPr>
              <w:t>4</w:t>
            </w:r>
          </w:p>
        </w:tc>
        <w:tc>
          <w:tcPr>
            <w:tcW w:w="4785" w:type="dxa"/>
            <w:tcBorders>
              <w:top w:val="single" w:sz="4" w:space="0" w:color="000000"/>
              <w:left w:val="single" w:sz="4" w:space="0" w:color="000000"/>
              <w:bottom w:val="single" w:sz="4" w:space="0" w:color="000000"/>
              <w:right w:val="single" w:sz="4" w:space="0" w:color="000000"/>
            </w:tcBorders>
          </w:tcPr>
          <w:p>
            <w:pPr>
              <w:pStyle w:val="TableParagraph"/>
              <w:spacing w:before="82"/>
              <w:ind w:left="581" w:right="554"/>
              <w:jc w:val="center"/>
              <w:rPr>
                <w:sz w:val="18"/>
              </w:rPr>
            </w:pPr>
            <w:r>
              <w:rPr>
                <w:sz w:val="18"/>
              </w:rPr>
              <w:t>天花板、墙面、地面、隔断板等</w:t>
            </w:r>
          </w:p>
        </w:tc>
        <w:tc>
          <w:tcPr>
            <w:tcW w:w="3543" w:type="dxa"/>
            <w:tcBorders>
              <w:top w:val="single" w:sz="4" w:space="0" w:color="000000"/>
              <w:left w:val="single" w:sz="4" w:space="0" w:color="000000"/>
              <w:bottom w:val="single" w:sz="4" w:space="0" w:color="000000"/>
            </w:tcBorders>
          </w:tcPr>
          <w:p>
            <w:pPr>
              <w:pStyle w:val="TableParagraph"/>
              <w:spacing w:before="82"/>
              <w:ind w:left="1400" w:right="1361"/>
              <w:jc w:val="center"/>
              <w:rPr>
                <w:sz w:val="18"/>
              </w:rPr>
            </w:pPr>
            <w:r>
              <w:rPr>
                <w:sz w:val="18"/>
              </w:rPr>
              <w:t>3 天</w:t>
            </w:r>
          </w:p>
        </w:tc>
      </w:tr>
      <w:tr>
        <w:tblPrEx>
          <w:tblW w:w="0" w:type="auto"/>
          <w:jc w:val="left"/>
          <w:tblInd w:w="148" w:type="dxa"/>
          <w:tblLayout w:type="fixed"/>
          <w:tblCellMar>
            <w:top w:w="0" w:type="dxa"/>
            <w:left w:w="0" w:type="dxa"/>
            <w:bottom w:w="0" w:type="dxa"/>
            <w:right w:w="0" w:type="dxa"/>
          </w:tblCellMar>
          <w:tblLook w:val="01E0"/>
        </w:tblPrEx>
        <w:trPr>
          <w:trHeight w:val="396"/>
          <w:jc w:val="left"/>
        </w:trPr>
        <w:tc>
          <w:tcPr>
            <w:tcW w:w="1028" w:type="dxa"/>
            <w:tcBorders>
              <w:top w:val="single" w:sz="4" w:space="0" w:color="000000"/>
              <w:right w:val="single" w:sz="4" w:space="0" w:color="000000"/>
            </w:tcBorders>
          </w:tcPr>
          <w:p>
            <w:pPr>
              <w:pStyle w:val="TableParagraph"/>
              <w:spacing w:before="84"/>
              <w:ind w:left="16"/>
              <w:jc w:val="center"/>
              <w:rPr>
                <w:sz w:val="18"/>
              </w:rPr>
            </w:pPr>
            <w:r>
              <w:rPr>
                <w:sz w:val="18"/>
              </w:rPr>
              <w:t>5</w:t>
            </w:r>
          </w:p>
        </w:tc>
        <w:tc>
          <w:tcPr>
            <w:tcW w:w="4785" w:type="dxa"/>
            <w:tcBorders>
              <w:top w:val="single" w:sz="4" w:space="0" w:color="000000"/>
              <w:left w:val="single" w:sz="4" w:space="0" w:color="000000"/>
              <w:right w:val="single" w:sz="4" w:space="0" w:color="000000"/>
            </w:tcBorders>
          </w:tcPr>
          <w:p>
            <w:pPr>
              <w:pStyle w:val="TableParagraph"/>
              <w:spacing w:before="84"/>
              <w:ind w:left="581" w:right="552"/>
              <w:jc w:val="center"/>
              <w:rPr>
                <w:sz w:val="18"/>
              </w:rPr>
            </w:pPr>
            <w:r>
              <w:rPr>
                <w:sz w:val="18"/>
              </w:rPr>
              <w:t>其他大型设备的维修维护</w:t>
            </w:r>
          </w:p>
        </w:tc>
        <w:tc>
          <w:tcPr>
            <w:tcW w:w="3543" w:type="dxa"/>
            <w:tcBorders>
              <w:top w:val="single" w:sz="4" w:space="0" w:color="000000"/>
              <w:left w:val="single" w:sz="4" w:space="0" w:color="000000"/>
            </w:tcBorders>
          </w:tcPr>
          <w:p>
            <w:pPr>
              <w:pStyle w:val="TableParagraph"/>
              <w:spacing w:before="84"/>
              <w:ind w:left="1400" w:right="1361"/>
              <w:jc w:val="center"/>
              <w:rPr>
                <w:sz w:val="18"/>
              </w:rPr>
            </w:pPr>
            <w:r>
              <w:rPr>
                <w:sz w:val="18"/>
              </w:rPr>
              <w:t>7 天</w:t>
            </w:r>
          </w:p>
        </w:tc>
      </w:tr>
    </w:tbl>
    <w:p>
      <w:pPr>
        <w:pStyle w:val="ListParagraph"/>
        <w:numPr>
          <w:ilvl w:val="2"/>
          <w:numId w:val="15"/>
        </w:numPr>
        <w:tabs>
          <w:tab w:val="left" w:pos="869"/>
          <w:tab w:val="left" w:pos="870"/>
        </w:tabs>
        <w:spacing w:before="177" w:after="0" w:line="240" w:lineRule="auto"/>
        <w:ind w:left="869" w:right="0" w:hanging="738"/>
        <w:jc w:val="left"/>
        <w:rPr>
          <w:rFonts w:ascii="黑体" w:eastAsia="黑体" w:hint="eastAsia"/>
          <w:sz w:val="21"/>
        </w:rPr>
      </w:pPr>
      <w:bookmarkStart w:id="127" w:name="6.7.2　智能化管理系统管理"/>
      <w:bookmarkEnd w:id="127"/>
      <w:r>
        <w:rPr>
          <w:rFonts w:ascii="黑体" w:eastAsia="黑体" w:hint="eastAsia"/>
          <w:sz w:val="21"/>
        </w:rPr>
        <w:t>智能化管理系统管理</w:t>
      </w:r>
    </w:p>
    <w:p>
      <w:pPr>
        <w:pStyle w:val="BodyText"/>
        <w:spacing w:before="7"/>
        <w:rPr>
          <w:rFonts w:ascii="黑体"/>
          <w:sz w:val="15"/>
        </w:rPr>
      </w:pPr>
    </w:p>
    <w:p>
      <w:pPr>
        <w:pStyle w:val="ListParagraph"/>
        <w:numPr>
          <w:ilvl w:val="3"/>
          <w:numId w:val="15"/>
        </w:numPr>
        <w:tabs>
          <w:tab w:val="left" w:pos="1078"/>
          <w:tab w:val="left" w:pos="1079"/>
        </w:tabs>
        <w:spacing w:before="0" w:after="0" w:line="240" w:lineRule="auto"/>
        <w:ind w:left="1078" w:right="0" w:hanging="947"/>
        <w:jc w:val="left"/>
        <w:rPr>
          <w:sz w:val="21"/>
        </w:rPr>
      </w:pPr>
      <w:bookmarkStart w:id="128" w:name="6.7.2.1　每日对智能化系统进行清洁，实时维护系统的干净完好。"/>
      <w:bookmarkEnd w:id="128"/>
      <w:r>
        <w:rPr>
          <w:sz w:val="21"/>
        </w:rPr>
        <w:t>每日对智能化系统进行清洁，实时维护系统的干净完好。</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https://d.book118.com/718036041114006036</w:t>
        </w:r>
      </w:hyperlink>
    </w:p>
    <w:p>
      <w:pPr>
        <w:spacing w:after="0" w:line="240" w:lineRule="auto"/>
        <w:jc w:val="left"/>
        <w:rPr>
          <w:sz w:val="21"/>
        </w:rPr>
      </w:pPr>
    </w:p>
    <w:sectPr>
      <w:headerReference w:type="even" r:id="rId41"/>
      <w:headerReference w:type="default" r:id="rId42"/>
      <w:footerReference w:type="even" r:id="rId43"/>
      <w:footerReference w:type="default" r:id="rId44"/>
      <w:pgSz w:w="11910" w:h="16840"/>
      <w:pgMar w:top="1660" w:right="740" w:bottom="1340" w:left="1000" w:header="1442" w:footer="1141"/>
      <w:pgNumType w:start="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1.1pt;height:11pt;margin-top:773.83pt;margin-left:66.8pt;mso-position-horizontal-relative:page;mso-position-vertical-relative:page;position:absolute;z-index:-251657216" filled="f" stroked="f">
          <v:textbox inset="0,0,0,0">
            <w:txbxContent>
              <w:p>
                <w:pPr>
                  <w:spacing w:before="0" w:line="220" w:lineRule="exact"/>
                  <w:ind w:left="20" w:right="0" w:firstLine="0"/>
                  <w:jc w:val="left"/>
                  <w:rPr>
                    <w:sz w:val="18"/>
                  </w:rPr>
                </w:pPr>
                <w:r>
                  <w:rPr>
                    <w:sz w:val="18"/>
                  </w:rPr>
                  <w:t>II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5pt;height:11pt;margin-top:773.83pt;margin-left:523.16pt;mso-position-horizontal-relative:page;mso-position-vertical-relative:page;position:absolute;z-index:-251658240" filled="f" stroked="f">
          <v:textbox inset="0,0,0,0">
            <w:txbxContent>
              <w:p>
                <w:pPr>
                  <w:spacing w:before="0" w:line="220" w:lineRule="exact"/>
                  <w:ind w:left="20" w:right="0" w:firstLine="0"/>
                  <w:jc w:val="left"/>
                  <w:rPr>
                    <w:sz w:val="18"/>
                  </w:rPr>
                </w:pPr>
                <w:r>
                  <w:rPr>
                    <w:sz w:val="18"/>
                  </w:rPr>
                  <w:t>I</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1.1pt;height:11pt;margin-top:773.83pt;margin-left:66.8pt;mso-position-horizontal-relative:page;mso-position-vertical-relative:page;position:absolute;z-index:-251655168" filled="f" stroked="f">
          <v:textbox inset="0,0,0,0">
            <w:txbxContent>
              <w:p>
                <w:pPr>
                  <w:spacing w:before="0" w:line="220" w:lineRule="exact"/>
                  <w:ind w:left="20" w:right="0" w:firstLine="0"/>
                  <w:jc w:val="left"/>
                  <w:rPr>
                    <w:sz w:val="18"/>
                  </w:rPr>
                </w:pPr>
                <w:r>
                  <w:rPr>
                    <w:sz w:val="18"/>
                  </w:rPr>
                  <w:t>II</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pt;height:11pt;margin-top:773.83pt;margin-left:523.16pt;mso-position-horizontal-relative:page;mso-position-vertical-relative:page;position:absolute;z-index:-251656192" filled="f" stroked="f">
          <v:textbox inset="0,0,0,0">
            <w:txbxContent>
              <w:p>
                <w:pPr>
                  <w:spacing w:before="0" w:line="220" w:lineRule="exact"/>
                  <w:ind w:left="20" w:right="0" w:firstLine="0"/>
                  <w:jc w:val="left"/>
                  <w:rPr>
                    <w:sz w:val="18"/>
                  </w:rPr>
                </w:pPr>
                <w:r>
                  <w:rPr>
                    <w:sz w:val="18"/>
                  </w:rPr>
                  <w:t>I</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pt;height:11pt;margin-top:773.83pt;margin-left:64.8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5.1pt;height:11pt;margin-top:773.83pt;margin-left:516.72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5.1pt;height:11pt;margin-top:773.83pt;margin-left:64.8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5.1pt;height:11pt;margin-top:773.83pt;margin-left:516.72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5.1pt;height:11pt;margin-top:773.83pt;margin-left:64.8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5.1pt;height:11pt;margin-top:773.83pt;margin-left:516.72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5.1pt;height:11pt;margin-top:773.83pt;margin-left:64.8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5.1pt;height:11pt;margin-top:773.83pt;margin-left:516.72pt;mso-position-horizontal-relative:page;mso-position-vertical-relative:page;position:absolute;z-index:-25164800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5.1pt;height:11pt;margin-top:773.83pt;margin-left:64.8pt;mso-position-horizontal-relative:page;mso-position-vertical-relative:page;position:absolute;z-index:-25164492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5.1pt;height:11pt;margin-top:773.83pt;margin-left:516.72pt;mso-position-horizontal-relative:page;mso-position-vertical-relative:page;position:absolute;z-index:-25164595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5.1pt;height:11pt;margin-top:773.83pt;margin-left:64.8pt;mso-position-horizontal-relative:page;mso-position-vertical-relative:page;position:absolute;z-index:-25164288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5.1pt;height:11pt;margin-top:773.83pt;margin-left:516.72pt;mso-position-horizontal-relative:page;mso-position-vertical-relative:page;position:absolute;z-index:-25164390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5.1pt;height:11pt;margin-top:773.83pt;margin-left:64.8pt;mso-position-horizontal-relative:page;mso-position-vertical-relative:page;position:absolute;z-index:-25164083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5.1pt;height:11pt;margin-top:773.83pt;margin-left:516.72pt;mso-position-horizontal-relative:page;mso-position-vertical-relative:page;position:absolute;z-index:-25164185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5.1pt;height:11pt;margin-top:773.83pt;margin-left:64.8pt;mso-position-horizontal-relative:page;mso-position-vertical-relative:page;position:absolute;z-index:-25163878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5.1pt;height:11pt;margin-top:773.83pt;margin-left:516.72pt;mso-position-horizontal-relative:page;mso-position-vertical-relative:page;position:absolute;z-index:-25163980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86.1pt;height:13.6pt;margin-top:71.1pt;margin-left:55.64pt;mso-position-horizontal-relative:page;mso-position-vertical-relative:page;position:absolute;z-index:-251657216"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86.1pt;height:13.6pt;margin-top:71.1pt;margin-left:453.56pt;mso-position-horizontal-relative:page;mso-position-vertical-relative:page;position:absolute;z-index:-251658240"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6.1pt;height:13.6pt;margin-top:71.1pt;margin-left:55.64pt;mso-position-horizontal-relative:page;mso-position-vertical-relative:page;position:absolute;z-index:-251655168"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86.1pt;height:13.6pt;margin-top:71.1pt;margin-left:453.56pt;mso-position-horizontal-relative:page;mso-position-vertical-relative:page;position:absolute;z-index:-251656192"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86.1pt;height:13.6pt;margin-top:71.1pt;margin-left:55.64pt;mso-position-horizontal-relative:page;mso-position-vertical-relative:page;position:absolute;z-index:-251653120"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86.1pt;height:13.6pt;margin-top:71.1pt;margin-left:453.56pt;mso-position-horizontal-relative:page;mso-position-vertical-relative:page;position:absolute;z-index:-251654144"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86.1pt;height:13.6pt;margin-top:71.1pt;margin-left:55.64pt;mso-position-horizontal-relative:page;mso-position-vertical-relative:page;position:absolute;z-index:-251651072"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86.1pt;height:13.6pt;margin-top:71.1pt;margin-left:453.56pt;mso-position-horizontal-relative:page;mso-position-vertical-relative:page;position:absolute;z-index:-251652096"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86.1pt;height:13.6pt;margin-top:71.1pt;margin-left:55.64pt;mso-position-horizontal-relative:page;mso-position-vertical-relative:page;position:absolute;z-index:-251649024"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86.1pt;height:13.6pt;margin-top:71.1pt;margin-left:453.56pt;mso-position-horizontal-relative:page;mso-position-vertical-relative:page;position:absolute;z-index:-251650048"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6.1pt;height:13.6pt;margin-top:71.1pt;margin-left:55.64pt;mso-position-horizontal-relative:page;mso-position-vertical-relative:page;position:absolute;z-index:-251646976"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6.1pt;height:13.6pt;margin-top:71.1pt;margin-left:453.56pt;mso-position-horizontal-relative:page;mso-position-vertical-relative:page;position:absolute;z-index:-251648000"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6.1pt;height:13.6pt;margin-top:71.1pt;margin-left:55.64pt;mso-position-horizontal-relative:page;mso-position-vertical-relative:page;position:absolute;z-index:-251644928"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86.1pt;height:13.6pt;margin-top:71.1pt;margin-left:453.56pt;mso-position-horizontal-relative:page;mso-position-vertical-relative:page;position:absolute;z-index:-251645952"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6.1pt;height:13.6pt;margin-top:71.1pt;margin-left:55.64pt;mso-position-horizontal-relative:page;mso-position-vertical-relative:page;position:absolute;z-index:-251642880"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86.1pt;height:13.6pt;margin-top:71.1pt;margin-left:453.56pt;mso-position-horizontal-relative:page;mso-position-vertical-relative:page;position:absolute;z-index:-251643904"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86.1pt;height:13.6pt;margin-top:71.1pt;margin-left:55.64pt;mso-position-horizontal-relative:page;mso-position-vertical-relative:page;position:absolute;z-index:-251640832"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86.1pt;height:13.6pt;margin-top:71.1pt;margin-left:453.56pt;mso-position-horizontal-relative:page;mso-position-vertical-relative:page;position:absolute;z-index:-251641856"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86.1pt;height:13.6pt;margin-top:71.1pt;margin-left:55.64pt;mso-position-horizontal-relative:page;mso-position-vertical-relative:page;position:absolute;z-index:-251638784"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86.1pt;height:13.6pt;margin-top:71.1pt;margin-left:453.56pt;mso-position-horizontal-relative:page;mso-position-vertical-relative:page;position:absolute;z-index:-251639808" filled="f" stroked="f">
          <v:textbox inset="0,0,0,0">
            <w:txbxContent>
              <w:p>
                <w:pPr>
                  <w:pStyle w:val="BodyText"/>
                  <w:spacing w:line="265" w:lineRule="exact"/>
                  <w:ind w:left="20"/>
                  <w:rPr>
                    <w:rFonts w:ascii="黑体" w:hAnsi="黑体"/>
                  </w:rPr>
                </w:pPr>
                <w:r>
                  <w:rPr>
                    <w:rFonts w:ascii="黑体" w:hAnsi="黑体"/>
                  </w:rPr>
                  <w:t>DB4302/T 2</w:t>
                </w:r>
                <w:r>
                  <w:rPr>
                    <w:rFonts w:ascii="Times New Roman" w:hAnsi="Times New Roman"/>
                  </w:rPr>
                  <w:t>—</w:t>
                </w:r>
                <w:r>
                  <w:rPr>
                    <w:rFonts w:ascii="黑体" w:hAnsi="黑体"/>
                  </w:rPr>
                  <w:t>2023</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530B8"/>
    <w:multiLevelType w:val="hybridMultilevel"/>
    <w:tmpl w:val="00000000"/>
    <w:lvl w:ilvl="0">
      <w:start w:val="2"/>
      <w:numFmt w:val="decimal"/>
      <w:lvlText w:val="%1."/>
      <w:lvlJc w:val="left"/>
      <w:pPr>
        <w:ind w:left="106" w:hanging="183"/>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457" w:hanging="183"/>
      </w:pPr>
      <w:rPr>
        <w:rFonts w:hint="default"/>
        <w:lang w:val="en-US" w:eastAsia="en-US" w:bidi="ar-SA"/>
      </w:rPr>
    </w:lvl>
    <w:lvl w:ilvl="2">
      <w:start w:val="0"/>
      <w:numFmt w:val="bullet"/>
      <w:lvlText w:val="•"/>
      <w:lvlJc w:val="left"/>
      <w:pPr>
        <w:ind w:left="815" w:hanging="183"/>
      </w:pPr>
      <w:rPr>
        <w:rFonts w:hint="default"/>
        <w:lang w:val="en-US" w:eastAsia="en-US" w:bidi="ar-SA"/>
      </w:rPr>
    </w:lvl>
    <w:lvl w:ilvl="3">
      <w:start w:val="0"/>
      <w:numFmt w:val="bullet"/>
      <w:lvlText w:val="•"/>
      <w:lvlJc w:val="left"/>
      <w:pPr>
        <w:ind w:left="1172" w:hanging="183"/>
      </w:pPr>
      <w:rPr>
        <w:rFonts w:hint="default"/>
        <w:lang w:val="en-US" w:eastAsia="en-US" w:bidi="ar-SA"/>
      </w:rPr>
    </w:lvl>
    <w:lvl w:ilvl="4">
      <w:start w:val="0"/>
      <w:numFmt w:val="bullet"/>
      <w:lvlText w:val="•"/>
      <w:lvlJc w:val="left"/>
      <w:pPr>
        <w:ind w:left="1530" w:hanging="183"/>
      </w:pPr>
      <w:rPr>
        <w:rFonts w:hint="default"/>
        <w:lang w:val="en-US" w:eastAsia="en-US" w:bidi="ar-SA"/>
      </w:rPr>
    </w:lvl>
    <w:lvl w:ilvl="5">
      <w:start w:val="0"/>
      <w:numFmt w:val="bullet"/>
      <w:lvlText w:val="•"/>
      <w:lvlJc w:val="left"/>
      <w:pPr>
        <w:ind w:left="1887" w:hanging="183"/>
      </w:pPr>
      <w:rPr>
        <w:rFonts w:hint="default"/>
        <w:lang w:val="en-US" w:eastAsia="en-US" w:bidi="ar-SA"/>
      </w:rPr>
    </w:lvl>
    <w:lvl w:ilvl="6">
      <w:start w:val="0"/>
      <w:numFmt w:val="bullet"/>
      <w:lvlText w:val="•"/>
      <w:lvlJc w:val="left"/>
      <w:pPr>
        <w:ind w:left="2245" w:hanging="183"/>
      </w:pPr>
      <w:rPr>
        <w:rFonts w:hint="default"/>
        <w:lang w:val="en-US" w:eastAsia="en-US" w:bidi="ar-SA"/>
      </w:rPr>
    </w:lvl>
    <w:lvl w:ilvl="7">
      <w:start w:val="0"/>
      <w:numFmt w:val="bullet"/>
      <w:lvlText w:val="•"/>
      <w:lvlJc w:val="left"/>
      <w:pPr>
        <w:ind w:left="2602" w:hanging="183"/>
      </w:pPr>
      <w:rPr>
        <w:rFonts w:hint="default"/>
        <w:lang w:val="en-US" w:eastAsia="en-US" w:bidi="ar-SA"/>
      </w:rPr>
    </w:lvl>
    <w:lvl w:ilvl="8">
      <w:start w:val="0"/>
      <w:numFmt w:val="bullet"/>
      <w:lvlText w:val="•"/>
      <w:lvlJc w:val="left"/>
      <w:pPr>
        <w:ind w:left="2960" w:hanging="183"/>
      </w:pPr>
      <w:rPr>
        <w:rFonts w:hint="default"/>
        <w:lang w:val="en-US" w:eastAsia="en-US" w:bidi="ar-SA"/>
      </w:rPr>
    </w:lvl>
  </w:abstractNum>
  <w:abstractNum w:abstractNumId="1">
    <w:nsid w:val="054F2A44"/>
    <w:multiLevelType w:val="hybridMultilevel"/>
    <w:tmpl w:val="00000000"/>
    <w:lvl w:ilvl="0">
      <w:start w:val="1"/>
      <w:numFmt w:val="decimal"/>
      <w:lvlText w:val="%1"/>
      <w:lvlJc w:val="left"/>
      <w:pPr>
        <w:ind w:left="732" w:hanging="317"/>
        <w:jc w:val="left"/>
      </w:pPr>
      <w:rPr>
        <w:rFonts w:ascii="宋体" w:eastAsia="宋体" w:hAnsi="宋体" w:cs="宋体" w:hint="default"/>
        <w:w w:val="99"/>
        <w:sz w:val="21"/>
        <w:szCs w:val="21"/>
        <w:lang w:val="en-US" w:eastAsia="en-US" w:bidi="ar-SA"/>
      </w:rPr>
    </w:lvl>
    <w:lvl w:ilvl="1">
      <w:start w:val="0"/>
      <w:numFmt w:val="bullet"/>
      <w:lvlText w:val="•"/>
      <w:lvlJc w:val="left"/>
      <w:pPr>
        <w:ind w:left="1682" w:hanging="317"/>
      </w:pPr>
      <w:rPr>
        <w:rFonts w:hint="default"/>
        <w:lang w:val="en-US" w:eastAsia="en-US" w:bidi="ar-SA"/>
      </w:rPr>
    </w:lvl>
    <w:lvl w:ilvl="2">
      <w:start w:val="0"/>
      <w:numFmt w:val="bullet"/>
      <w:lvlText w:val="•"/>
      <w:lvlJc w:val="left"/>
      <w:pPr>
        <w:ind w:left="2625" w:hanging="317"/>
      </w:pPr>
      <w:rPr>
        <w:rFonts w:hint="default"/>
        <w:lang w:val="en-US" w:eastAsia="en-US" w:bidi="ar-SA"/>
      </w:rPr>
    </w:lvl>
    <w:lvl w:ilvl="3">
      <w:start w:val="0"/>
      <w:numFmt w:val="bullet"/>
      <w:lvlText w:val="•"/>
      <w:lvlJc w:val="left"/>
      <w:pPr>
        <w:ind w:left="3567" w:hanging="317"/>
      </w:pPr>
      <w:rPr>
        <w:rFonts w:hint="default"/>
        <w:lang w:val="en-US" w:eastAsia="en-US" w:bidi="ar-SA"/>
      </w:rPr>
    </w:lvl>
    <w:lvl w:ilvl="4">
      <w:start w:val="0"/>
      <w:numFmt w:val="bullet"/>
      <w:lvlText w:val="•"/>
      <w:lvlJc w:val="left"/>
      <w:pPr>
        <w:ind w:left="4510" w:hanging="317"/>
      </w:pPr>
      <w:rPr>
        <w:rFonts w:hint="default"/>
        <w:lang w:val="en-US" w:eastAsia="en-US" w:bidi="ar-SA"/>
      </w:rPr>
    </w:lvl>
    <w:lvl w:ilvl="5">
      <w:start w:val="0"/>
      <w:numFmt w:val="bullet"/>
      <w:lvlText w:val="•"/>
      <w:lvlJc w:val="left"/>
      <w:pPr>
        <w:ind w:left="5453" w:hanging="317"/>
      </w:pPr>
      <w:rPr>
        <w:rFonts w:hint="default"/>
        <w:lang w:val="en-US" w:eastAsia="en-US" w:bidi="ar-SA"/>
      </w:rPr>
    </w:lvl>
    <w:lvl w:ilvl="6">
      <w:start w:val="0"/>
      <w:numFmt w:val="bullet"/>
      <w:lvlText w:val="•"/>
      <w:lvlJc w:val="left"/>
      <w:pPr>
        <w:ind w:left="6395" w:hanging="317"/>
      </w:pPr>
      <w:rPr>
        <w:rFonts w:hint="default"/>
        <w:lang w:val="en-US" w:eastAsia="en-US" w:bidi="ar-SA"/>
      </w:rPr>
    </w:lvl>
    <w:lvl w:ilvl="7">
      <w:start w:val="0"/>
      <w:numFmt w:val="bullet"/>
      <w:lvlText w:val="•"/>
      <w:lvlJc w:val="left"/>
      <w:pPr>
        <w:ind w:left="7338" w:hanging="317"/>
      </w:pPr>
      <w:rPr>
        <w:rFonts w:hint="default"/>
        <w:lang w:val="en-US" w:eastAsia="en-US" w:bidi="ar-SA"/>
      </w:rPr>
    </w:lvl>
    <w:lvl w:ilvl="8">
      <w:start w:val="0"/>
      <w:numFmt w:val="bullet"/>
      <w:lvlText w:val="•"/>
      <w:lvlJc w:val="left"/>
      <w:pPr>
        <w:ind w:left="8280" w:hanging="317"/>
      </w:pPr>
      <w:rPr>
        <w:rFonts w:hint="default"/>
        <w:lang w:val="en-US" w:eastAsia="en-US" w:bidi="ar-SA"/>
      </w:rPr>
    </w:lvl>
  </w:abstractNum>
  <w:abstractNum w:abstractNumId="2">
    <w:nsid w:val="101B7E9D"/>
    <w:multiLevelType w:val="hybridMultilevel"/>
    <w:tmpl w:val="00000000"/>
    <w:lvl w:ilvl="0">
      <w:start w:val="1"/>
      <w:numFmt w:val="decimal"/>
      <w:lvlText w:val="%1."/>
      <w:lvlJc w:val="left"/>
      <w:pPr>
        <w:ind w:left="108" w:hanging="188"/>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372" w:hanging="188"/>
      </w:pPr>
      <w:rPr>
        <w:rFonts w:hint="default"/>
        <w:lang w:val="en-US" w:eastAsia="en-US" w:bidi="ar-SA"/>
      </w:rPr>
    </w:lvl>
    <w:lvl w:ilvl="2">
      <w:start w:val="0"/>
      <w:numFmt w:val="bullet"/>
      <w:lvlText w:val="•"/>
      <w:lvlJc w:val="left"/>
      <w:pPr>
        <w:ind w:left="645" w:hanging="188"/>
      </w:pPr>
      <w:rPr>
        <w:rFonts w:hint="default"/>
        <w:lang w:val="en-US" w:eastAsia="en-US" w:bidi="ar-SA"/>
      </w:rPr>
    </w:lvl>
    <w:lvl w:ilvl="3">
      <w:start w:val="0"/>
      <w:numFmt w:val="bullet"/>
      <w:lvlText w:val="•"/>
      <w:lvlJc w:val="left"/>
      <w:pPr>
        <w:ind w:left="917" w:hanging="188"/>
      </w:pPr>
      <w:rPr>
        <w:rFonts w:hint="default"/>
        <w:lang w:val="en-US" w:eastAsia="en-US" w:bidi="ar-SA"/>
      </w:rPr>
    </w:lvl>
    <w:lvl w:ilvl="4">
      <w:start w:val="0"/>
      <w:numFmt w:val="bullet"/>
      <w:lvlText w:val="•"/>
      <w:lvlJc w:val="left"/>
      <w:pPr>
        <w:ind w:left="1190" w:hanging="188"/>
      </w:pPr>
      <w:rPr>
        <w:rFonts w:hint="default"/>
        <w:lang w:val="en-US" w:eastAsia="en-US" w:bidi="ar-SA"/>
      </w:rPr>
    </w:lvl>
    <w:lvl w:ilvl="5">
      <w:start w:val="0"/>
      <w:numFmt w:val="bullet"/>
      <w:lvlText w:val="•"/>
      <w:lvlJc w:val="left"/>
      <w:pPr>
        <w:ind w:left="1462" w:hanging="188"/>
      </w:pPr>
      <w:rPr>
        <w:rFonts w:hint="default"/>
        <w:lang w:val="en-US" w:eastAsia="en-US" w:bidi="ar-SA"/>
      </w:rPr>
    </w:lvl>
    <w:lvl w:ilvl="6">
      <w:start w:val="0"/>
      <w:numFmt w:val="bullet"/>
      <w:lvlText w:val="•"/>
      <w:lvlJc w:val="left"/>
      <w:pPr>
        <w:ind w:left="1735" w:hanging="188"/>
      </w:pPr>
      <w:rPr>
        <w:rFonts w:hint="default"/>
        <w:lang w:val="en-US" w:eastAsia="en-US" w:bidi="ar-SA"/>
      </w:rPr>
    </w:lvl>
    <w:lvl w:ilvl="7">
      <w:start w:val="0"/>
      <w:numFmt w:val="bullet"/>
      <w:lvlText w:val="•"/>
      <w:lvlJc w:val="left"/>
      <w:pPr>
        <w:ind w:left="2007" w:hanging="188"/>
      </w:pPr>
      <w:rPr>
        <w:rFonts w:hint="default"/>
        <w:lang w:val="en-US" w:eastAsia="en-US" w:bidi="ar-SA"/>
      </w:rPr>
    </w:lvl>
    <w:lvl w:ilvl="8">
      <w:start w:val="0"/>
      <w:numFmt w:val="bullet"/>
      <w:lvlText w:val="•"/>
      <w:lvlJc w:val="left"/>
      <w:pPr>
        <w:ind w:left="2280" w:hanging="188"/>
      </w:pPr>
      <w:rPr>
        <w:rFonts w:hint="default"/>
        <w:lang w:val="en-US" w:eastAsia="en-US" w:bidi="ar-SA"/>
      </w:rPr>
    </w:lvl>
  </w:abstractNum>
  <w:abstractNum w:abstractNumId="3">
    <w:nsid w:val="111BB72D"/>
    <w:multiLevelType w:val="hybridMultilevel"/>
    <w:tmpl w:val="00000000"/>
    <w:lvl w:ilvl="0">
      <w:start w:val="1"/>
      <w:numFmt w:val="decimal"/>
      <w:lvlText w:val="%1."/>
      <w:lvlJc w:val="left"/>
      <w:pPr>
        <w:ind w:left="288" w:hanging="183"/>
        <w:jc w:val="left"/>
      </w:pPr>
      <w:rPr>
        <w:rFonts w:ascii="宋体" w:eastAsia="宋体" w:hAnsi="宋体" w:cs="宋体" w:hint="default"/>
        <w:spacing w:val="-2"/>
        <w:w w:val="100"/>
        <w:sz w:val="16"/>
        <w:szCs w:val="16"/>
        <w:lang w:val="en-US" w:eastAsia="en-US" w:bidi="ar-SA"/>
      </w:rPr>
    </w:lvl>
    <w:lvl w:ilvl="1">
      <w:start w:val="0"/>
      <w:numFmt w:val="bullet"/>
      <w:lvlText w:val="•"/>
      <w:lvlJc w:val="left"/>
      <w:pPr>
        <w:ind w:left="662" w:hanging="183"/>
      </w:pPr>
      <w:rPr>
        <w:rFonts w:hint="default"/>
        <w:lang w:val="en-US" w:eastAsia="en-US" w:bidi="ar-SA"/>
      </w:rPr>
    </w:lvl>
    <w:lvl w:ilvl="2">
      <w:start w:val="0"/>
      <w:numFmt w:val="bullet"/>
      <w:lvlText w:val="•"/>
      <w:lvlJc w:val="left"/>
      <w:pPr>
        <w:ind w:left="1044" w:hanging="183"/>
      </w:pPr>
      <w:rPr>
        <w:rFonts w:hint="default"/>
        <w:lang w:val="en-US" w:eastAsia="en-US" w:bidi="ar-SA"/>
      </w:rPr>
    </w:lvl>
    <w:lvl w:ilvl="3">
      <w:start w:val="0"/>
      <w:numFmt w:val="bullet"/>
      <w:lvlText w:val="•"/>
      <w:lvlJc w:val="left"/>
      <w:pPr>
        <w:ind w:left="1426" w:hanging="183"/>
      </w:pPr>
      <w:rPr>
        <w:rFonts w:hint="default"/>
        <w:lang w:val="en-US" w:eastAsia="en-US" w:bidi="ar-SA"/>
      </w:rPr>
    </w:lvl>
    <w:lvl w:ilvl="4">
      <w:start w:val="0"/>
      <w:numFmt w:val="bullet"/>
      <w:lvlText w:val="•"/>
      <w:lvlJc w:val="left"/>
      <w:pPr>
        <w:ind w:left="1808" w:hanging="183"/>
      </w:pPr>
      <w:rPr>
        <w:rFonts w:hint="default"/>
        <w:lang w:val="en-US" w:eastAsia="en-US" w:bidi="ar-SA"/>
      </w:rPr>
    </w:lvl>
    <w:lvl w:ilvl="5">
      <w:start w:val="0"/>
      <w:numFmt w:val="bullet"/>
      <w:lvlText w:val="•"/>
      <w:lvlJc w:val="left"/>
      <w:pPr>
        <w:ind w:left="2190" w:hanging="183"/>
      </w:pPr>
      <w:rPr>
        <w:rFonts w:hint="default"/>
        <w:lang w:val="en-US" w:eastAsia="en-US" w:bidi="ar-SA"/>
      </w:rPr>
    </w:lvl>
    <w:lvl w:ilvl="6">
      <w:start w:val="0"/>
      <w:numFmt w:val="bullet"/>
      <w:lvlText w:val="•"/>
      <w:lvlJc w:val="left"/>
      <w:pPr>
        <w:ind w:left="2572" w:hanging="183"/>
      </w:pPr>
      <w:rPr>
        <w:rFonts w:hint="default"/>
        <w:lang w:val="en-US" w:eastAsia="en-US" w:bidi="ar-SA"/>
      </w:rPr>
    </w:lvl>
    <w:lvl w:ilvl="7">
      <w:start w:val="0"/>
      <w:numFmt w:val="bullet"/>
      <w:lvlText w:val="•"/>
      <w:lvlJc w:val="left"/>
      <w:pPr>
        <w:ind w:left="2954" w:hanging="183"/>
      </w:pPr>
      <w:rPr>
        <w:rFonts w:hint="default"/>
        <w:lang w:val="en-US" w:eastAsia="en-US" w:bidi="ar-SA"/>
      </w:rPr>
    </w:lvl>
    <w:lvl w:ilvl="8">
      <w:start w:val="0"/>
      <w:numFmt w:val="bullet"/>
      <w:lvlText w:val="•"/>
      <w:lvlJc w:val="left"/>
      <w:pPr>
        <w:ind w:left="3336" w:hanging="183"/>
      </w:pPr>
      <w:rPr>
        <w:rFonts w:hint="default"/>
        <w:lang w:val="en-US" w:eastAsia="en-US" w:bidi="ar-SA"/>
      </w:rPr>
    </w:lvl>
  </w:abstractNum>
  <w:abstractNum w:abstractNumId="4">
    <w:nsid w:val="1BD513AE"/>
    <w:multiLevelType w:val="hybridMultilevel"/>
    <w:tmpl w:val="00000000"/>
    <w:lvl w:ilvl="0">
      <w:start w:val="1"/>
      <w:numFmt w:val="decimal"/>
      <w:lvlText w:val="%1."/>
      <w:lvlJc w:val="left"/>
      <w:pPr>
        <w:ind w:left="106" w:hanging="183"/>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457" w:hanging="183"/>
      </w:pPr>
      <w:rPr>
        <w:rFonts w:hint="default"/>
        <w:lang w:val="en-US" w:eastAsia="en-US" w:bidi="ar-SA"/>
      </w:rPr>
    </w:lvl>
    <w:lvl w:ilvl="2">
      <w:start w:val="0"/>
      <w:numFmt w:val="bullet"/>
      <w:lvlText w:val="•"/>
      <w:lvlJc w:val="left"/>
      <w:pPr>
        <w:ind w:left="815" w:hanging="183"/>
      </w:pPr>
      <w:rPr>
        <w:rFonts w:hint="default"/>
        <w:lang w:val="en-US" w:eastAsia="en-US" w:bidi="ar-SA"/>
      </w:rPr>
    </w:lvl>
    <w:lvl w:ilvl="3">
      <w:start w:val="0"/>
      <w:numFmt w:val="bullet"/>
      <w:lvlText w:val="•"/>
      <w:lvlJc w:val="left"/>
      <w:pPr>
        <w:ind w:left="1172" w:hanging="183"/>
      </w:pPr>
      <w:rPr>
        <w:rFonts w:hint="default"/>
        <w:lang w:val="en-US" w:eastAsia="en-US" w:bidi="ar-SA"/>
      </w:rPr>
    </w:lvl>
    <w:lvl w:ilvl="4">
      <w:start w:val="0"/>
      <w:numFmt w:val="bullet"/>
      <w:lvlText w:val="•"/>
      <w:lvlJc w:val="left"/>
      <w:pPr>
        <w:ind w:left="1530" w:hanging="183"/>
      </w:pPr>
      <w:rPr>
        <w:rFonts w:hint="default"/>
        <w:lang w:val="en-US" w:eastAsia="en-US" w:bidi="ar-SA"/>
      </w:rPr>
    </w:lvl>
    <w:lvl w:ilvl="5">
      <w:start w:val="0"/>
      <w:numFmt w:val="bullet"/>
      <w:lvlText w:val="•"/>
      <w:lvlJc w:val="left"/>
      <w:pPr>
        <w:ind w:left="1887" w:hanging="183"/>
      </w:pPr>
      <w:rPr>
        <w:rFonts w:hint="default"/>
        <w:lang w:val="en-US" w:eastAsia="en-US" w:bidi="ar-SA"/>
      </w:rPr>
    </w:lvl>
    <w:lvl w:ilvl="6">
      <w:start w:val="0"/>
      <w:numFmt w:val="bullet"/>
      <w:lvlText w:val="•"/>
      <w:lvlJc w:val="left"/>
      <w:pPr>
        <w:ind w:left="2245" w:hanging="183"/>
      </w:pPr>
      <w:rPr>
        <w:rFonts w:hint="default"/>
        <w:lang w:val="en-US" w:eastAsia="en-US" w:bidi="ar-SA"/>
      </w:rPr>
    </w:lvl>
    <w:lvl w:ilvl="7">
      <w:start w:val="0"/>
      <w:numFmt w:val="bullet"/>
      <w:lvlText w:val="•"/>
      <w:lvlJc w:val="left"/>
      <w:pPr>
        <w:ind w:left="2602" w:hanging="183"/>
      </w:pPr>
      <w:rPr>
        <w:rFonts w:hint="default"/>
        <w:lang w:val="en-US" w:eastAsia="en-US" w:bidi="ar-SA"/>
      </w:rPr>
    </w:lvl>
    <w:lvl w:ilvl="8">
      <w:start w:val="0"/>
      <w:numFmt w:val="bullet"/>
      <w:lvlText w:val="•"/>
      <w:lvlJc w:val="left"/>
      <w:pPr>
        <w:ind w:left="2960" w:hanging="183"/>
      </w:pPr>
      <w:rPr>
        <w:rFonts w:hint="default"/>
        <w:lang w:val="en-US" w:eastAsia="en-US" w:bidi="ar-SA"/>
      </w:rPr>
    </w:lvl>
  </w:abstractNum>
  <w:abstractNum w:abstractNumId="5">
    <w:nsid w:val="1E3EE259"/>
    <w:multiLevelType w:val="hybridMultilevel"/>
    <w:tmpl w:val="00000000"/>
    <w:lvl w:ilvl="0">
      <w:start w:val="1"/>
      <w:numFmt w:val="decimal"/>
      <w:lvlText w:val="%1"/>
      <w:lvlJc w:val="left"/>
      <w:pPr>
        <w:ind w:left="732" w:hanging="317"/>
        <w:jc w:val="right"/>
      </w:pPr>
      <w:rPr>
        <w:rFonts w:ascii="黑体" w:eastAsia="黑体" w:hAnsi="黑体" w:cs="黑体" w:hint="default"/>
        <w:w w:val="99"/>
        <w:sz w:val="21"/>
        <w:szCs w:val="21"/>
        <w:lang w:val="en-US" w:eastAsia="en-US" w:bidi="ar-SA"/>
      </w:rPr>
    </w:lvl>
    <w:lvl w:ilvl="1">
      <w:start w:val="1"/>
      <w:numFmt w:val="decimal"/>
      <w:lvlText w:val="%1.%2"/>
      <w:lvlJc w:val="left"/>
      <w:pPr>
        <w:ind w:left="449" w:hanging="317"/>
        <w:jc w:val="left"/>
      </w:pPr>
      <w:rPr>
        <w:rFonts w:ascii="黑体" w:eastAsia="黑体" w:hAnsi="黑体" w:cs="黑体" w:hint="default"/>
        <w:spacing w:val="0"/>
        <w:w w:val="99"/>
        <w:sz w:val="19"/>
        <w:szCs w:val="19"/>
        <w:lang w:val="en-US" w:eastAsia="en-US" w:bidi="ar-SA"/>
      </w:rPr>
    </w:lvl>
    <w:lvl w:ilvl="2">
      <w:start w:val="1"/>
      <w:numFmt w:val="decimal"/>
      <w:lvlText w:val="%1.%2.%3"/>
      <w:lvlJc w:val="left"/>
      <w:pPr>
        <w:ind w:left="1152" w:hanging="737"/>
        <w:jc w:val="left"/>
      </w:pPr>
      <w:rPr>
        <w:rFonts w:ascii="黑体" w:eastAsia="黑体" w:hAnsi="黑体" w:cs="黑体" w:hint="default"/>
        <w:spacing w:val="-2"/>
        <w:w w:val="99"/>
        <w:sz w:val="21"/>
        <w:szCs w:val="21"/>
        <w:lang w:val="en-US" w:eastAsia="en-US" w:bidi="ar-SA"/>
      </w:rPr>
    </w:lvl>
    <w:lvl w:ilvl="3">
      <w:start w:val="1"/>
      <w:numFmt w:val="decimal"/>
      <w:lvlText w:val="%1.%2.%3.%4"/>
      <w:lvlJc w:val="left"/>
      <w:pPr>
        <w:ind w:left="1078" w:hanging="946"/>
        <w:jc w:val="left"/>
      </w:pPr>
      <w:rPr>
        <w:rFonts w:ascii="黑体" w:eastAsia="黑体" w:hAnsi="黑体" w:cs="黑体" w:hint="default"/>
        <w:spacing w:val="-2"/>
        <w:w w:val="99"/>
        <w:sz w:val="21"/>
        <w:szCs w:val="21"/>
        <w:lang w:val="en-US" w:eastAsia="en-US" w:bidi="ar-SA"/>
      </w:rPr>
    </w:lvl>
    <w:lvl w:ilvl="4">
      <w:start w:val="1"/>
      <w:numFmt w:val="decimal"/>
      <w:lvlText w:val="%1.%2.%3.%4.%5"/>
      <w:lvlJc w:val="left"/>
      <w:pPr>
        <w:ind w:left="1572" w:hanging="1157"/>
        <w:jc w:val="left"/>
      </w:pPr>
      <w:rPr>
        <w:rFonts w:ascii="黑体" w:eastAsia="黑体" w:hAnsi="黑体" w:cs="黑体" w:hint="default"/>
        <w:spacing w:val="-2"/>
        <w:w w:val="99"/>
        <w:sz w:val="21"/>
        <w:szCs w:val="21"/>
        <w:lang w:val="en-US" w:eastAsia="en-US" w:bidi="ar-SA"/>
      </w:rPr>
    </w:lvl>
    <w:lvl w:ilvl="5">
      <w:start w:val="0"/>
      <w:numFmt w:val="bullet"/>
      <w:lvlText w:val="•"/>
      <w:lvlJc w:val="left"/>
      <w:pPr>
        <w:ind w:left="860" w:hanging="1157"/>
      </w:pPr>
      <w:rPr>
        <w:rFonts w:hint="default"/>
        <w:lang w:val="en-US" w:eastAsia="en-US" w:bidi="ar-SA"/>
      </w:rPr>
    </w:lvl>
    <w:lvl w:ilvl="6">
      <w:start w:val="0"/>
      <w:numFmt w:val="bullet"/>
      <w:lvlText w:val="•"/>
      <w:lvlJc w:val="left"/>
      <w:pPr>
        <w:ind w:left="940" w:hanging="1157"/>
      </w:pPr>
      <w:rPr>
        <w:rFonts w:hint="default"/>
        <w:lang w:val="en-US" w:eastAsia="en-US" w:bidi="ar-SA"/>
      </w:rPr>
    </w:lvl>
    <w:lvl w:ilvl="7">
      <w:start w:val="0"/>
      <w:numFmt w:val="bullet"/>
      <w:lvlText w:val="•"/>
      <w:lvlJc w:val="left"/>
      <w:pPr>
        <w:ind w:left="1080" w:hanging="1157"/>
      </w:pPr>
      <w:rPr>
        <w:rFonts w:hint="default"/>
        <w:lang w:val="en-US" w:eastAsia="en-US" w:bidi="ar-SA"/>
      </w:rPr>
    </w:lvl>
    <w:lvl w:ilvl="8">
      <w:start w:val="0"/>
      <w:numFmt w:val="bullet"/>
      <w:lvlText w:val="•"/>
      <w:lvlJc w:val="left"/>
      <w:pPr>
        <w:ind w:left="1160" w:hanging="1157"/>
      </w:pPr>
      <w:rPr>
        <w:rFonts w:hint="default"/>
        <w:lang w:val="en-US" w:eastAsia="en-US" w:bidi="ar-SA"/>
      </w:rPr>
    </w:lvl>
  </w:abstractNum>
  <w:abstractNum w:abstractNumId="6">
    <w:nsid w:val="256C32DE"/>
    <w:multiLevelType w:val="hybridMultilevel"/>
    <w:tmpl w:val="00000000"/>
    <w:lvl w:ilvl="0">
      <w:start w:val="1"/>
      <w:numFmt w:val="decimal"/>
      <w:lvlText w:val="%1."/>
      <w:lvlJc w:val="left"/>
      <w:pPr>
        <w:ind w:left="107" w:hanging="183"/>
        <w:jc w:val="left"/>
      </w:pPr>
      <w:rPr>
        <w:rFonts w:ascii="宋体" w:eastAsia="宋体" w:hAnsi="宋体" w:cs="宋体" w:hint="default"/>
        <w:spacing w:val="-2"/>
        <w:w w:val="100"/>
        <w:sz w:val="16"/>
        <w:szCs w:val="16"/>
        <w:lang w:val="en-US" w:eastAsia="en-US" w:bidi="ar-SA"/>
      </w:rPr>
    </w:lvl>
    <w:lvl w:ilvl="1">
      <w:start w:val="0"/>
      <w:numFmt w:val="bullet"/>
      <w:lvlText w:val="•"/>
      <w:lvlJc w:val="left"/>
      <w:pPr>
        <w:ind w:left="349" w:hanging="183"/>
      </w:pPr>
      <w:rPr>
        <w:rFonts w:hint="default"/>
        <w:lang w:val="en-US" w:eastAsia="en-US" w:bidi="ar-SA"/>
      </w:rPr>
    </w:lvl>
    <w:lvl w:ilvl="2">
      <w:start w:val="0"/>
      <w:numFmt w:val="bullet"/>
      <w:lvlText w:val="•"/>
      <w:lvlJc w:val="left"/>
      <w:pPr>
        <w:ind w:left="599" w:hanging="183"/>
      </w:pPr>
      <w:rPr>
        <w:rFonts w:hint="default"/>
        <w:lang w:val="en-US" w:eastAsia="en-US" w:bidi="ar-SA"/>
      </w:rPr>
    </w:lvl>
    <w:lvl w:ilvl="3">
      <w:start w:val="0"/>
      <w:numFmt w:val="bullet"/>
      <w:lvlText w:val="•"/>
      <w:lvlJc w:val="left"/>
      <w:pPr>
        <w:ind w:left="848" w:hanging="183"/>
      </w:pPr>
      <w:rPr>
        <w:rFonts w:hint="default"/>
        <w:lang w:val="en-US" w:eastAsia="en-US" w:bidi="ar-SA"/>
      </w:rPr>
    </w:lvl>
    <w:lvl w:ilvl="4">
      <w:start w:val="0"/>
      <w:numFmt w:val="bullet"/>
      <w:lvlText w:val="•"/>
      <w:lvlJc w:val="left"/>
      <w:pPr>
        <w:ind w:left="1098" w:hanging="183"/>
      </w:pPr>
      <w:rPr>
        <w:rFonts w:hint="default"/>
        <w:lang w:val="en-US" w:eastAsia="en-US" w:bidi="ar-SA"/>
      </w:rPr>
    </w:lvl>
    <w:lvl w:ilvl="5">
      <w:start w:val="0"/>
      <w:numFmt w:val="bullet"/>
      <w:lvlText w:val="•"/>
      <w:lvlJc w:val="left"/>
      <w:pPr>
        <w:ind w:left="1347" w:hanging="183"/>
      </w:pPr>
      <w:rPr>
        <w:rFonts w:hint="default"/>
        <w:lang w:val="en-US" w:eastAsia="en-US" w:bidi="ar-SA"/>
      </w:rPr>
    </w:lvl>
    <w:lvl w:ilvl="6">
      <w:start w:val="0"/>
      <w:numFmt w:val="bullet"/>
      <w:lvlText w:val="•"/>
      <w:lvlJc w:val="left"/>
      <w:pPr>
        <w:ind w:left="1597" w:hanging="183"/>
      </w:pPr>
      <w:rPr>
        <w:rFonts w:hint="default"/>
        <w:lang w:val="en-US" w:eastAsia="en-US" w:bidi="ar-SA"/>
      </w:rPr>
    </w:lvl>
    <w:lvl w:ilvl="7">
      <w:start w:val="0"/>
      <w:numFmt w:val="bullet"/>
      <w:lvlText w:val="•"/>
      <w:lvlJc w:val="left"/>
      <w:pPr>
        <w:ind w:left="1846" w:hanging="183"/>
      </w:pPr>
      <w:rPr>
        <w:rFonts w:hint="default"/>
        <w:lang w:val="en-US" w:eastAsia="en-US" w:bidi="ar-SA"/>
      </w:rPr>
    </w:lvl>
    <w:lvl w:ilvl="8">
      <w:start w:val="0"/>
      <w:numFmt w:val="bullet"/>
      <w:lvlText w:val="•"/>
      <w:lvlJc w:val="left"/>
      <w:pPr>
        <w:ind w:left="2096" w:hanging="183"/>
      </w:pPr>
      <w:rPr>
        <w:rFonts w:hint="default"/>
        <w:lang w:val="en-US" w:eastAsia="en-US" w:bidi="ar-SA"/>
      </w:rPr>
    </w:lvl>
  </w:abstractNum>
  <w:abstractNum w:abstractNumId="7">
    <w:nsid w:val="30CA2F86"/>
    <w:multiLevelType w:val="hybridMultilevel"/>
    <w:tmpl w:val="00000000"/>
    <w:lvl w:ilvl="0">
      <w:start w:val="1"/>
      <w:numFmt w:val="decimal"/>
      <w:lvlText w:val="%1."/>
      <w:lvlJc w:val="left"/>
      <w:pPr>
        <w:ind w:left="107" w:hanging="183"/>
        <w:jc w:val="left"/>
      </w:pPr>
      <w:rPr>
        <w:rFonts w:ascii="宋体" w:eastAsia="宋体" w:hAnsi="宋体" w:cs="宋体" w:hint="default"/>
        <w:spacing w:val="-2"/>
        <w:w w:val="100"/>
        <w:sz w:val="16"/>
        <w:szCs w:val="16"/>
        <w:lang w:val="en-US" w:eastAsia="en-US" w:bidi="ar-SA"/>
      </w:rPr>
    </w:lvl>
    <w:lvl w:ilvl="1">
      <w:start w:val="0"/>
      <w:numFmt w:val="bullet"/>
      <w:lvlText w:val="•"/>
      <w:lvlJc w:val="left"/>
      <w:pPr>
        <w:ind w:left="349" w:hanging="183"/>
      </w:pPr>
      <w:rPr>
        <w:rFonts w:hint="default"/>
        <w:lang w:val="en-US" w:eastAsia="en-US" w:bidi="ar-SA"/>
      </w:rPr>
    </w:lvl>
    <w:lvl w:ilvl="2">
      <w:start w:val="0"/>
      <w:numFmt w:val="bullet"/>
      <w:lvlText w:val="•"/>
      <w:lvlJc w:val="left"/>
      <w:pPr>
        <w:ind w:left="599" w:hanging="183"/>
      </w:pPr>
      <w:rPr>
        <w:rFonts w:hint="default"/>
        <w:lang w:val="en-US" w:eastAsia="en-US" w:bidi="ar-SA"/>
      </w:rPr>
    </w:lvl>
    <w:lvl w:ilvl="3">
      <w:start w:val="0"/>
      <w:numFmt w:val="bullet"/>
      <w:lvlText w:val="•"/>
      <w:lvlJc w:val="left"/>
      <w:pPr>
        <w:ind w:left="848" w:hanging="183"/>
      </w:pPr>
      <w:rPr>
        <w:rFonts w:hint="default"/>
        <w:lang w:val="en-US" w:eastAsia="en-US" w:bidi="ar-SA"/>
      </w:rPr>
    </w:lvl>
    <w:lvl w:ilvl="4">
      <w:start w:val="0"/>
      <w:numFmt w:val="bullet"/>
      <w:lvlText w:val="•"/>
      <w:lvlJc w:val="left"/>
      <w:pPr>
        <w:ind w:left="1098" w:hanging="183"/>
      </w:pPr>
      <w:rPr>
        <w:rFonts w:hint="default"/>
        <w:lang w:val="en-US" w:eastAsia="en-US" w:bidi="ar-SA"/>
      </w:rPr>
    </w:lvl>
    <w:lvl w:ilvl="5">
      <w:start w:val="0"/>
      <w:numFmt w:val="bullet"/>
      <w:lvlText w:val="•"/>
      <w:lvlJc w:val="left"/>
      <w:pPr>
        <w:ind w:left="1347" w:hanging="183"/>
      </w:pPr>
      <w:rPr>
        <w:rFonts w:hint="default"/>
        <w:lang w:val="en-US" w:eastAsia="en-US" w:bidi="ar-SA"/>
      </w:rPr>
    </w:lvl>
    <w:lvl w:ilvl="6">
      <w:start w:val="0"/>
      <w:numFmt w:val="bullet"/>
      <w:lvlText w:val="•"/>
      <w:lvlJc w:val="left"/>
      <w:pPr>
        <w:ind w:left="1597" w:hanging="183"/>
      </w:pPr>
      <w:rPr>
        <w:rFonts w:hint="default"/>
        <w:lang w:val="en-US" w:eastAsia="en-US" w:bidi="ar-SA"/>
      </w:rPr>
    </w:lvl>
    <w:lvl w:ilvl="7">
      <w:start w:val="0"/>
      <w:numFmt w:val="bullet"/>
      <w:lvlText w:val="•"/>
      <w:lvlJc w:val="left"/>
      <w:pPr>
        <w:ind w:left="1846" w:hanging="183"/>
      </w:pPr>
      <w:rPr>
        <w:rFonts w:hint="default"/>
        <w:lang w:val="en-US" w:eastAsia="en-US" w:bidi="ar-SA"/>
      </w:rPr>
    </w:lvl>
    <w:lvl w:ilvl="8">
      <w:start w:val="0"/>
      <w:numFmt w:val="bullet"/>
      <w:lvlText w:val="•"/>
      <w:lvlJc w:val="left"/>
      <w:pPr>
        <w:ind w:left="2096" w:hanging="183"/>
      </w:pPr>
      <w:rPr>
        <w:rFonts w:hint="default"/>
        <w:lang w:val="en-US" w:eastAsia="en-US" w:bidi="ar-SA"/>
      </w:rPr>
    </w:lvl>
  </w:abstractNum>
  <w:abstractNum w:abstractNumId="8">
    <w:nsid w:val="3879E559"/>
    <w:multiLevelType w:val="hybridMultilevel"/>
    <w:tmpl w:val="00000000"/>
    <w:lvl w:ilvl="0">
      <w:start w:val="1"/>
      <w:numFmt w:val="decimal"/>
      <w:lvlText w:val="%1."/>
      <w:lvlJc w:val="left"/>
      <w:pPr>
        <w:ind w:left="106" w:hanging="185"/>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429" w:hanging="185"/>
      </w:pPr>
      <w:rPr>
        <w:rFonts w:hint="default"/>
        <w:lang w:val="en-US" w:eastAsia="en-US" w:bidi="ar-SA"/>
      </w:rPr>
    </w:lvl>
    <w:lvl w:ilvl="2">
      <w:start w:val="0"/>
      <w:numFmt w:val="bullet"/>
      <w:lvlText w:val="•"/>
      <w:lvlJc w:val="left"/>
      <w:pPr>
        <w:ind w:left="758" w:hanging="185"/>
      </w:pPr>
      <w:rPr>
        <w:rFonts w:hint="default"/>
        <w:lang w:val="en-US" w:eastAsia="en-US" w:bidi="ar-SA"/>
      </w:rPr>
    </w:lvl>
    <w:lvl w:ilvl="3">
      <w:start w:val="0"/>
      <w:numFmt w:val="bullet"/>
      <w:lvlText w:val="•"/>
      <w:lvlJc w:val="left"/>
      <w:pPr>
        <w:ind w:left="1087" w:hanging="185"/>
      </w:pPr>
      <w:rPr>
        <w:rFonts w:hint="default"/>
        <w:lang w:val="en-US" w:eastAsia="en-US" w:bidi="ar-SA"/>
      </w:rPr>
    </w:lvl>
    <w:lvl w:ilvl="4">
      <w:start w:val="0"/>
      <w:numFmt w:val="bullet"/>
      <w:lvlText w:val="•"/>
      <w:lvlJc w:val="left"/>
      <w:pPr>
        <w:ind w:left="1416" w:hanging="185"/>
      </w:pPr>
      <w:rPr>
        <w:rFonts w:hint="default"/>
        <w:lang w:val="en-US" w:eastAsia="en-US" w:bidi="ar-SA"/>
      </w:rPr>
    </w:lvl>
    <w:lvl w:ilvl="5">
      <w:start w:val="0"/>
      <w:numFmt w:val="bullet"/>
      <w:lvlText w:val="•"/>
      <w:lvlJc w:val="left"/>
      <w:pPr>
        <w:ind w:left="1746" w:hanging="185"/>
      </w:pPr>
      <w:rPr>
        <w:rFonts w:hint="default"/>
        <w:lang w:val="en-US" w:eastAsia="en-US" w:bidi="ar-SA"/>
      </w:rPr>
    </w:lvl>
    <w:lvl w:ilvl="6">
      <w:start w:val="0"/>
      <w:numFmt w:val="bullet"/>
      <w:lvlText w:val="•"/>
      <w:lvlJc w:val="left"/>
      <w:pPr>
        <w:ind w:left="2075" w:hanging="185"/>
      </w:pPr>
      <w:rPr>
        <w:rFonts w:hint="default"/>
        <w:lang w:val="en-US" w:eastAsia="en-US" w:bidi="ar-SA"/>
      </w:rPr>
    </w:lvl>
    <w:lvl w:ilvl="7">
      <w:start w:val="0"/>
      <w:numFmt w:val="bullet"/>
      <w:lvlText w:val="•"/>
      <w:lvlJc w:val="left"/>
      <w:pPr>
        <w:ind w:left="2404" w:hanging="185"/>
      </w:pPr>
      <w:rPr>
        <w:rFonts w:hint="default"/>
        <w:lang w:val="en-US" w:eastAsia="en-US" w:bidi="ar-SA"/>
      </w:rPr>
    </w:lvl>
    <w:lvl w:ilvl="8">
      <w:start w:val="0"/>
      <w:numFmt w:val="bullet"/>
      <w:lvlText w:val="•"/>
      <w:lvlJc w:val="left"/>
      <w:pPr>
        <w:ind w:left="2733" w:hanging="185"/>
      </w:pPr>
      <w:rPr>
        <w:rFonts w:hint="default"/>
        <w:lang w:val="en-US" w:eastAsia="en-US" w:bidi="ar-SA"/>
      </w:rPr>
    </w:lvl>
  </w:abstractNum>
  <w:abstractNum w:abstractNumId="9">
    <w:nsid w:val="401BE5DC"/>
    <w:multiLevelType w:val="hybridMultilevel"/>
    <w:tmpl w:val="00000000"/>
    <w:lvl w:ilvl="0">
      <w:start w:val="1"/>
      <w:numFmt w:val="upperLetter"/>
      <w:lvlText w:val="%1"/>
      <w:lvlJc w:val="left"/>
      <w:pPr>
        <w:ind w:left="941" w:hanging="526"/>
        <w:jc w:val="left"/>
      </w:pPr>
      <w:rPr>
        <w:rFonts w:hint="default"/>
        <w:lang w:val="en-US" w:eastAsia="en-US" w:bidi="ar-SA"/>
      </w:rPr>
    </w:lvl>
    <w:lvl w:ilvl="1">
      <w:start w:val="1"/>
      <w:numFmt w:val="decimal"/>
      <w:lvlText w:val="%1.%2"/>
      <w:lvlJc w:val="left"/>
      <w:pPr>
        <w:ind w:left="941" w:hanging="526"/>
        <w:jc w:val="left"/>
      </w:pPr>
      <w:rPr>
        <w:rFonts w:ascii="黑体" w:eastAsia="黑体" w:hAnsi="黑体" w:cs="黑体" w:hint="default"/>
        <w:spacing w:val="0"/>
        <w:w w:val="99"/>
        <w:sz w:val="21"/>
        <w:szCs w:val="21"/>
        <w:lang w:val="en-US" w:eastAsia="en-US" w:bidi="ar-SA"/>
      </w:rPr>
    </w:lvl>
    <w:lvl w:ilvl="2">
      <w:start w:val="1"/>
      <w:numFmt w:val="decimal"/>
      <w:lvlText w:val="%1.%2.%3"/>
      <w:lvlJc w:val="left"/>
      <w:pPr>
        <w:ind w:left="1152" w:hanging="737"/>
        <w:jc w:val="left"/>
      </w:pPr>
      <w:rPr>
        <w:rFonts w:ascii="黑体" w:eastAsia="黑体" w:hAnsi="黑体" w:cs="黑体" w:hint="default"/>
        <w:spacing w:val="-2"/>
        <w:w w:val="99"/>
        <w:sz w:val="21"/>
        <w:szCs w:val="21"/>
        <w:lang w:val="en-US" w:eastAsia="en-US" w:bidi="ar-SA"/>
      </w:rPr>
    </w:lvl>
    <w:lvl w:ilvl="3">
      <w:start w:val="0"/>
      <w:numFmt w:val="bullet"/>
      <w:lvlText w:val="•"/>
      <w:lvlJc w:val="left"/>
      <w:pPr>
        <w:ind w:left="3161" w:hanging="737"/>
      </w:pPr>
      <w:rPr>
        <w:rFonts w:hint="default"/>
        <w:lang w:val="en-US" w:eastAsia="en-US" w:bidi="ar-SA"/>
      </w:rPr>
    </w:lvl>
    <w:lvl w:ilvl="4">
      <w:start w:val="0"/>
      <w:numFmt w:val="bullet"/>
      <w:lvlText w:val="•"/>
      <w:lvlJc w:val="left"/>
      <w:pPr>
        <w:ind w:left="4162" w:hanging="737"/>
      </w:pPr>
      <w:rPr>
        <w:rFonts w:hint="default"/>
        <w:lang w:val="en-US" w:eastAsia="en-US" w:bidi="ar-SA"/>
      </w:rPr>
    </w:lvl>
    <w:lvl w:ilvl="5">
      <w:start w:val="0"/>
      <w:numFmt w:val="bullet"/>
      <w:lvlText w:val="•"/>
      <w:lvlJc w:val="left"/>
      <w:pPr>
        <w:ind w:left="5162" w:hanging="737"/>
      </w:pPr>
      <w:rPr>
        <w:rFonts w:hint="default"/>
        <w:lang w:val="en-US" w:eastAsia="en-US" w:bidi="ar-SA"/>
      </w:rPr>
    </w:lvl>
    <w:lvl w:ilvl="6">
      <w:start w:val="0"/>
      <w:numFmt w:val="bullet"/>
      <w:lvlText w:val="•"/>
      <w:lvlJc w:val="left"/>
      <w:pPr>
        <w:ind w:left="6163" w:hanging="737"/>
      </w:pPr>
      <w:rPr>
        <w:rFonts w:hint="default"/>
        <w:lang w:val="en-US" w:eastAsia="en-US" w:bidi="ar-SA"/>
      </w:rPr>
    </w:lvl>
    <w:lvl w:ilvl="7">
      <w:start w:val="0"/>
      <w:numFmt w:val="bullet"/>
      <w:lvlText w:val="•"/>
      <w:lvlJc w:val="left"/>
      <w:pPr>
        <w:ind w:left="7164" w:hanging="737"/>
      </w:pPr>
      <w:rPr>
        <w:rFonts w:hint="default"/>
        <w:lang w:val="en-US" w:eastAsia="en-US" w:bidi="ar-SA"/>
      </w:rPr>
    </w:lvl>
    <w:lvl w:ilvl="8">
      <w:start w:val="0"/>
      <w:numFmt w:val="bullet"/>
      <w:lvlText w:val="•"/>
      <w:lvlJc w:val="left"/>
      <w:pPr>
        <w:ind w:left="8164" w:hanging="737"/>
      </w:pPr>
      <w:rPr>
        <w:rFonts w:hint="default"/>
        <w:lang w:val="en-US" w:eastAsia="en-US" w:bidi="ar-SA"/>
      </w:rPr>
    </w:lvl>
  </w:abstractNum>
  <w:abstractNum w:abstractNumId="10">
    <w:nsid w:val="44274877"/>
    <w:multiLevelType w:val="hybridMultilevel"/>
    <w:tmpl w:val="00000000"/>
    <w:lvl w:ilvl="0">
      <w:start w:val="1"/>
      <w:numFmt w:val="decimal"/>
      <w:lvlText w:val="%1"/>
      <w:lvlJc w:val="left"/>
      <w:pPr>
        <w:ind w:left="732" w:hanging="317"/>
        <w:jc w:val="right"/>
      </w:pPr>
      <w:rPr>
        <w:rFonts w:ascii="黑体" w:eastAsia="黑体" w:hAnsi="黑体" w:cs="黑体" w:hint="default"/>
        <w:w w:val="99"/>
        <w:sz w:val="21"/>
        <w:szCs w:val="21"/>
        <w:lang w:val="en-US" w:eastAsia="en-US" w:bidi="ar-SA"/>
      </w:rPr>
    </w:lvl>
    <w:lvl w:ilvl="1">
      <w:start w:val="1"/>
      <w:numFmt w:val="decimal"/>
      <w:lvlText w:val="%1.%2"/>
      <w:lvlJc w:val="left"/>
      <w:pPr>
        <w:ind w:left="449" w:hanging="317"/>
        <w:jc w:val="left"/>
      </w:pPr>
      <w:rPr>
        <w:rFonts w:ascii="黑体" w:eastAsia="黑体" w:hAnsi="黑体" w:cs="黑体" w:hint="default"/>
        <w:spacing w:val="0"/>
        <w:w w:val="99"/>
        <w:sz w:val="19"/>
        <w:szCs w:val="19"/>
        <w:lang w:val="en-US" w:eastAsia="en-US" w:bidi="ar-SA"/>
      </w:rPr>
    </w:lvl>
    <w:lvl w:ilvl="2">
      <w:start w:val="1"/>
      <w:numFmt w:val="decimal"/>
      <w:lvlText w:val="%1.%2.%3"/>
      <w:lvlJc w:val="left"/>
      <w:pPr>
        <w:ind w:left="1152" w:hanging="737"/>
        <w:jc w:val="left"/>
      </w:pPr>
      <w:rPr>
        <w:rFonts w:ascii="黑体" w:eastAsia="黑体" w:hAnsi="黑体" w:cs="黑体" w:hint="default"/>
        <w:spacing w:val="-2"/>
        <w:w w:val="99"/>
        <w:sz w:val="21"/>
        <w:szCs w:val="21"/>
        <w:lang w:val="en-US" w:eastAsia="en-US" w:bidi="ar-SA"/>
      </w:rPr>
    </w:lvl>
    <w:lvl w:ilvl="3">
      <w:start w:val="1"/>
      <w:numFmt w:val="decimal"/>
      <w:lvlText w:val="%1.%2.%3.%4"/>
      <w:lvlJc w:val="left"/>
      <w:pPr>
        <w:ind w:left="1078" w:hanging="946"/>
        <w:jc w:val="left"/>
      </w:pPr>
      <w:rPr>
        <w:rFonts w:ascii="黑体" w:eastAsia="黑体" w:hAnsi="黑体" w:cs="黑体" w:hint="default"/>
        <w:spacing w:val="-2"/>
        <w:w w:val="99"/>
        <w:sz w:val="21"/>
        <w:szCs w:val="21"/>
        <w:lang w:val="en-US" w:eastAsia="en-US" w:bidi="ar-SA"/>
      </w:rPr>
    </w:lvl>
    <w:lvl w:ilvl="4">
      <w:start w:val="1"/>
      <w:numFmt w:val="decimal"/>
      <w:lvlText w:val="%1.%2.%3.%4.%5"/>
      <w:lvlJc w:val="left"/>
      <w:pPr>
        <w:ind w:left="1572" w:hanging="1157"/>
        <w:jc w:val="left"/>
      </w:pPr>
      <w:rPr>
        <w:rFonts w:ascii="黑体" w:eastAsia="黑体" w:hAnsi="黑体" w:cs="黑体" w:hint="default"/>
        <w:spacing w:val="-2"/>
        <w:w w:val="99"/>
        <w:sz w:val="21"/>
        <w:szCs w:val="21"/>
        <w:lang w:val="en-US" w:eastAsia="en-US" w:bidi="ar-SA"/>
      </w:rPr>
    </w:lvl>
    <w:lvl w:ilvl="5">
      <w:start w:val="0"/>
      <w:numFmt w:val="bullet"/>
      <w:lvlText w:val="•"/>
      <w:lvlJc w:val="left"/>
      <w:pPr>
        <w:ind w:left="860" w:hanging="1157"/>
      </w:pPr>
      <w:rPr>
        <w:rFonts w:hint="default"/>
        <w:lang w:val="en-US" w:eastAsia="en-US" w:bidi="ar-SA"/>
      </w:rPr>
    </w:lvl>
    <w:lvl w:ilvl="6">
      <w:start w:val="0"/>
      <w:numFmt w:val="bullet"/>
      <w:lvlText w:val="•"/>
      <w:lvlJc w:val="left"/>
      <w:pPr>
        <w:ind w:left="940" w:hanging="1157"/>
      </w:pPr>
      <w:rPr>
        <w:rFonts w:hint="default"/>
        <w:lang w:val="en-US" w:eastAsia="en-US" w:bidi="ar-SA"/>
      </w:rPr>
    </w:lvl>
    <w:lvl w:ilvl="7">
      <w:start w:val="0"/>
      <w:numFmt w:val="bullet"/>
      <w:lvlText w:val="•"/>
      <w:lvlJc w:val="left"/>
      <w:pPr>
        <w:ind w:left="1080" w:hanging="1157"/>
      </w:pPr>
      <w:rPr>
        <w:rFonts w:hint="default"/>
        <w:lang w:val="en-US" w:eastAsia="en-US" w:bidi="ar-SA"/>
      </w:rPr>
    </w:lvl>
    <w:lvl w:ilvl="8">
      <w:start w:val="0"/>
      <w:numFmt w:val="bullet"/>
      <w:lvlText w:val="•"/>
      <w:lvlJc w:val="left"/>
      <w:pPr>
        <w:ind w:left="1160" w:hanging="1157"/>
      </w:pPr>
      <w:rPr>
        <w:rFonts w:hint="default"/>
        <w:lang w:val="en-US" w:eastAsia="en-US" w:bidi="ar-SA"/>
      </w:rPr>
    </w:lvl>
  </w:abstractNum>
  <w:abstractNum w:abstractNumId="11">
    <w:nsid w:val="494C71E1"/>
    <w:multiLevelType w:val="hybridMultilevel"/>
    <w:tmpl w:val="00000000"/>
    <w:lvl w:ilvl="0">
      <w:start w:val="1"/>
      <w:numFmt w:val="decimal"/>
      <w:lvlText w:val="%1."/>
      <w:lvlJc w:val="left"/>
      <w:pPr>
        <w:ind w:left="108" w:hanging="185"/>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372" w:hanging="185"/>
      </w:pPr>
      <w:rPr>
        <w:rFonts w:hint="default"/>
        <w:lang w:val="en-US" w:eastAsia="en-US" w:bidi="ar-SA"/>
      </w:rPr>
    </w:lvl>
    <w:lvl w:ilvl="2">
      <w:start w:val="0"/>
      <w:numFmt w:val="bullet"/>
      <w:lvlText w:val="•"/>
      <w:lvlJc w:val="left"/>
      <w:pPr>
        <w:ind w:left="645" w:hanging="185"/>
      </w:pPr>
      <w:rPr>
        <w:rFonts w:hint="default"/>
        <w:lang w:val="en-US" w:eastAsia="en-US" w:bidi="ar-SA"/>
      </w:rPr>
    </w:lvl>
    <w:lvl w:ilvl="3">
      <w:start w:val="0"/>
      <w:numFmt w:val="bullet"/>
      <w:lvlText w:val="•"/>
      <w:lvlJc w:val="left"/>
      <w:pPr>
        <w:ind w:left="917" w:hanging="185"/>
      </w:pPr>
      <w:rPr>
        <w:rFonts w:hint="default"/>
        <w:lang w:val="en-US" w:eastAsia="en-US" w:bidi="ar-SA"/>
      </w:rPr>
    </w:lvl>
    <w:lvl w:ilvl="4">
      <w:start w:val="0"/>
      <w:numFmt w:val="bullet"/>
      <w:lvlText w:val="•"/>
      <w:lvlJc w:val="left"/>
      <w:pPr>
        <w:ind w:left="1190" w:hanging="185"/>
      </w:pPr>
      <w:rPr>
        <w:rFonts w:hint="default"/>
        <w:lang w:val="en-US" w:eastAsia="en-US" w:bidi="ar-SA"/>
      </w:rPr>
    </w:lvl>
    <w:lvl w:ilvl="5">
      <w:start w:val="0"/>
      <w:numFmt w:val="bullet"/>
      <w:lvlText w:val="•"/>
      <w:lvlJc w:val="left"/>
      <w:pPr>
        <w:ind w:left="1462" w:hanging="185"/>
      </w:pPr>
      <w:rPr>
        <w:rFonts w:hint="default"/>
        <w:lang w:val="en-US" w:eastAsia="en-US" w:bidi="ar-SA"/>
      </w:rPr>
    </w:lvl>
    <w:lvl w:ilvl="6">
      <w:start w:val="0"/>
      <w:numFmt w:val="bullet"/>
      <w:lvlText w:val="•"/>
      <w:lvlJc w:val="left"/>
      <w:pPr>
        <w:ind w:left="1735" w:hanging="185"/>
      </w:pPr>
      <w:rPr>
        <w:rFonts w:hint="default"/>
        <w:lang w:val="en-US" w:eastAsia="en-US" w:bidi="ar-SA"/>
      </w:rPr>
    </w:lvl>
    <w:lvl w:ilvl="7">
      <w:start w:val="0"/>
      <w:numFmt w:val="bullet"/>
      <w:lvlText w:val="•"/>
      <w:lvlJc w:val="left"/>
      <w:pPr>
        <w:ind w:left="2007" w:hanging="185"/>
      </w:pPr>
      <w:rPr>
        <w:rFonts w:hint="default"/>
        <w:lang w:val="en-US" w:eastAsia="en-US" w:bidi="ar-SA"/>
      </w:rPr>
    </w:lvl>
    <w:lvl w:ilvl="8">
      <w:start w:val="0"/>
      <w:numFmt w:val="bullet"/>
      <w:lvlText w:val="•"/>
      <w:lvlJc w:val="left"/>
      <w:pPr>
        <w:ind w:left="2280" w:hanging="185"/>
      </w:pPr>
      <w:rPr>
        <w:rFonts w:hint="default"/>
        <w:lang w:val="en-US" w:eastAsia="en-US" w:bidi="ar-SA"/>
      </w:rPr>
    </w:lvl>
  </w:abstractNum>
  <w:abstractNum w:abstractNumId="12">
    <w:nsid w:val="4AA280EE"/>
    <w:multiLevelType w:val="hybridMultilevel"/>
    <w:tmpl w:val="00000000"/>
    <w:lvl w:ilvl="0">
      <w:start w:val="2"/>
      <w:numFmt w:val="upperLetter"/>
      <w:lvlText w:val="%1"/>
      <w:lvlJc w:val="left"/>
      <w:pPr>
        <w:ind w:left="941" w:hanging="526"/>
        <w:jc w:val="left"/>
      </w:pPr>
      <w:rPr>
        <w:rFonts w:hint="default"/>
        <w:lang w:val="en-US" w:eastAsia="en-US" w:bidi="ar-SA"/>
      </w:rPr>
    </w:lvl>
    <w:lvl w:ilvl="1">
      <w:start w:val="1"/>
      <w:numFmt w:val="decimal"/>
      <w:lvlText w:val="%1.%2"/>
      <w:lvlJc w:val="left"/>
      <w:pPr>
        <w:ind w:left="941" w:hanging="526"/>
        <w:jc w:val="right"/>
      </w:pPr>
      <w:rPr>
        <w:rFonts w:ascii="黑体" w:eastAsia="黑体" w:hAnsi="黑体" w:cs="黑体" w:hint="default"/>
        <w:spacing w:val="0"/>
        <w:w w:val="99"/>
        <w:sz w:val="21"/>
        <w:szCs w:val="21"/>
        <w:lang w:val="en-US" w:eastAsia="en-US" w:bidi="ar-SA"/>
      </w:rPr>
    </w:lvl>
    <w:lvl w:ilvl="2">
      <w:start w:val="0"/>
      <w:numFmt w:val="bullet"/>
      <w:lvlText w:val="•"/>
      <w:lvlJc w:val="left"/>
      <w:pPr>
        <w:ind w:left="2733" w:hanging="526"/>
      </w:pPr>
      <w:rPr>
        <w:rFonts w:hint="default"/>
        <w:lang w:val="en-US" w:eastAsia="en-US" w:bidi="ar-SA"/>
      </w:rPr>
    </w:lvl>
    <w:lvl w:ilvl="3">
      <w:start w:val="0"/>
      <w:numFmt w:val="bullet"/>
      <w:lvlText w:val="•"/>
      <w:lvlJc w:val="left"/>
      <w:pPr>
        <w:ind w:left="3629" w:hanging="526"/>
      </w:pPr>
      <w:rPr>
        <w:rFonts w:hint="default"/>
        <w:lang w:val="en-US" w:eastAsia="en-US" w:bidi="ar-SA"/>
      </w:rPr>
    </w:lvl>
    <w:lvl w:ilvl="4">
      <w:start w:val="0"/>
      <w:numFmt w:val="bullet"/>
      <w:lvlText w:val="•"/>
      <w:lvlJc w:val="left"/>
      <w:pPr>
        <w:ind w:left="4526" w:hanging="526"/>
      </w:pPr>
      <w:rPr>
        <w:rFonts w:hint="default"/>
        <w:lang w:val="en-US" w:eastAsia="en-US" w:bidi="ar-SA"/>
      </w:rPr>
    </w:lvl>
    <w:lvl w:ilvl="5">
      <w:start w:val="0"/>
      <w:numFmt w:val="bullet"/>
      <w:lvlText w:val="•"/>
      <w:lvlJc w:val="left"/>
      <w:pPr>
        <w:ind w:left="5423" w:hanging="526"/>
      </w:pPr>
      <w:rPr>
        <w:rFonts w:hint="default"/>
        <w:lang w:val="en-US" w:eastAsia="en-US" w:bidi="ar-SA"/>
      </w:rPr>
    </w:lvl>
    <w:lvl w:ilvl="6">
      <w:start w:val="0"/>
      <w:numFmt w:val="bullet"/>
      <w:lvlText w:val="•"/>
      <w:lvlJc w:val="left"/>
      <w:pPr>
        <w:ind w:left="6319" w:hanging="526"/>
      </w:pPr>
      <w:rPr>
        <w:rFonts w:hint="default"/>
        <w:lang w:val="en-US" w:eastAsia="en-US" w:bidi="ar-SA"/>
      </w:rPr>
    </w:lvl>
    <w:lvl w:ilvl="7">
      <w:start w:val="0"/>
      <w:numFmt w:val="bullet"/>
      <w:lvlText w:val="•"/>
      <w:lvlJc w:val="left"/>
      <w:pPr>
        <w:ind w:left="7216" w:hanging="526"/>
      </w:pPr>
      <w:rPr>
        <w:rFonts w:hint="default"/>
        <w:lang w:val="en-US" w:eastAsia="en-US" w:bidi="ar-SA"/>
      </w:rPr>
    </w:lvl>
    <w:lvl w:ilvl="8">
      <w:start w:val="0"/>
      <w:numFmt w:val="bullet"/>
      <w:lvlText w:val="•"/>
      <w:lvlJc w:val="left"/>
      <w:pPr>
        <w:ind w:left="8112" w:hanging="526"/>
      </w:pPr>
      <w:rPr>
        <w:rFonts w:hint="default"/>
        <w:lang w:val="en-US" w:eastAsia="en-US" w:bidi="ar-SA"/>
      </w:rPr>
    </w:lvl>
  </w:abstractNum>
  <w:abstractNum w:abstractNumId="13">
    <w:nsid w:val="52C8A2C8"/>
    <w:multiLevelType w:val="hybridMultilevel"/>
    <w:tmpl w:val="00000000"/>
    <w:lvl w:ilvl="0">
      <w:start w:val="1"/>
      <w:numFmt w:val="decimal"/>
      <w:lvlText w:val="%1."/>
      <w:lvlJc w:val="left"/>
      <w:pPr>
        <w:ind w:left="106" w:hanging="183"/>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457" w:hanging="183"/>
      </w:pPr>
      <w:rPr>
        <w:rFonts w:hint="default"/>
        <w:lang w:val="en-US" w:eastAsia="en-US" w:bidi="ar-SA"/>
      </w:rPr>
    </w:lvl>
    <w:lvl w:ilvl="2">
      <w:start w:val="0"/>
      <w:numFmt w:val="bullet"/>
      <w:lvlText w:val="•"/>
      <w:lvlJc w:val="left"/>
      <w:pPr>
        <w:ind w:left="815" w:hanging="183"/>
      </w:pPr>
      <w:rPr>
        <w:rFonts w:hint="default"/>
        <w:lang w:val="en-US" w:eastAsia="en-US" w:bidi="ar-SA"/>
      </w:rPr>
    </w:lvl>
    <w:lvl w:ilvl="3">
      <w:start w:val="0"/>
      <w:numFmt w:val="bullet"/>
      <w:lvlText w:val="•"/>
      <w:lvlJc w:val="left"/>
      <w:pPr>
        <w:ind w:left="1172" w:hanging="183"/>
      </w:pPr>
      <w:rPr>
        <w:rFonts w:hint="default"/>
        <w:lang w:val="en-US" w:eastAsia="en-US" w:bidi="ar-SA"/>
      </w:rPr>
    </w:lvl>
    <w:lvl w:ilvl="4">
      <w:start w:val="0"/>
      <w:numFmt w:val="bullet"/>
      <w:lvlText w:val="•"/>
      <w:lvlJc w:val="left"/>
      <w:pPr>
        <w:ind w:left="1530" w:hanging="183"/>
      </w:pPr>
      <w:rPr>
        <w:rFonts w:hint="default"/>
        <w:lang w:val="en-US" w:eastAsia="en-US" w:bidi="ar-SA"/>
      </w:rPr>
    </w:lvl>
    <w:lvl w:ilvl="5">
      <w:start w:val="0"/>
      <w:numFmt w:val="bullet"/>
      <w:lvlText w:val="•"/>
      <w:lvlJc w:val="left"/>
      <w:pPr>
        <w:ind w:left="1887" w:hanging="183"/>
      </w:pPr>
      <w:rPr>
        <w:rFonts w:hint="default"/>
        <w:lang w:val="en-US" w:eastAsia="en-US" w:bidi="ar-SA"/>
      </w:rPr>
    </w:lvl>
    <w:lvl w:ilvl="6">
      <w:start w:val="0"/>
      <w:numFmt w:val="bullet"/>
      <w:lvlText w:val="•"/>
      <w:lvlJc w:val="left"/>
      <w:pPr>
        <w:ind w:left="2245" w:hanging="183"/>
      </w:pPr>
      <w:rPr>
        <w:rFonts w:hint="default"/>
        <w:lang w:val="en-US" w:eastAsia="en-US" w:bidi="ar-SA"/>
      </w:rPr>
    </w:lvl>
    <w:lvl w:ilvl="7">
      <w:start w:val="0"/>
      <w:numFmt w:val="bullet"/>
      <w:lvlText w:val="•"/>
      <w:lvlJc w:val="left"/>
      <w:pPr>
        <w:ind w:left="2602" w:hanging="183"/>
      </w:pPr>
      <w:rPr>
        <w:rFonts w:hint="default"/>
        <w:lang w:val="en-US" w:eastAsia="en-US" w:bidi="ar-SA"/>
      </w:rPr>
    </w:lvl>
    <w:lvl w:ilvl="8">
      <w:start w:val="0"/>
      <w:numFmt w:val="bullet"/>
      <w:lvlText w:val="•"/>
      <w:lvlJc w:val="left"/>
      <w:pPr>
        <w:ind w:left="2960" w:hanging="183"/>
      </w:pPr>
      <w:rPr>
        <w:rFonts w:hint="default"/>
        <w:lang w:val="en-US" w:eastAsia="en-US" w:bidi="ar-SA"/>
      </w:rPr>
    </w:lvl>
  </w:abstractNum>
  <w:abstractNum w:abstractNumId="14">
    <w:nsid w:val="7632935E"/>
    <w:multiLevelType w:val="hybridMultilevel"/>
    <w:tmpl w:val="00000000"/>
    <w:lvl w:ilvl="0">
      <w:start w:val="1"/>
      <w:numFmt w:val="decimal"/>
      <w:lvlText w:val="%1."/>
      <w:lvlJc w:val="left"/>
      <w:pPr>
        <w:ind w:left="107" w:hanging="183"/>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338" w:hanging="183"/>
      </w:pPr>
      <w:rPr>
        <w:rFonts w:hint="default"/>
        <w:lang w:val="en-US" w:eastAsia="en-US" w:bidi="ar-SA"/>
      </w:rPr>
    </w:lvl>
    <w:lvl w:ilvl="2">
      <w:start w:val="0"/>
      <w:numFmt w:val="bullet"/>
      <w:lvlText w:val="•"/>
      <w:lvlJc w:val="left"/>
      <w:pPr>
        <w:ind w:left="577" w:hanging="183"/>
      </w:pPr>
      <w:rPr>
        <w:rFonts w:hint="default"/>
        <w:lang w:val="en-US" w:eastAsia="en-US" w:bidi="ar-SA"/>
      </w:rPr>
    </w:lvl>
    <w:lvl w:ilvl="3">
      <w:start w:val="0"/>
      <w:numFmt w:val="bullet"/>
      <w:lvlText w:val="•"/>
      <w:lvlJc w:val="left"/>
      <w:pPr>
        <w:ind w:left="815" w:hanging="183"/>
      </w:pPr>
      <w:rPr>
        <w:rFonts w:hint="default"/>
        <w:lang w:val="en-US" w:eastAsia="en-US" w:bidi="ar-SA"/>
      </w:rPr>
    </w:lvl>
    <w:lvl w:ilvl="4">
      <w:start w:val="0"/>
      <w:numFmt w:val="bullet"/>
      <w:lvlText w:val="•"/>
      <w:lvlJc w:val="left"/>
      <w:pPr>
        <w:ind w:left="1054" w:hanging="183"/>
      </w:pPr>
      <w:rPr>
        <w:rFonts w:hint="default"/>
        <w:lang w:val="en-US" w:eastAsia="en-US" w:bidi="ar-SA"/>
      </w:rPr>
    </w:lvl>
    <w:lvl w:ilvl="5">
      <w:start w:val="0"/>
      <w:numFmt w:val="bullet"/>
      <w:lvlText w:val="•"/>
      <w:lvlJc w:val="left"/>
      <w:pPr>
        <w:ind w:left="1292" w:hanging="183"/>
      </w:pPr>
      <w:rPr>
        <w:rFonts w:hint="default"/>
        <w:lang w:val="en-US" w:eastAsia="en-US" w:bidi="ar-SA"/>
      </w:rPr>
    </w:lvl>
    <w:lvl w:ilvl="6">
      <w:start w:val="0"/>
      <w:numFmt w:val="bullet"/>
      <w:lvlText w:val="•"/>
      <w:lvlJc w:val="left"/>
      <w:pPr>
        <w:ind w:left="1531" w:hanging="183"/>
      </w:pPr>
      <w:rPr>
        <w:rFonts w:hint="default"/>
        <w:lang w:val="en-US" w:eastAsia="en-US" w:bidi="ar-SA"/>
      </w:rPr>
    </w:lvl>
    <w:lvl w:ilvl="7">
      <w:start w:val="0"/>
      <w:numFmt w:val="bullet"/>
      <w:lvlText w:val="•"/>
      <w:lvlJc w:val="left"/>
      <w:pPr>
        <w:ind w:left="1769" w:hanging="183"/>
      </w:pPr>
      <w:rPr>
        <w:rFonts w:hint="default"/>
        <w:lang w:val="en-US" w:eastAsia="en-US" w:bidi="ar-SA"/>
      </w:rPr>
    </w:lvl>
    <w:lvl w:ilvl="8">
      <w:start w:val="0"/>
      <w:numFmt w:val="bullet"/>
      <w:lvlText w:val="•"/>
      <w:lvlJc w:val="left"/>
      <w:pPr>
        <w:ind w:left="2008" w:hanging="183"/>
      </w:pPr>
      <w:rPr>
        <w:rFonts w:hint="default"/>
        <w:lang w:val="en-US" w:eastAsia="en-US" w:bidi="ar-SA"/>
      </w:rPr>
    </w:lvl>
  </w:abstractNum>
  <w:abstractNum w:abstractNumId="15">
    <w:nsid w:val="7CA8B722"/>
    <w:multiLevelType w:val="hybridMultilevel"/>
    <w:tmpl w:val="00000000"/>
    <w:lvl w:ilvl="0">
      <w:start w:val="5"/>
      <w:numFmt w:val="decimal"/>
      <w:lvlText w:val="%1"/>
      <w:lvlJc w:val="left"/>
      <w:pPr>
        <w:ind w:left="658" w:hanging="526"/>
        <w:jc w:val="left"/>
      </w:pPr>
      <w:rPr>
        <w:rFonts w:hint="default"/>
        <w:lang w:val="en-US" w:eastAsia="en-US" w:bidi="ar-SA"/>
      </w:rPr>
    </w:lvl>
    <w:lvl w:ilvl="1">
      <w:start w:val="3"/>
      <w:numFmt w:val="decimal"/>
      <w:lvlText w:val="%1.%2"/>
      <w:lvlJc w:val="left"/>
      <w:pPr>
        <w:ind w:left="658" w:hanging="526"/>
        <w:jc w:val="right"/>
      </w:pPr>
      <w:rPr>
        <w:rFonts w:ascii="黑体" w:eastAsia="黑体" w:hAnsi="黑体" w:cs="黑体" w:hint="default"/>
        <w:spacing w:val="0"/>
        <w:w w:val="99"/>
        <w:sz w:val="21"/>
        <w:szCs w:val="21"/>
        <w:lang w:val="en-US" w:eastAsia="en-US" w:bidi="ar-SA"/>
      </w:rPr>
    </w:lvl>
    <w:lvl w:ilvl="2">
      <w:start w:val="1"/>
      <w:numFmt w:val="decimal"/>
      <w:lvlText w:val="%1.%2.%3"/>
      <w:lvlJc w:val="left"/>
      <w:pPr>
        <w:ind w:left="869" w:hanging="737"/>
        <w:jc w:val="left"/>
      </w:pPr>
      <w:rPr>
        <w:rFonts w:ascii="黑体" w:eastAsia="黑体" w:hAnsi="黑体" w:cs="黑体" w:hint="default"/>
        <w:spacing w:val="-2"/>
        <w:w w:val="99"/>
        <w:sz w:val="21"/>
        <w:szCs w:val="21"/>
        <w:lang w:val="en-US" w:eastAsia="en-US" w:bidi="ar-SA"/>
      </w:rPr>
    </w:lvl>
    <w:lvl w:ilvl="3">
      <w:start w:val="1"/>
      <w:numFmt w:val="decimal"/>
      <w:lvlText w:val="%1.%2.%3.%4"/>
      <w:lvlJc w:val="left"/>
      <w:pPr>
        <w:ind w:left="1078" w:hanging="946"/>
        <w:jc w:val="left"/>
      </w:pPr>
      <w:rPr>
        <w:rFonts w:ascii="黑体" w:eastAsia="黑体" w:hAnsi="黑体" w:cs="黑体" w:hint="default"/>
        <w:spacing w:val="-2"/>
        <w:w w:val="99"/>
        <w:sz w:val="21"/>
        <w:szCs w:val="21"/>
        <w:lang w:val="en-US" w:eastAsia="en-US" w:bidi="ar-SA"/>
      </w:rPr>
    </w:lvl>
    <w:lvl w:ilvl="4">
      <w:start w:val="0"/>
      <w:numFmt w:val="bullet"/>
      <w:lvlText w:val="•"/>
      <w:lvlJc w:val="left"/>
      <w:pPr>
        <w:ind w:left="1360" w:hanging="946"/>
      </w:pPr>
      <w:rPr>
        <w:rFonts w:hint="default"/>
        <w:lang w:val="en-US" w:eastAsia="en-US" w:bidi="ar-SA"/>
      </w:rPr>
    </w:lvl>
    <w:lvl w:ilvl="5">
      <w:start w:val="0"/>
      <w:numFmt w:val="bullet"/>
      <w:lvlText w:val="•"/>
      <w:lvlJc w:val="left"/>
      <w:pPr>
        <w:ind w:left="2827" w:hanging="946"/>
      </w:pPr>
      <w:rPr>
        <w:rFonts w:hint="default"/>
        <w:lang w:val="en-US" w:eastAsia="en-US" w:bidi="ar-SA"/>
      </w:rPr>
    </w:lvl>
    <w:lvl w:ilvl="6">
      <w:start w:val="0"/>
      <w:numFmt w:val="bullet"/>
      <w:lvlText w:val="•"/>
      <w:lvlJc w:val="left"/>
      <w:pPr>
        <w:ind w:left="4295" w:hanging="946"/>
      </w:pPr>
      <w:rPr>
        <w:rFonts w:hint="default"/>
        <w:lang w:val="en-US" w:eastAsia="en-US" w:bidi="ar-SA"/>
      </w:rPr>
    </w:lvl>
    <w:lvl w:ilvl="7">
      <w:start w:val="0"/>
      <w:numFmt w:val="bullet"/>
      <w:lvlText w:val="•"/>
      <w:lvlJc w:val="left"/>
      <w:pPr>
        <w:ind w:left="5763" w:hanging="946"/>
      </w:pPr>
      <w:rPr>
        <w:rFonts w:hint="default"/>
        <w:lang w:val="en-US" w:eastAsia="en-US" w:bidi="ar-SA"/>
      </w:rPr>
    </w:lvl>
    <w:lvl w:ilvl="8">
      <w:start w:val="0"/>
      <w:numFmt w:val="bullet"/>
      <w:lvlText w:val="•"/>
      <w:lvlJc w:val="left"/>
      <w:pPr>
        <w:ind w:left="7230" w:hanging="946"/>
      </w:pPr>
      <w:rPr>
        <w:rFonts w:hint="default"/>
        <w:lang w:val="en-US" w:eastAsia="en-US" w:bidi="ar-SA"/>
      </w:rPr>
    </w:lvl>
  </w:abstractNum>
  <w:abstractNum w:abstractNumId="16">
    <w:nsid w:val="7E35DE7F"/>
    <w:multiLevelType w:val="hybridMultilevel"/>
    <w:tmpl w:val="00000000"/>
    <w:lvl w:ilvl="0">
      <w:start w:val="1"/>
      <w:numFmt w:val="decimal"/>
      <w:lvlText w:val="%1."/>
      <w:lvlJc w:val="left"/>
      <w:pPr>
        <w:ind w:left="288" w:hanging="183"/>
        <w:jc w:val="left"/>
      </w:pPr>
      <w:rPr>
        <w:rFonts w:ascii="宋体" w:eastAsia="宋体" w:hAnsi="宋体" w:cs="宋体" w:hint="default"/>
        <w:spacing w:val="-2"/>
        <w:w w:val="100"/>
        <w:sz w:val="16"/>
        <w:szCs w:val="16"/>
        <w:lang w:val="en-US" w:eastAsia="en-US" w:bidi="ar-SA"/>
      </w:rPr>
    </w:lvl>
    <w:lvl w:ilvl="1">
      <w:start w:val="0"/>
      <w:numFmt w:val="bullet"/>
      <w:lvlText w:val="•"/>
      <w:lvlJc w:val="left"/>
      <w:pPr>
        <w:ind w:left="662" w:hanging="183"/>
      </w:pPr>
      <w:rPr>
        <w:rFonts w:hint="default"/>
        <w:lang w:val="en-US" w:eastAsia="en-US" w:bidi="ar-SA"/>
      </w:rPr>
    </w:lvl>
    <w:lvl w:ilvl="2">
      <w:start w:val="0"/>
      <w:numFmt w:val="bullet"/>
      <w:lvlText w:val="•"/>
      <w:lvlJc w:val="left"/>
      <w:pPr>
        <w:ind w:left="1044" w:hanging="183"/>
      </w:pPr>
      <w:rPr>
        <w:rFonts w:hint="default"/>
        <w:lang w:val="en-US" w:eastAsia="en-US" w:bidi="ar-SA"/>
      </w:rPr>
    </w:lvl>
    <w:lvl w:ilvl="3">
      <w:start w:val="0"/>
      <w:numFmt w:val="bullet"/>
      <w:lvlText w:val="•"/>
      <w:lvlJc w:val="left"/>
      <w:pPr>
        <w:ind w:left="1426" w:hanging="183"/>
      </w:pPr>
      <w:rPr>
        <w:rFonts w:hint="default"/>
        <w:lang w:val="en-US" w:eastAsia="en-US" w:bidi="ar-SA"/>
      </w:rPr>
    </w:lvl>
    <w:lvl w:ilvl="4">
      <w:start w:val="0"/>
      <w:numFmt w:val="bullet"/>
      <w:lvlText w:val="•"/>
      <w:lvlJc w:val="left"/>
      <w:pPr>
        <w:ind w:left="1808" w:hanging="183"/>
      </w:pPr>
      <w:rPr>
        <w:rFonts w:hint="default"/>
        <w:lang w:val="en-US" w:eastAsia="en-US" w:bidi="ar-SA"/>
      </w:rPr>
    </w:lvl>
    <w:lvl w:ilvl="5">
      <w:start w:val="0"/>
      <w:numFmt w:val="bullet"/>
      <w:lvlText w:val="•"/>
      <w:lvlJc w:val="left"/>
      <w:pPr>
        <w:ind w:left="2190" w:hanging="183"/>
      </w:pPr>
      <w:rPr>
        <w:rFonts w:hint="default"/>
        <w:lang w:val="en-US" w:eastAsia="en-US" w:bidi="ar-SA"/>
      </w:rPr>
    </w:lvl>
    <w:lvl w:ilvl="6">
      <w:start w:val="0"/>
      <w:numFmt w:val="bullet"/>
      <w:lvlText w:val="•"/>
      <w:lvlJc w:val="left"/>
      <w:pPr>
        <w:ind w:left="2572" w:hanging="183"/>
      </w:pPr>
      <w:rPr>
        <w:rFonts w:hint="default"/>
        <w:lang w:val="en-US" w:eastAsia="en-US" w:bidi="ar-SA"/>
      </w:rPr>
    </w:lvl>
    <w:lvl w:ilvl="7">
      <w:start w:val="0"/>
      <w:numFmt w:val="bullet"/>
      <w:lvlText w:val="•"/>
      <w:lvlJc w:val="left"/>
      <w:pPr>
        <w:ind w:left="2954" w:hanging="183"/>
      </w:pPr>
      <w:rPr>
        <w:rFonts w:hint="default"/>
        <w:lang w:val="en-US" w:eastAsia="en-US" w:bidi="ar-SA"/>
      </w:rPr>
    </w:lvl>
    <w:lvl w:ilvl="8">
      <w:start w:val="0"/>
      <w:numFmt w:val="bullet"/>
      <w:lvlText w:val="•"/>
      <w:lvlJc w:val="left"/>
      <w:pPr>
        <w:ind w:left="3336" w:hanging="183"/>
      </w:pPr>
      <w:rPr>
        <w:rFonts w:hint="default"/>
        <w:lang w:val="en-US" w:eastAsia="en-US" w:bidi="ar-SA"/>
      </w:rPr>
    </w:lvl>
  </w:abstractNum>
  <w:abstractNum w:abstractNumId="17">
    <w:nsid w:val="7F6ABB9D"/>
    <w:multiLevelType w:val="hybridMultilevel"/>
    <w:tmpl w:val="00000000"/>
    <w:lvl w:ilvl="0">
      <w:start w:val="1"/>
      <w:numFmt w:val="decimal"/>
      <w:lvlText w:val="%1"/>
      <w:lvlJc w:val="left"/>
      <w:pPr>
        <w:ind w:left="732" w:hanging="317"/>
        <w:jc w:val="right"/>
      </w:pPr>
      <w:rPr>
        <w:rFonts w:ascii="黑体" w:eastAsia="黑体" w:hAnsi="黑体" w:cs="黑体" w:hint="default"/>
        <w:w w:val="99"/>
        <w:sz w:val="21"/>
        <w:szCs w:val="21"/>
        <w:lang w:val="en-US" w:eastAsia="en-US" w:bidi="ar-SA"/>
      </w:rPr>
    </w:lvl>
    <w:lvl w:ilvl="1">
      <w:start w:val="1"/>
      <w:numFmt w:val="decimal"/>
      <w:lvlText w:val="%1.%2"/>
      <w:lvlJc w:val="left"/>
      <w:pPr>
        <w:ind w:left="449" w:hanging="317"/>
        <w:jc w:val="left"/>
      </w:pPr>
      <w:rPr>
        <w:rFonts w:ascii="黑体" w:eastAsia="黑体" w:hAnsi="黑体" w:cs="黑体" w:hint="default"/>
        <w:spacing w:val="0"/>
        <w:w w:val="99"/>
        <w:sz w:val="19"/>
        <w:szCs w:val="19"/>
        <w:lang w:val="en-US" w:eastAsia="en-US" w:bidi="ar-SA"/>
      </w:rPr>
    </w:lvl>
    <w:lvl w:ilvl="2">
      <w:start w:val="1"/>
      <w:numFmt w:val="decimal"/>
      <w:lvlText w:val="%1.%2.%3"/>
      <w:lvlJc w:val="left"/>
      <w:pPr>
        <w:ind w:left="1152" w:hanging="737"/>
        <w:jc w:val="left"/>
      </w:pPr>
      <w:rPr>
        <w:rFonts w:ascii="黑体" w:eastAsia="黑体" w:hAnsi="黑体" w:cs="黑体" w:hint="default"/>
        <w:spacing w:val="-2"/>
        <w:w w:val="99"/>
        <w:sz w:val="21"/>
        <w:szCs w:val="21"/>
        <w:lang w:val="en-US" w:eastAsia="en-US" w:bidi="ar-SA"/>
      </w:rPr>
    </w:lvl>
    <w:lvl w:ilvl="3">
      <w:start w:val="1"/>
      <w:numFmt w:val="decimal"/>
      <w:lvlText w:val="%1.%2.%3.%4"/>
      <w:lvlJc w:val="left"/>
      <w:pPr>
        <w:ind w:left="1078" w:hanging="946"/>
        <w:jc w:val="left"/>
      </w:pPr>
      <w:rPr>
        <w:rFonts w:ascii="黑体" w:eastAsia="黑体" w:hAnsi="黑体" w:cs="黑体" w:hint="default"/>
        <w:spacing w:val="-2"/>
        <w:w w:val="99"/>
        <w:sz w:val="21"/>
        <w:szCs w:val="21"/>
        <w:lang w:val="en-US" w:eastAsia="en-US" w:bidi="ar-SA"/>
      </w:rPr>
    </w:lvl>
    <w:lvl w:ilvl="4">
      <w:start w:val="1"/>
      <w:numFmt w:val="decimal"/>
      <w:lvlText w:val="%1.%2.%3.%4.%5"/>
      <w:lvlJc w:val="left"/>
      <w:pPr>
        <w:ind w:left="1572" w:hanging="1157"/>
        <w:jc w:val="left"/>
      </w:pPr>
      <w:rPr>
        <w:rFonts w:ascii="黑体" w:eastAsia="黑体" w:hAnsi="黑体" w:cs="黑体" w:hint="default"/>
        <w:spacing w:val="-2"/>
        <w:w w:val="99"/>
        <w:sz w:val="21"/>
        <w:szCs w:val="21"/>
        <w:lang w:val="en-US" w:eastAsia="en-US" w:bidi="ar-SA"/>
      </w:rPr>
    </w:lvl>
    <w:lvl w:ilvl="5">
      <w:start w:val="0"/>
      <w:numFmt w:val="bullet"/>
      <w:lvlText w:val="•"/>
      <w:lvlJc w:val="left"/>
      <w:pPr>
        <w:ind w:left="860" w:hanging="1157"/>
      </w:pPr>
      <w:rPr>
        <w:rFonts w:hint="default"/>
        <w:lang w:val="en-US" w:eastAsia="en-US" w:bidi="ar-SA"/>
      </w:rPr>
    </w:lvl>
    <w:lvl w:ilvl="6">
      <w:start w:val="0"/>
      <w:numFmt w:val="bullet"/>
      <w:lvlText w:val="•"/>
      <w:lvlJc w:val="left"/>
      <w:pPr>
        <w:ind w:left="940" w:hanging="1157"/>
      </w:pPr>
      <w:rPr>
        <w:rFonts w:hint="default"/>
        <w:lang w:val="en-US" w:eastAsia="en-US" w:bidi="ar-SA"/>
      </w:rPr>
    </w:lvl>
    <w:lvl w:ilvl="7">
      <w:start w:val="0"/>
      <w:numFmt w:val="bullet"/>
      <w:lvlText w:val="•"/>
      <w:lvlJc w:val="left"/>
      <w:pPr>
        <w:ind w:left="1080" w:hanging="1157"/>
      </w:pPr>
      <w:rPr>
        <w:rFonts w:hint="default"/>
        <w:lang w:val="en-US" w:eastAsia="en-US" w:bidi="ar-SA"/>
      </w:rPr>
    </w:lvl>
    <w:lvl w:ilvl="8">
      <w:start w:val="0"/>
      <w:numFmt w:val="bullet"/>
      <w:lvlText w:val="•"/>
      <w:lvlJc w:val="left"/>
      <w:pPr>
        <w:ind w:left="1160" w:hanging="1157"/>
      </w:pPr>
      <w:rPr>
        <w:rFonts w:hint="default"/>
        <w:lang w:val="en-US" w:eastAsia="en-US" w:bidi="ar-SA"/>
      </w:rPr>
    </w:lvl>
  </w:abstractNum>
  <w:num w:numId="1">
    <w:abstractNumId w:val="12"/>
  </w:num>
  <w:num w:numId="2">
    <w:abstractNumId w:val="3"/>
  </w:num>
  <w:num w:numId="3">
    <w:abstractNumId w:val="16"/>
  </w:num>
  <w:num w:numId="4">
    <w:abstractNumId w:val="7"/>
  </w:num>
  <w:num w:numId="5">
    <w:abstractNumId w:val="8"/>
  </w:num>
  <w:num w:numId="6">
    <w:abstractNumId w:val="6"/>
  </w:num>
  <w:num w:numId="7">
    <w:abstractNumId w:val="14"/>
  </w:num>
  <w:num w:numId="8">
    <w:abstractNumId w:val="13"/>
  </w:num>
  <w:num w:numId="9">
    <w:abstractNumId w:val="2"/>
  </w:num>
  <w:num w:numId="10">
    <w:abstractNumId w:val="0"/>
  </w:num>
  <w:num w:numId="11">
    <w:abstractNumId w:val="11"/>
  </w:num>
  <w:num w:numId="12">
    <w:abstractNumId w:val="4"/>
  </w:num>
  <w:num w:numId="13">
    <w:abstractNumId w:val="9"/>
  </w:num>
  <w:num w:numId="14">
    <w:abstractNumId w:val="15"/>
  </w:num>
  <w:num w:numId="15">
    <w:abstractNumId w:val="5"/>
  </w:num>
  <w:num w:numId="16">
    <w:abstractNumId w:val="1"/>
  </w:num>
  <w:num w:numId="17">
    <w:abstractNumId w:val="10"/>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1"/>
      <w:ind w:left="20"/>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402"/>
      <w:ind w:left="416"/>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ind w:left="1361" w:hanging="947"/>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5.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header" Target="header18.xml" /><Relationship Id="rId38" Type="http://schemas.openxmlformats.org/officeDocument/2006/relationships/footer" Target="footer17.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718036041114006036"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2024-02-19T09:05:36Z</dcterms:created>
  <dcterms:modified xsi:type="dcterms:W3CDTF">2024-02-19T09:05:36Z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2023-12-07T00:00:00Z</vt:filetime>
  </property>
  <property fmtid="{D5CDD505-2E9C-101B-9397-08002B2CF9AE}" pid="3" name="Creator">
    <vt:lpwstr>WPS 文字</vt:lpwstr>
  </property>
  <property fmtid="{D5CDD505-2E9C-101B-9397-08002B2CF9AE}" pid="4" name="LastSaved">
    <vt:filetime>2024-02-19T00:00:00Z</vt:filetime>
  </property>
</Properties>
</file>