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闲置物品调剂回收行业相关公司设立可行性研究报告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46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_Toc18464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6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_Toc9566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_Toc16292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_Toc23880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31" w:history="1">
        <w:r>
          <w:rPr>
            <w:rFonts w:ascii="仿宋" w:eastAsia="仿宋" w:hAnsi="仿宋" w:cs="仿宋" w:hint="eastAsia"/>
            <w:lang w:eastAsia="zh-CN"/>
          </w:rPr>
          <w:t>二、闲置物品调剂回收项目概况</w:t>
        </w:r>
        <w:r>
          <w:tab/>
        </w:r>
        <w:r>
          <w:fldChar w:fldCharType="begin"/>
        </w:r>
        <w:r>
          <w:instrText xml:space="preserve"> PAGEREF _Toc30631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_Toc25748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2" w:history="1">
        <w:r>
          <w:rPr>
            <w:rFonts w:ascii="仿宋" w:eastAsia="仿宋" w:hAnsi="仿宋" w:cs="仿宋" w:hint="eastAsia"/>
            <w:lang w:eastAsia="zh-CN"/>
          </w:rPr>
          <w:t>(二)、闲置物品调剂回收项目提出的理由</w:t>
        </w:r>
        <w:r>
          <w:tab/>
        </w:r>
        <w:r>
          <w:fldChar w:fldCharType="begin"/>
        </w:r>
        <w:r>
          <w:instrText xml:space="preserve"> PAGEREF _Toc26592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6" w:history="1">
        <w:r>
          <w:rPr>
            <w:rFonts w:ascii="仿宋" w:eastAsia="仿宋" w:hAnsi="仿宋" w:cs="仿宋" w:hint="eastAsia"/>
            <w:lang w:eastAsia="zh-CN"/>
          </w:rPr>
          <w:t>(三)、闲置物品调剂回收项目选址</w:t>
        </w:r>
        <w:r>
          <w:tab/>
        </w:r>
        <w:r>
          <w:fldChar w:fldCharType="begin"/>
        </w:r>
        <w:r>
          <w:instrText xml:space="preserve"> PAGEREF _Toc17716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_Toc26433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_Toc17395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8" w:history="1">
        <w:r>
          <w:rPr>
            <w:rFonts w:ascii="仿宋" w:eastAsia="仿宋" w:hAnsi="仿宋" w:cs="仿宋" w:hint="eastAsia"/>
            <w:lang w:eastAsia="zh-CN"/>
          </w:rPr>
          <w:t>(六)、闲置物品调剂回收项目投资</w:t>
        </w:r>
        <w:r>
          <w:tab/>
        </w:r>
        <w:r>
          <w:fldChar w:fldCharType="begin"/>
        </w:r>
        <w:r>
          <w:instrText xml:space="preserve"> PAGEREF _Toc21118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3" w:history="1">
        <w:r>
          <w:rPr>
            <w:rFonts w:ascii="仿宋" w:eastAsia="仿宋" w:hAnsi="仿宋" w:cs="仿宋" w:hint="eastAsia"/>
            <w:lang w:eastAsia="zh-CN"/>
          </w:rPr>
          <w:t>(七)、闲置物品调剂回收项目进度规划</w:t>
        </w:r>
        <w:r>
          <w:tab/>
        </w:r>
        <w:r>
          <w:fldChar w:fldCharType="begin"/>
        </w:r>
        <w:r>
          <w:instrText xml:space="preserve"> PAGEREF _Toc12643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_Toc19412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6" w:history="1">
        <w:r>
          <w:rPr>
            <w:rFonts w:ascii="仿宋" w:eastAsia="仿宋" w:hAnsi="仿宋" w:cs="仿宋" w:hint="eastAsia"/>
            <w:lang w:eastAsia="zh-CN"/>
          </w:rPr>
          <w:t>(九)、闲置物品调剂回收项目综合评价</w:t>
        </w:r>
        <w:r>
          <w:tab/>
        </w:r>
        <w:r>
          <w:fldChar w:fldCharType="begin"/>
        </w:r>
        <w:r>
          <w:instrText xml:space="preserve"> PAGEREF _Toc4886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_Toc1473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_Toc28640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_Toc22739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_Toc7927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_Toc9413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4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_Toc14624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_Toc16237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" w:history="1">
        <w:r>
          <w:rPr>
            <w:rFonts w:ascii="仿宋" w:eastAsia="仿宋" w:hAnsi="仿宋" w:cs="仿宋" w:hint="eastAsia"/>
            <w:lang w:eastAsia="zh-CN"/>
          </w:rPr>
          <w:t>(七)、闲置物品调剂回收项目建设必要性分析</w:t>
        </w:r>
        <w:r>
          <w:tab/>
        </w:r>
        <w:r>
          <w:fldChar w:fldCharType="begin"/>
        </w:r>
        <w:r>
          <w:instrText xml:space="preserve"> PAGEREF _Toc1110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_Toc2137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_Toc13704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_Toc11781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_Toc23057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_Toc31792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1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_Toc25571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_Toc2695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06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_Toc26006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_Toc28391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_Toc11561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_Toc9911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_Toc5185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7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_Toc6007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_Toc23304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_Toc22188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_Toc18152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" w:history="1">
        <w:r>
          <w:rPr>
            <w:rFonts w:ascii="仿宋" w:eastAsia="仿宋" w:hAnsi="仿宋" w:cs="仿宋" w:hint="eastAsia"/>
            <w:lang w:eastAsia="zh-CN"/>
          </w:rPr>
          <w:t>(五)、闲置物品调剂回收项目总投资</w:t>
        </w:r>
        <w:r>
          <w:tab/>
        </w:r>
        <w:r>
          <w:fldChar w:fldCharType="begin"/>
        </w:r>
        <w:r>
          <w:instrText xml:space="preserve"> PAGEREF _Toc3123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_Toc2974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_Toc504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_Toc4492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_Toc22932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_Toc28959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2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_Toc8132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99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_Toc10099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7" w:history="1">
        <w:r>
          <w:rPr>
            <w:rFonts w:ascii="仿宋" w:eastAsia="仿宋" w:hAnsi="仿宋" w:cs="仿宋" w:hint="eastAsia"/>
            <w:lang w:eastAsia="zh-CN"/>
          </w:rPr>
          <w:t>(一)、闲置物品调剂回收项目进度安排</w:t>
        </w:r>
        <w:r>
          <w:tab/>
        </w:r>
        <w:r>
          <w:fldChar w:fldCharType="begin"/>
        </w:r>
        <w:r>
          <w:instrText xml:space="preserve"> PAGEREF _Toc15167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5" w:history="1">
        <w:r>
          <w:rPr>
            <w:rFonts w:ascii="仿宋" w:eastAsia="仿宋" w:hAnsi="仿宋" w:cs="仿宋" w:hint="eastAsia"/>
            <w:lang w:eastAsia="zh-CN"/>
          </w:rPr>
          <w:t>(二)、闲置物品调剂回收项目实施保障措施</w:t>
        </w:r>
        <w:r>
          <w:tab/>
        </w:r>
        <w:r>
          <w:fldChar w:fldCharType="begin"/>
        </w:r>
        <w:r>
          <w:instrText xml:space="preserve"> PAGEREF _Toc3655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9" w:history="1">
        <w:r>
          <w:rPr>
            <w:rFonts w:ascii="仿宋" w:eastAsia="仿宋" w:hAnsi="仿宋" w:cs="仿宋" w:hint="eastAsia"/>
            <w:lang w:eastAsia="zh-CN"/>
          </w:rPr>
          <w:t>九、闲置物品调剂回收项目风险分析</w:t>
        </w:r>
        <w:r>
          <w:tab/>
        </w:r>
        <w:r>
          <w:fldChar w:fldCharType="begin"/>
        </w:r>
        <w:r>
          <w:instrText xml:space="preserve"> PAGEREF _Toc32029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3" w:history="1">
        <w:r>
          <w:rPr>
            <w:rFonts w:ascii="仿宋" w:eastAsia="仿宋" w:hAnsi="仿宋" w:cs="仿宋" w:hint="eastAsia"/>
            <w:lang w:eastAsia="zh-CN"/>
          </w:rPr>
          <w:t>(一)、闲置物品调剂回收项目风险分析</w:t>
        </w:r>
        <w:r>
          <w:tab/>
        </w:r>
        <w:r>
          <w:fldChar w:fldCharType="begin"/>
        </w:r>
        <w:r>
          <w:instrText xml:space="preserve"> PAGEREF _Toc32573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6" w:history="1">
        <w:r>
          <w:rPr>
            <w:rFonts w:ascii="仿宋" w:eastAsia="仿宋" w:hAnsi="仿宋" w:cs="仿宋" w:hint="eastAsia"/>
            <w:lang w:eastAsia="zh-CN"/>
          </w:rPr>
          <w:t>(二)、闲置物品调剂回收项目风险对策</w:t>
        </w:r>
        <w:r>
          <w:tab/>
        </w:r>
        <w:r>
          <w:fldChar w:fldCharType="begin"/>
        </w:r>
        <w:r>
          <w:instrText xml:space="preserve"> PAGEREF _Toc14756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_Toc526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_Toc21539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_Toc25945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_Toc16136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_Toc14682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_Toc30729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_Toc7478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_Toc27129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_Toc28417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_Toc32101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_Toc7025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_Toc16528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_Toc671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4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_Toc23204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_Toc8366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5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46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_Toc26846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_Toc4247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_Toc19968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_Toc6394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_Toc2972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50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_Toc24950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_Toc7508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_Toc7532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_Toc32320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1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_Toc991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_Toc22622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2" w:history="1">
        <w:r>
          <w:rPr>
            <w:rFonts w:ascii="仿宋" w:eastAsia="仿宋" w:hAnsi="仿宋" w:cs="仿宋" w:hint="eastAsia"/>
            <w:lang w:eastAsia="zh-CN"/>
          </w:rPr>
          <w:t>(二)、合作闲置物品调剂回收项目</w:t>
        </w:r>
        <w:r>
          <w:tab/>
        </w:r>
        <w:r>
          <w:fldChar w:fldCharType="begin"/>
        </w:r>
        <w:r>
          <w:instrText xml:space="preserve"> PAGEREF _Toc20922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_Toc19530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0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_Toc1820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_Toc31699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_Toc5679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46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566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292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的战略规划，未来数年内，公司预计会经历显著的资产规模、业务规模、员工规模和资金运用规模的急速扩张。这一迅猛的扩张将对公司的管理水平构成巨大挑战，特别是在公司规模迅速膨胀后，组织结构和管理系统将更加复杂。在战略规划、组织设计、资源配置、市场策略、资金管理和内部控制等方面都将面临全新的考验。此外，公司的迅猛增长还将引发对高级管理层、营销专业人才和服务领域专业人才的更多需求，因此公司必须不断提高管理水平，以确保可持续的发展并实现业务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https://d.book118.com/718037070132006036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闲置物品调剂回收行业相关公司设立可行性研究报告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闲置物品调剂回收行业相关公司设立可行性研究报告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闲置物品调剂回收行业相关公司设立可行性研究报告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闲置物品调剂回收行业相关公司设立可行性研究报告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闲置物品调剂回收行业相关公司设立可行性研究报告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8037070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2024-02-03T06:11:00Z</dcterms:created>
  <dcterms:modified xsi:type="dcterms:W3CDTF">2024-02-03T06:12:09Z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B3D61CFD82D94F0B8C9175033D085DB0_11</vt:lpwstr>
  </property>
  <property fmtid="{D5CDD505-2E9C-101B-9397-08002B2CF9AE}" pid="3" name="KSOProductBuildVer">
    <vt:lpwstr>2052-12.1.0.16250</vt:lpwstr>
  </property>
</Properties>
</file>