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ind w:left="0" w:firstLine="0"/>
        <w:rPr>
          <w:rFonts w:ascii="Times New Roman"/>
          <w:sz w:val="20"/>
        </w:rPr>
      </w:pPr>
    </w:p>
    <w:p>
      <w:pPr>
        <w:pStyle w:val="BodyText"/>
        <w:spacing w:before="8"/>
        <w:ind w:left="0" w:firstLine="0"/>
        <w:rPr>
          <w:rFonts w:ascii="Times New Roman"/>
          <w:sz w:val="17"/>
        </w:rPr>
      </w:pPr>
    </w:p>
    <w:p>
      <w:pPr>
        <w:pStyle w:val="BodyText"/>
        <w:ind w:left="6607" w:firstLine="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i1025" type="#_x0000_t202" style="width:99.15pt;height:56.85pt;mso-position-horizontal-relative:char;mso-position-vertical-relative:line" filled="t" fillcolor="#f4f4f4" stroked="t" strokecolor="black" strokeweight="5pt">
            <v:fill type="solid"/>
            <v:stroke dashstyle="solid" linestyle="thickThin"/>
            <v:textbox inset="0,0,0,0">
              <w:txbxContent>
                <w:p>
                  <w:pPr>
                    <w:pStyle w:val="BodyText"/>
                    <w:spacing w:before="75" w:line="364" w:lineRule="auto"/>
                    <w:ind w:left="384" w:right="297" w:hanging="240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国环评证乙字</w:t>
                  </w:r>
                  <w:r>
                    <w:rPr>
                      <w:color w:val="000000"/>
                    </w:rPr>
                    <w:t xml:space="preserve">第 </w:t>
                  </w:r>
                  <w:r>
                    <w:rPr>
                      <w:rFonts w:ascii="Times New Roman" w:eastAsia="Times New Roman"/>
                      <w:color w:val="000000"/>
                    </w:rPr>
                    <w:t xml:space="preserve">2027 </w:t>
                  </w:r>
                  <w:r>
                    <w:rPr>
                      <w:color w:val="000000"/>
                    </w:rPr>
                    <w:t>号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BodyText"/>
        <w:ind w:left="0" w:firstLine="0"/>
        <w:rPr>
          <w:rFonts w:ascii="Times New Roman"/>
          <w:sz w:val="20"/>
        </w:rPr>
      </w:pPr>
    </w:p>
    <w:p>
      <w:pPr>
        <w:pStyle w:val="BodyText"/>
        <w:ind w:left="0" w:firstLine="0"/>
        <w:rPr>
          <w:rFonts w:ascii="Times New Roman"/>
          <w:sz w:val="20"/>
        </w:rPr>
      </w:pPr>
    </w:p>
    <w:p>
      <w:pPr>
        <w:pStyle w:val="BodyText"/>
        <w:ind w:left="0" w:firstLine="0"/>
        <w:rPr>
          <w:rFonts w:ascii="Times New Roman"/>
          <w:sz w:val="20"/>
        </w:rPr>
      </w:pPr>
    </w:p>
    <w:p>
      <w:pPr>
        <w:pStyle w:val="BodyText"/>
        <w:ind w:left="0" w:firstLine="0"/>
        <w:rPr>
          <w:rFonts w:ascii="Times New Roman"/>
          <w:sz w:val="20"/>
        </w:rPr>
      </w:pPr>
    </w:p>
    <w:p>
      <w:pPr>
        <w:pStyle w:val="BodyText"/>
        <w:spacing w:before="4"/>
        <w:ind w:left="0" w:firstLine="0"/>
        <w:rPr>
          <w:rFonts w:ascii="Times New Roman"/>
          <w:sz w:val="19"/>
        </w:rPr>
      </w:pPr>
    </w:p>
    <w:p>
      <w:pPr>
        <w:spacing w:before="0" w:line="675" w:lineRule="exact"/>
        <w:ind w:left="902" w:right="364" w:firstLine="0"/>
        <w:jc w:val="center"/>
        <w:rPr>
          <w:rFonts w:ascii="Microsoft JhengHei" w:eastAsia="Microsoft JhengHei"/>
          <w:b/>
          <w:sz w:val="42"/>
        </w:rPr>
      </w:pPr>
      <w:r>
        <w:rPr>
          <w:rFonts w:ascii="Microsoft JhengHei" w:eastAsia="Microsoft JhengHei"/>
          <w:b/>
          <w:spacing w:val="-1"/>
          <w:sz w:val="42"/>
        </w:rPr>
        <w:t>广德县国有资产投资有限公司城市建设</w:t>
      </w:r>
    </w:p>
    <w:p>
      <w:pPr>
        <w:spacing w:before="44"/>
        <w:ind w:left="275" w:right="574" w:firstLine="0"/>
        <w:jc w:val="center"/>
        <w:rPr>
          <w:rFonts w:ascii="Microsoft JhengHei" w:eastAsia="Microsoft JhengHei"/>
          <w:b/>
          <w:sz w:val="42"/>
        </w:rPr>
      </w:pPr>
      <w:r>
        <w:rPr>
          <w:rFonts w:ascii="Microsoft JhengHei" w:eastAsia="Microsoft JhengHei"/>
          <w:b/>
          <w:spacing w:val="-4"/>
          <w:sz w:val="42"/>
        </w:rPr>
        <w:t>分公司</w:t>
      </w:r>
    </w:p>
    <w:p>
      <w:pPr>
        <w:spacing w:before="45" w:line="729" w:lineRule="exact"/>
        <w:ind w:left="902" w:right="364" w:firstLine="0"/>
        <w:jc w:val="center"/>
        <w:rPr>
          <w:rFonts w:ascii="Microsoft JhengHei" w:eastAsia="Microsoft JhengHei"/>
          <w:b/>
          <w:sz w:val="42"/>
        </w:rPr>
      </w:pPr>
      <w:r>
        <w:rPr>
          <w:rFonts w:ascii="Times New Roman" w:eastAsia="Times New Roman"/>
          <w:b/>
          <w:sz w:val="42"/>
        </w:rPr>
        <w:t>2014</w:t>
      </w:r>
      <w:r>
        <w:rPr>
          <w:rFonts w:ascii="Times New Roman" w:eastAsia="Times New Roman"/>
          <w:b/>
          <w:spacing w:val="6"/>
          <w:sz w:val="42"/>
        </w:rPr>
        <w:t xml:space="preserve"> </w:t>
      </w:r>
      <w:r>
        <w:rPr>
          <w:rFonts w:ascii="Microsoft JhengHei" w:eastAsia="Microsoft JhengHei"/>
          <w:b/>
          <w:spacing w:val="-2"/>
          <w:sz w:val="42"/>
        </w:rPr>
        <w:t>年新建道路项目</w:t>
      </w:r>
    </w:p>
    <w:p>
      <w:pPr>
        <w:pStyle w:val="Title"/>
      </w:pPr>
      <w:r>
        <w:rPr>
          <w:spacing w:val="-2"/>
        </w:rPr>
        <w:t>环境影响评价简本</w:t>
      </w:r>
    </w:p>
    <w:p>
      <w:pPr>
        <w:pStyle w:val="BodyText"/>
        <w:ind w:left="0" w:firstLine="0"/>
        <w:rPr>
          <w:rFonts w:ascii="Microsoft JhengHei"/>
          <w:b/>
          <w:sz w:val="84"/>
        </w:rPr>
      </w:pPr>
    </w:p>
    <w:p>
      <w:pPr>
        <w:pStyle w:val="BodyText"/>
        <w:ind w:left="0" w:firstLine="0"/>
        <w:rPr>
          <w:rFonts w:ascii="Microsoft JhengHei"/>
          <w:b/>
          <w:sz w:val="84"/>
        </w:rPr>
      </w:pPr>
    </w:p>
    <w:p>
      <w:pPr>
        <w:pStyle w:val="BodyText"/>
        <w:spacing w:before="8"/>
        <w:ind w:left="0" w:firstLine="0"/>
        <w:rPr>
          <w:rFonts w:ascii="Microsoft JhengHei"/>
          <w:b/>
          <w:sz w:val="96"/>
        </w:rPr>
      </w:pPr>
    </w:p>
    <w:p>
      <w:pPr>
        <w:spacing w:before="0" w:line="276" w:lineRule="auto"/>
        <w:ind w:left="2208" w:right="1939" w:hanging="180"/>
        <w:jc w:val="center"/>
        <w:rPr>
          <w:rFonts w:ascii="黑体" w:eastAsia="黑体"/>
          <w:sz w:val="28"/>
        </w:rPr>
      </w:pPr>
      <w:r>
        <w:rPr>
          <w:rFonts w:ascii="Microsoft JhengHei" w:eastAsia="Microsoft JhengHei"/>
          <w:b/>
          <w:spacing w:val="-2"/>
          <w:sz w:val="30"/>
        </w:rPr>
        <w:t>编制单位：浙江商达环保有限公司</w:t>
      </w:r>
      <w:r>
        <w:rPr>
          <w:rFonts w:ascii="Microsoft JhengHei" w:eastAsia="Microsoft JhengHei"/>
          <w:b/>
          <w:spacing w:val="80"/>
          <w:sz w:val="30"/>
        </w:rPr>
        <w:t xml:space="preserve"> </w:t>
      </w:r>
      <w:r>
        <w:rPr>
          <w:rFonts w:ascii="Microsoft JhengHei" w:eastAsia="Microsoft JhengHei"/>
          <w:b/>
          <w:sz w:val="30"/>
        </w:rPr>
        <w:t xml:space="preserve">证书编号：国环评证乙字第 </w:t>
      </w:r>
      <w:r>
        <w:rPr>
          <w:rFonts w:ascii="Times New Roman" w:eastAsia="Times New Roman"/>
          <w:b/>
          <w:sz w:val="30"/>
        </w:rPr>
        <w:t xml:space="preserve">2027 </w:t>
      </w:r>
      <w:r>
        <w:rPr>
          <w:rFonts w:ascii="Microsoft JhengHei" w:eastAsia="Microsoft JhengHei"/>
          <w:b/>
          <w:sz w:val="30"/>
        </w:rPr>
        <w:t>号</w:t>
      </w:r>
      <w:bookmarkStart w:id="0" w:name="_bookmark0"/>
      <w:bookmarkEnd w:id="0"/>
      <w:r>
        <w:rPr>
          <w:rFonts w:ascii="黑体" w:eastAsia="黑体"/>
          <w:spacing w:val="-2"/>
          <w:sz w:val="28"/>
        </w:rPr>
        <w:t>编制日期：二〇一四年四月</w:t>
      </w:r>
    </w:p>
    <w:p>
      <w:pPr>
        <w:spacing w:after="0" w:line="276" w:lineRule="auto"/>
        <w:jc w:val="center"/>
        <w:rPr>
          <w:rFonts w:ascii="黑体" w:eastAsia="黑体"/>
          <w:sz w:val="28"/>
        </w:rPr>
        <w:sectPr>
          <w:type w:val="continuous"/>
          <w:pgSz w:w="11910" w:h="16840"/>
          <w:pgMar w:top="1920" w:right="1380" w:bottom="280" w:left="1680" w:header="708" w:footer="708"/>
          <w:cols w:space="708"/>
        </w:sectPr>
      </w:pPr>
    </w:p>
    <w:p>
      <w:pPr>
        <w:pStyle w:val="Heading1"/>
        <w:spacing w:line="510" w:lineRule="exact"/>
        <w:ind w:left="275" w:right="574" w:firstLine="0"/>
        <w:jc w:val="center"/>
      </w:pPr>
      <w:bookmarkStart w:id="1" w:name="_bookmark1"/>
      <w:bookmarkEnd w:id="1"/>
      <w:r>
        <w:t>目</w:t>
      </w:r>
      <w:r>
        <w:rPr>
          <w:spacing w:val="41"/>
          <w:w w:val="150"/>
        </w:rPr>
        <w:t xml:space="preserve"> </w:t>
      </w:r>
      <w:r>
        <w:rPr>
          <w:spacing w:val="-10"/>
        </w:rPr>
        <w:t>录</w:t>
      </w:r>
    </w:p>
    <w:p>
      <w:pPr>
        <w:spacing w:after="0" w:line="510" w:lineRule="exact"/>
        <w:jc w:val="center"/>
        <w:sectPr>
          <w:pgSz w:w="11910" w:h="16840"/>
          <w:pgMar w:top="1400" w:right="1380" w:bottom="1649" w:left="1680" w:header="708" w:footer="708"/>
          <w:pgNumType w:start="2"/>
          <w:cols w:space="708"/>
        </w:sectPr>
      </w:pPr>
    </w:p>
    <w:sdt>
      <w:sdtPr>
        <w:id w:val="122672405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725"/>
            </w:tabs>
            <w:spacing w:before="137"/>
            <w:ind w:left="120" w:firstLine="0"/>
          </w:pPr>
          <w:hyperlink w:anchor="_bookmark0" w:history="1">
            <w:r>
              <w:t>编制日期：二〇一四年四</w:t>
            </w:r>
            <w:r>
              <w:rPr>
                <w:spacing w:val="-10"/>
              </w:rPr>
              <w:t>月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10"/>
              </w:rPr>
              <w:t>1</w:t>
            </w:r>
          </w:hyperlink>
        </w:p>
        <w:p>
          <w:pPr>
            <w:pStyle w:val="TOC1"/>
            <w:spacing w:before="27"/>
            <w:ind w:left="120" w:firstLine="0"/>
          </w:pPr>
          <w:hyperlink w:anchor="_bookmark1" w:history="1">
            <w:r>
              <w:rPr>
                <w:spacing w:val="29"/>
              </w:rPr>
              <w:t>目 录</w:t>
            </w:r>
            <w:r>
              <w:rPr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27"/>
            </w:numPr>
            <w:tabs>
              <w:tab w:val="left" w:pos="480"/>
              <w:tab w:val="left" w:pos="481"/>
              <w:tab w:val="right" w:leader="dot" w:pos="8725"/>
            </w:tabs>
            <w:spacing w:before="27" w:after="0" w:line="240" w:lineRule="auto"/>
            <w:ind w:left="480" w:right="0" w:hanging="361"/>
            <w:jc w:val="left"/>
          </w:pPr>
          <w:hyperlink w:anchor="_TOC_250058" w:history="1">
            <w:r>
              <w:t>建设项目概</w:t>
            </w:r>
            <w:r>
              <w:rPr>
                <w:spacing w:val="-10"/>
              </w:rPr>
              <w:t>况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10"/>
              </w:rPr>
              <w:t>1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7"/>
            </w:tabs>
            <w:spacing w:before="19" w:after="0" w:line="240" w:lineRule="auto"/>
            <w:ind w:left="960" w:right="0" w:hanging="557"/>
            <w:jc w:val="left"/>
            <w:rPr>
              <w:rFonts w:ascii="微软雅黑 Light" w:eastAsia="微软雅黑 Light"/>
              <w:b w:val="0"/>
            </w:rPr>
          </w:pPr>
          <w:r>
            <w:rPr>
              <w:rFonts w:ascii="微软雅黑 Light" w:eastAsia="微软雅黑 Light"/>
              <w:b w:val="0"/>
            </w:rPr>
            <w:t>建</w:t>
          </w:r>
          <w:r>
            <w:t>设项目基本情</w:t>
          </w:r>
          <w:r>
            <w:rPr>
              <w:spacing w:val="-10"/>
            </w:rPr>
            <w:t>况</w:t>
          </w:r>
          <w:r>
            <w:rPr>
              <w:rFonts w:ascii="Times New Roman" w:eastAsia="Times New Roman"/>
            </w:rPr>
            <w:tab/>
          </w:r>
          <w:r>
            <w:rPr>
              <w:rFonts w:ascii="微软雅黑 Light" w:eastAsia="微软雅黑 Light"/>
              <w:b w:val="0"/>
              <w:spacing w:val="-10"/>
            </w:rPr>
            <w:t>1</w:t>
          </w:r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193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57" w:history="1">
            <w:r>
              <w:t>基本情况介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1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1"/>
              <w:tab w:val="right" w:leader="dot" w:pos="8726"/>
            </w:tabs>
            <w:spacing w:before="16" w:after="0" w:line="240" w:lineRule="auto"/>
            <w:ind w:left="960" w:right="0" w:hanging="558"/>
            <w:jc w:val="left"/>
            <w:rPr>
              <w:rFonts w:ascii="微软雅黑 Light" w:eastAsia="微软雅黑 Light"/>
              <w:b w:val="0"/>
            </w:rPr>
          </w:pPr>
          <w:hyperlink w:anchor="_TOC_250056" w:history="1">
            <w:r>
              <w:t>与产业政策和规划相符性分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10"/>
              </w:rPr>
              <w:t>3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1"/>
              <w:tab w:val="right" w:leader="dot" w:pos="8726"/>
            </w:tabs>
            <w:spacing w:before="165" w:after="0" w:line="240" w:lineRule="auto"/>
            <w:ind w:left="960" w:right="0" w:hanging="558"/>
            <w:jc w:val="left"/>
            <w:rPr>
              <w:rFonts w:ascii="微软雅黑 Light" w:eastAsia="微软雅黑 Light"/>
              <w:b w:val="0"/>
            </w:rPr>
          </w:pPr>
          <w:hyperlink w:anchor="_TOC_250055" w:history="1">
            <w:r>
              <w:t>选址合理性分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10"/>
              </w:rPr>
              <w:t>4</w:t>
            </w:r>
          </w:hyperlink>
        </w:p>
        <w:p>
          <w:pPr>
            <w:pStyle w:val="TOC1"/>
            <w:numPr>
              <w:ilvl w:val="0"/>
              <w:numId w:val="27"/>
            </w:numPr>
            <w:tabs>
              <w:tab w:val="left" w:pos="749"/>
              <w:tab w:val="left" w:pos="750"/>
              <w:tab w:val="right" w:leader="dot" w:pos="8725"/>
            </w:tabs>
            <w:spacing w:before="173" w:after="0" w:line="240" w:lineRule="auto"/>
            <w:ind w:left="750" w:right="0" w:hanging="630"/>
            <w:jc w:val="left"/>
          </w:pPr>
          <w:hyperlink w:anchor="_TOC_250054" w:history="1">
            <w:r>
              <w:t>建设项目周围环境现</w:t>
            </w:r>
            <w:r>
              <w:rPr>
                <w:spacing w:val="-10"/>
              </w:rPr>
              <w:t>状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10"/>
              </w:rPr>
              <w:t>5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9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53" w:history="1">
            <w:r>
              <w:rPr>
                <w:rFonts w:ascii="微软雅黑 Light" w:eastAsia="微软雅黑 Light"/>
                <w:b w:val="0"/>
              </w:rPr>
              <w:t>自然</w:t>
            </w:r>
            <w:r>
              <w:t>环境现状调</w:t>
            </w:r>
            <w:r>
              <w:rPr>
                <w:spacing w:val="-10"/>
              </w:rPr>
              <w:t>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10"/>
              </w:rPr>
              <w:t>5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193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52" w:history="1">
            <w:r>
              <w:t>地理位</w:t>
            </w:r>
            <w:r>
              <w:rPr>
                <w:spacing w:val="-10"/>
              </w:rPr>
              <w:t>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43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51" w:history="1">
            <w:r>
              <w:t>气候、气</w:t>
            </w:r>
            <w:r>
              <w:rPr>
                <w:spacing w:val="-10"/>
              </w:rPr>
              <w:t>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43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50" w:history="1">
            <w:r>
              <w:t>水</w:t>
            </w:r>
            <w:r>
              <w:rPr>
                <w:spacing w:val="-10"/>
              </w:rPr>
              <w:t>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5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49" w:history="1">
            <w:r>
              <w:t>评价范</w:t>
            </w:r>
            <w:r>
              <w:rPr>
                <w:spacing w:val="-10"/>
              </w:rPr>
              <w:t>围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10"/>
              </w:rPr>
              <w:t>7</w:t>
            </w:r>
          </w:hyperlink>
        </w:p>
        <w:p>
          <w:pPr>
            <w:pStyle w:val="TOC1"/>
            <w:numPr>
              <w:ilvl w:val="0"/>
              <w:numId w:val="27"/>
            </w:numPr>
            <w:tabs>
              <w:tab w:val="left" w:pos="749"/>
              <w:tab w:val="left" w:pos="750"/>
              <w:tab w:val="right" w:leader="dot" w:pos="8725"/>
            </w:tabs>
            <w:spacing w:before="173" w:after="0" w:line="240" w:lineRule="auto"/>
            <w:ind w:left="750" w:right="0" w:hanging="630"/>
            <w:jc w:val="left"/>
          </w:pPr>
          <w:hyperlink w:anchor="_TOC_250048" w:history="1">
            <w:r>
              <w:t>建设项目施工期和营运期环境影响分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10"/>
              </w:rPr>
              <w:t>9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20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47" w:history="1">
            <w:r>
              <w:rPr>
                <w:rFonts w:ascii="微软雅黑 Light" w:eastAsia="微软雅黑 Light"/>
                <w:b w:val="0"/>
              </w:rPr>
              <w:t>施工期</w:t>
            </w:r>
            <w:r>
              <w:t>污染源</w:t>
            </w:r>
            <w:r>
              <w:rPr>
                <w:spacing w:val="-10"/>
              </w:rPr>
              <w:t>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10"/>
              </w:rPr>
              <w:t>9</w:t>
            </w:r>
          </w:hyperlink>
        </w:p>
        <w:p>
          <w:pPr>
            <w:pStyle w:val="TOC2"/>
            <w:numPr>
              <w:ilvl w:val="2"/>
              <w:numId w:val="27"/>
            </w:numPr>
            <w:tabs>
              <w:tab w:val="left" w:pos="897"/>
              <w:tab w:val="right" w:leader="dot" w:pos="8726"/>
            </w:tabs>
            <w:spacing w:before="165" w:after="0" w:line="240" w:lineRule="auto"/>
            <w:ind w:left="896" w:right="0" w:hanging="494"/>
            <w:jc w:val="left"/>
            <w:rPr>
              <w:rFonts w:ascii="微软雅黑 Light" w:eastAsia="微软雅黑 Light"/>
              <w:b w:val="0"/>
            </w:rPr>
          </w:pPr>
          <w:hyperlink w:anchor="_TOC_250046" w:history="1">
            <w:r>
              <w:rPr>
                <w:rFonts w:ascii="微软雅黑 Light" w:eastAsia="微软雅黑 Light"/>
                <w:b w:val="0"/>
              </w:rPr>
              <w:t>水</w:t>
            </w:r>
            <w:r>
              <w:t>环境影响分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10"/>
              </w:rPr>
              <w:t>9</w:t>
            </w:r>
          </w:hyperlink>
        </w:p>
        <w:p>
          <w:pPr>
            <w:pStyle w:val="TOC3"/>
            <w:numPr>
              <w:ilvl w:val="3"/>
              <w:numId w:val="27"/>
            </w:numPr>
            <w:tabs>
              <w:tab w:val="left" w:pos="1710"/>
              <w:tab w:val="right" w:leader="dot" w:pos="8415"/>
            </w:tabs>
            <w:spacing w:before="193" w:after="0" w:line="240" w:lineRule="auto"/>
            <w:ind w:left="1710" w:right="0" w:hanging="630"/>
            <w:jc w:val="left"/>
            <w:rPr>
              <w:rFonts w:ascii="Times New Roman" w:eastAsia="Times New Roman"/>
            </w:rPr>
          </w:pPr>
          <w:hyperlink w:anchor="_TOC_250045" w:history="1">
            <w:r>
              <w:t>主要废水污染</w:t>
            </w:r>
            <w:r>
              <w:rPr>
                <w:spacing w:val="-10"/>
              </w:rPr>
              <w:t>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3"/>
            <w:numPr>
              <w:ilvl w:val="3"/>
              <w:numId w:val="27"/>
            </w:numPr>
            <w:tabs>
              <w:tab w:val="left" w:pos="1763"/>
              <w:tab w:val="right" w:leader="dot" w:pos="8415"/>
            </w:tabs>
            <w:spacing w:before="43" w:after="0" w:line="240" w:lineRule="auto"/>
            <w:ind w:left="1762" w:right="0" w:hanging="683"/>
            <w:jc w:val="left"/>
            <w:rPr>
              <w:rFonts w:ascii="Times New Roman" w:eastAsia="Times New Roman"/>
            </w:rPr>
          </w:pPr>
          <w:hyperlink w:anchor="_TOC_250044" w:history="1">
            <w:r>
              <w:t>废水影响分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3"/>
            <w:numPr>
              <w:ilvl w:val="3"/>
              <w:numId w:val="27"/>
            </w:numPr>
            <w:tabs>
              <w:tab w:val="left" w:pos="1763"/>
              <w:tab w:val="right" w:leader="dot" w:pos="8415"/>
            </w:tabs>
            <w:spacing w:before="43" w:after="0" w:line="240" w:lineRule="auto"/>
            <w:ind w:left="1762" w:right="0" w:hanging="683"/>
            <w:jc w:val="left"/>
            <w:rPr>
              <w:rFonts w:ascii="Times New Roman" w:eastAsia="Times New Roman"/>
            </w:rPr>
          </w:pPr>
          <w:hyperlink w:anchor="_TOC_250043" w:history="1">
            <w:r>
              <w:t>水污染防治对</w:t>
            </w:r>
            <w:r>
              <w:rPr>
                <w:spacing w:val="-10"/>
              </w:rPr>
              <w:t>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2"/>
            <w:numPr>
              <w:ilvl w:val="2"/>
              <w:numId w:val="27"/>
            </w:numPr>
            <w:tabs>
              <w:tab w:val="left" w:pos="938"/>
              <w:tab w:val="right" w:leader="dot" w:pos="8726"/>
            </w:tabs>
            <w:spacing w:before="15" w:after="0" w:line="240" w:lineRule="auto"/>
            <w:ind w:left="937" w:right="0" w:hanging="535"/>
            <w:jc w:val="left"/>
            <w:rPr>
              <w:rFonts w:ascii="微软雅黑 Light" w:eastAsia="微软雅黑 Light"/>
              <w:b w:val="0"/>
            </w:rPr>
          </w:pPr>
          <w:hyperlink w:anchor="_TOC_250042" w:history="1">
            <w:r>
              <w:rPr>
                <w:rFonts w:ascii="微软雅黑 Light" w:eastAsia="微软雅黑 Light"/>
                <w:b w:val="0"/>
              </w:rPr>
              <w:t>大</w:t>
            </w:r>
            <w:r>
              <w:t>气环境影响分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10</w:t>
            </w:r>
          </w:hyperlink>
        </w:p>
        <w:p>
          <w:pPr>
            <w:pStyle w:val="TOC2"/>
            <w:numPr>
              <w:ilvl w:val="3"/>
              <w:numId w:val="27"/>
            </w:numPr>
            <w:tabs>
              <w:tab w:val="left" w:pos="1088"/>
              <w:tab w:val="right" w:leader="dot" w:pos="8726"/>
            </w:tabs>
            <w:spacing w:before="166" w:after="0" w:line="240" w:lineRule="auto"/>
            <w:ind w:left="1087" w:right="0" w:hanging="685"/>
            <w:jc w:val="left"/>
            <w:rPr>
              <w:rFonts w:ascii="微软雅黑 Light" w:eastAsia="微软雅黑 Light"/>
              <w:b w:val="0"/>
            </w:rPr>
          </w:pPr>
          <w:hyperlink w:anchor="_TOC_250041" w:history="1">
            <w:r>
              <w:rPr>
                <w:rFonts w:ascii="微软雅黑 Light" w:eastAsia="微软雅黑 Light"/>
                <w:b w:val="0"/>
              </w:rPr>
              <w:t>主要</w:t>
            </w:r>
            <w:r>
              <w:t>废气污染</w:t>
            </w:r>
            <w:r>
              <w:rPr>
                <w:spacing w:val="-10"/>
              </w:rPr>
              <w:t>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10</w:t>
            </w:r>
          </w:hyperlink>
        </w:p>
        <w:p>
          <w:pPr>
            <w:pStyle w:val="TOC3"/>
            <w:numPr>
              <w:ilvl w:val="3"/>
              <w:numId w:val="26"/>
            </w:numPr>
            <w:tabs>
              <w:tab w:val="left" w:pos="3480"/>
              <w:tab w:val="left" w:pos="3481"/>
              <w:tab w:val="right" w:leader="dot" w:pos="8415"/>
            </w:tabs>
            <w:spacing w:before="193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40" w:history="1">
            <w:r>
              <w:t>废气影响分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numPr>
              <w:ilvl w:val="0"/>
              <w:numId w:val="25"/>
            </w:numPr>
            <w:tabs>
              <w:tab w:val="left" w:pos="723"/>
              <w:tab w:val="right" w:leader="dot" w:pos="8725"/>
            </w:tabs>
            <w:spacing w:before="22" w:after="0" w:line="240" w:lineRule="auto"/>
            <w:ind w:left="722" w:right="0" w:hanging="603"/>
            <w:jc w:val="left"/>
          </w:pPr>
          <w:r>
            <w:t>施工沥清烟影响分</w:t>
          </w:r>
          <w:r>
            <w:rPr>
              <w:spacing w:val="-10"/>
            </w:rPr>
            <w:t>析</w:t>
          </w:r>
          <w:r>
            <w:rPr>
              <w:rFonts w:ascii="Times New Roman" w:eastAsia="Times New Roman"/>
              <w:b w:val="0"/>
            </w:rPr>
            <w:tab/>
          </w:r>
          <w:r>
            <w:rPr>
              <w:spacing w:val="-5"/>
            </w:rPr>
            <w:t>12</w:t>
          </w:r>
        </w:p>
        <w:p>
          <w:pPr>
            <w:pStyle w:val="TOC2"/>
            <w:numPr>
              <w:ilvl w:val="2"/>
              <w:numId w:val="27"/>
            </w:numPr>
            <w:tabs>
              <w:tab w:val="left" w:pos="938"/>
              <w:tab w:val="right" w:leader="dot" w:pos="8726"/>
            </w:tabs>
            <w:spacing w:before="20" w:after="0" w:line="240" w:lineRule="auto"/>
            <w:ind w:left="937" w:right="0" w:hanging="535"/>
            <w:jc w:val="left"/>
            <w:rPr>
              <w:rFonts w:ascii="微软雅黑 Light" w:eastAsia="微软雅黑 Light"/>
              <w:b w:val="0"/>
            </w:rPr>
          </w:pPr>
          <w:hyperlink w:anchor="_TOC_250039" w:history="1">
            <w:r>
              <w:t>声环境影响分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13</w:t>
            </w:r>
          </w:hyperlink>
        </w:p>
        <w:p>
          <w:pPr>
            <w:pStyle w:val="TOC3"/>
            <w:numPr>
              <w:ilvl w:val="3"/>
              <w:numId w:val="27"/>
            </w:numPr>
            <w:tabs>
              <w:tab w:val="left" w:pos="1710"/>
              <w:tab w:val="right" w:leader="dot" w:pos="8415"/>
            </w:tabs>
            <w:spacing w:before="193" w:after="0" w:line="240" w:lineRule="auto"/>
            <w:ind w:left="1710" w:right="0" w:hanging="630"/>
            <w:jc w:val="left"/>
            <w:rPr>
              <w:rFonts w:ascii="Times New Roman" w:eastAsia="Times New Roman"/>
            </w:rPr>
          </w:pPr>
          <w:hyperlink w:anchor="_TOC_250038" w:history="1">
            <w:r>
              <w:t>主要噪声污染</w:t>
            </w:r>
            <w:r>
              <w:rPr>
                <w:spacing w:val="-10"/>
              </w:rPr>
              <w:t>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3"/>
            <w:numPr>
              <w:ilvl w:val="3"/>
              <w:numId w:val="27"/>
            </w:numPr>
            <w:tabs>
              <w:tab w:val="left" w:pos="1710"/>
              <w:tab w:val="right" w:leader="dot" w:pos="8415"/>
            </w:tabs>
            <w:spacing w:before="43" w:after="0" w:line="240" w:lineRule="auto"/>
            <w:ind w:left="1710" w:right="0" w:hanging="630"/>
            <w:jc w:val="left"/>
            <w:rPr>
              <w:rFonts w:ascii="Times New Roman" w:eastAsia="Times New Roman"/>
            </w:rPr>
          </w:pPr>
          <w:hyperlink w:anchor="_TOC_250037" w:history="1">
            <w:r>
              <w:t>噪声影响分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3"/>
            <w:numPr>
              <w:ilvl w:val="3"/>
              <w:numId w:val="27"/>
            </w:numPr>
            <w:tabs>
              <w:tab w:val="left" w:pos="1710"/>
              <w:tab w:val="right" w:leader="dot" w:pos="8415"/>
            </w:tabs>
            <w:spacing w:before="43" w:after="0" w:line="240" w:lineRule="auto"/>
            <w:ind w:left="1710" w:right="0" w:hanging="630"/>
            <w:jc w:val="left"/>
            <w:rPr>
              <w:rFonts w:ascii="Times New Roman" w:eastAsia="Times New Roman"/>
            </w:rPr>
          </w:pPr>
          <w:hyperlink w:anchor="_TOC_250036" w:history="1">
            <w:r>
              <w:t>噪声污染防治对</w:t>
            </w:r>
            <w:r>
              <w:rPr>
                <w:spacing w:val="-10"/>
              </w:rPr>
              <w:t>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2"/>
            <w:numPr>
              <w:ilvl w:val="0"/>
              <w:numId w:val="24"/>
            </w:numPr>
            <w:tabs>
              <w:tab w:val="left" w:pos="596"/>
              <w:tab w:val="right" w:leader="dot" w:pos="8726"/>
            </w:tabs>
            <w:spacing w:before="15" w:after="0" w:line="240" w:lineRule="auto"/>
            <w:ind w:left="595" w:right="0" w:hanging="193"/>
            <w:jc w:val="left"/>
            <w:rPr>
              <w:rFonts w:ascii="微软雅黑 Light" w:eastAsia="微软雅黑 Light"/>
              <w:b w:val="0"/>
            </w:rPr>
          </w:pPr>
          <w:hyperlink w:anchor="_TOC_250035" w:history="1">
            <w:r>
              <w:rPr>
                <w:rFonts w:ascii="微软雅黑 Light" w:eastAsia="微软雅黑 Light"/>
                <w:b w:val="0"/>
              </w:rPr>
              <w:t>.1.4</w:t>
            </w:r>
            <w:r>
              <w:rPr>
                <w:rFonts w:ascii="微软雅黑 Light" w:eastAsia="微软雅黑 Light"/>
                <w:b w:val="0"/>
                <w:spacing w:val="-13"/>
              </w:rPr>
              <w:t xml:space="preserve"> </w:t>
            </w:r>
            <w:r>
              <w:rPr>
                <w:rFonts w:ascii="微软雅黑 Light" w:eastAsia="微软雅黑 Light"/>
                <w:b w:val="0"/>
              </w:rPr>
              <w:t>固</w:t>
            </w:r>
            <w:r>
              <w:t>废环境影响分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7"/>
              </w:rPr>
              <w:t>17</w:t>
            </w:r>
          </w:hyperlink>
        </w:p>
        <w:p>
          <w:pPr>
            <w:pStyle w:val="TOC3"/>
            <w:numPr>
              <w:ilvl w:val="3"/>
              <w:numId w:val="23"/>
            </w:numPr>
            <w:tabs>
              <w:tab w:val="left" w:pos="1710"/>
              <w:tab w:val="right" w:leader="dot" w:pos="8415"/>
            </w:tabs>
            <w:spacing w:before="193" w:after="20" w:line="240" w:lineRule="auto"/>
            <w:ind w:left="1710" w:right="0" w:hanging="630"/>
            <w:jc w:val="left"/>
            <w:rPr>
              <w:rFonts w:ascii="Times New Roman" w:eastAsia="Times New Roman"/>
            </w:rPr>
          </w:pPr>
          <w:hyperlink w:anchor="_TOC_250034" w:history="1">
            <w:r>
              <w:t>主要固废来</w:t>
            </w:r>
            <w:r>
              <w:rPr>
                <w:spacing w:val="-10"/>
              </w:rPr>
              <w:t>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3"/>
            <w:numPr>
              <w:ilvl w:val="3"/>
              <w:numId w:val="23"/>
            </w:numPr>
            <w:tabs>
              <w:tab w:val="left" w:pos="1710"/>
              <w:tab w:val="right" w:leader="dot" w:pos="8415"/>
            </w:tabs>
            <w:spacing w:before="65" w:after="0" w:line="240" w:lineRule="auto"/>
            <w:ind w:left="1710" w:right="0" w:hanging="630"/>
            <w:jc w:val="left"/>
            <w:rPr>
              <w:rFonts w:ascii="Times New Roman" w:eastAsia="Times New Roman"/>
            </w:rPr>
            <w:sectPr>
              <w:type w:val="continuous"/>
              <w:pgSz w:w="11910" w:h="16840"/>
              <w:pgMar w:top="1400" w:right="1380" w:bottom="1649" w:left="1680" w:header="708" w:footer="708"/>
              <w:pgNumType w:start="3"/>
              <w:cols w:space="708"/>
            </w:sectPr>
          </w:pPr>
          <w:hyperlink w:anchor="_TOC_250033" w:history="1">
            <w:r>
              <w:t>固废影响分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</w:sdtContent>
    </w:sdt>
    <w:sdt>
      <w:sdtPr>
        <w:id w:val="904951870"/>
        <w:docPartObj>
          <w:docPartGallery w:val="Table of Contents"/>
          <w:docPartUnique/>
        </w:docPartObj>
      </w:sdtPr>
      <w:sdtContent>
        <w:p>
          <w:pPr>
            <w:pStyle w:val="TOC3"/>
            <w:numPr>
              <w:ilvl w:val="3"/>
              <w:numId w:val="23"/>
            </w:numPr>
            <w:tabs>
              <w:tab w:val="left" w:pos="1763"/>
              <w:tab w:val="right" w:leader="dot" w:pos="8415"/>
            </w:tabs>
            <w:spacing w:before="43" w:after="0" w:line="240" w:lineRule="auto"/>
            <w:ind w:left="1762" w:right="0" w:hanging="683"/>
            <w:jc w:val="left"/>
            <w:rPr>
              <w:rFonts w:ascii="Times New Roman" w:eastAsia="Times New Roman"/>
            </w:rPr>
          </w:pPr>
          <w:hyperlink w:anchor="_TOC_250032" w:history="1">
            <w:r>
              <w:t>固废污染防治对</w:t>
            </w:r>
            <w:r>
              <w:rPr>
                <w:spacing w:val="-10"/>
              </w:rPr>
              <w:t>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2"/>
            <w:numPr>
              <w:ilvl w:val="2"/>
              <w:numId w:val="22"/>
            </w:numPr>
            <w:tabs>
              <w:tab w:val="left" w:pos="973"/>
              <w:tab w:val="right" w:leader="dot" w:pos="8726"/>
            </w:tabs>
            <w:spacing w:before="15" w:after="0" w:line="240" w:lineRule="auto"/>
            <w:ind w:left="972" w:right="0" w:hanging="570"/>
            <w:jc w:val="left"/>
            <w:rPr>
              <w:rFonts w:ascii="微软雅黑 Light" w:eastAsia="微软雅黑 Light"/>
              <w:b w:val="0"/>
            </w:rPr>
          </w:pPr>
          <w:hyperlink w:anchor="_TOC_250031" w:history="1">
            <w:r>
              <w:rPr>
                <w:rFonts w:ascii="微软雅黑 Light" w:eastAsia="微软雅黑 Light"/>
                <w:b w:val="0"/>
              </w:rPr>
              <w:t>生</w:t>
            </w:r>
            <w:r>
              <w:t>态环境影响和水土流失分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18</w:t>
            </w:r>
          </w:hyperlink>
        </w:p>
        <w:p>
          <w:pPr>
            <w:pStyle w:val="TOC3"/>
            <w:numPr>
              <w:ilvl w:val="3"/>
              <w:numId w:val="22"/>
            </w:numPr>
            <w:tabs>
              <w:tab w:val="left" w:pos="1763"/>
              <w:tab w:val="right" w:leader="dot" w:pos="8415"/>
            </w:tabs>
            <w:spacing w:before="193" w:after="0" w:line="240" w:lineRule="auto"/>
            <w:ind w:left="1762" w:right="0" w:hanging="683"/>
            <w:jc w:val="left"/>
            <w:rPr>
              <w:rFonts w:ascii="Times New Roman" w:eastAsia="Times New Roman"/>
            </w:rPr>
          </w:pPr>
          <w:hyperlink w:anchor="_TOC_250030" w:history="1">
            <w:r>
              <w:t>对动物的影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3"/>
            <w:numPr>
              <w:ilvl w:val="3"/>
              <w:numId w:val="22"/>
            </w:numPr>
            <w:tabs>
              <w:tab w:val="left" w:pos="1710"/>
              <w:tab w:val="right" w:leader="dot" w:pos="8415"/>
            </w:tabs>
            <w:spacing w:before="43" w:after="0" w:line="240" w:lineRule="auto"/>
            <w:ind w:left="1710" w:right="0" w:hanging="630"/>
            <w:jc w:val="left"/>
            <w:rPr>
              <w:rFonts w:ascii="Times New Roman" w:eastAsia="Times New Roman"/>
            </w:rPr>
          </w:pPr>
          <w:hyperlink w:anchor="_TOC_250029" w:history="1">
            <w:r>
              <w:t>对植被的影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3"/>
            <w:numPr>
              <w:ilvl w:val="3"/>
              <w:numId w:val="22"/>
            </w:numPr>
            <w:tabs>
              <w:tab w:val="left" w:pos="1710"/>
              <w:tab w:val="right" w:leader="dot" w:pos="8415"/>
            </w:tabs>
            <w:spacing w:before="43" w:after="0" w:line="240" w:lineRule="auto"/>
            <w:ind w:left="1710" w:right="0" w:hanging="630"/>
            <w:jc w:val="left"/>
            <w:rPr>
              <w:rFonts w:ascii="Times New Roman" w:eastAsia="Times New Roman"/>
            </w:rPr>
          </w:pPr>
          <w:hyperlink w:anchor="_TOC_250028" w:history="1">
            <w:r>
              <w:t>水土流</w:t>
            </w:r>
            <w:r>
              <w:rPr>
                <w:spacing w:val="-10"/>
              </w:rPr>
              <w:t>失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3"/>
            <w:numPr>
              <w:ilvl w:val="3"/>
              <w:numId w:val="22"/>
            </w:numPr>
            <w:tabs>
              <w:tab w:val="left" w:pos="1763"/>
              <w:tab w:val="right" w:leader="dot" w:pos="8415"/>
            </w:tabs>
            <w:spacing w:before="43" w:after="0" w:line="240" w:lineRule="auto"/>
            <w:ind w:left="1762" w:right="0" w:hanging="683"/>
            <w:jc w:val="left"/>
            <w:rPr>
              <w:rFonts w:ascii="Times New Roman" w:eastAsia="Times New Roman"/>
            </w:rPr>
          </w:pPr>
          <w:hyperlink w:anchor="_TOC_250027" w:history="1">
            <w:r>
              <w:t>生态影响和水土流失的减缓措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2"/>
            <w:numPr>
              <w:ilvl w:val="2"/>
              <w:numId w:val="22"/>
            </w:numPr>
            <w:tabs>
              <w:tab w:val="left" w:pos="973"/>
              <w:tab w:val="right" w:leader="dot" w:pos="8726"/>
            </w:tabs>
            <w:spacing w:before="16" w:after="0" w:line="240" w:lineRule="auto"/>
            <w:ind w:left="972" w:right="0" w:hanging="570"/>
            <w:jc w:val="left"/>
            <w:rPr>
              <w:rFonts w:ascii="微软雅黑 Light" w:eastAsia="微软雅黑 Light"/>
              <w:b w:val="0"/>
            </w:rPr>
          </w:pPr>
          <w:hyperlink w:anchor="_TOC_250026" w:history="1">
            <w:r>
              <w:t>桥梁施工的影响分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19</w:t>
            </w:r>
          </w:hyperlink>
        </w:p>
        <w:p>
          <w:pPr>
            <w:pStyle w:val="TOC3"/>
            <w:numPr>
              <w:ilvl w:val="3"/>
              <w:numId w:val="22"/>
            </w:numPr>
            <w:tabs>
              <w:tab w:val="left" w:pos="1763"/>
              <w:tab w:val="right" w:leader="dot" w:pos="8415"/>
            </w:tabs>
            <w:spacing w:before="192" w:after="0" w:line="240" w:lineRule="auto"/>
            <w:ind w:left="1762" w:right="0" w:hanging="683"/>
            <w:jc w:val="left"/>
            <w:rPr>
              <w:rFonts w:ascii="Times New Roman" w:eastAsia="Times New Roman"/>
            </w:rPr>
          </w:pPr>
          <w:hyperlink w:anchor="_TOC_250025" w:history="1">
            <w:r>
              <w:t>桥梁施工对地表水水质和水生生态环境的影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3"/>
            <w:numPr>
              <w:ilvl w:val="3"/>
              <w:numId w:val="22"/>
            </w:numPr>
            <w:tabs>
              <w:tab w:val="left" w:pos="1763"/>
              <w:tab w:val="right" w:leader="dot" w:pos="8415"/>
            </w:tabs>
            <w:spacing w:before="43" w:after="0" w:line="240" w:lineRule="auto"/>
            <w:ind w:left="1762" w:right="0" w:hanging="683"/>
            <w:jc w:val="left"/>
            <w:rPr>
              <w:rFonts w:ascii="Times New Roman" w:eastAsia="Times New Roman"/>
            </w:rPr>
          </w:pPr>
          <w:hyperlink w:anchor="_TOC_250024" w:history="1">
            <w:r>
              <w:t>桥梁施工对地表水水质和水生生态环境影响的减缓措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2"/>
            <w:numPr>
              <w:ilvl w:val="2"/>
              <w:numId w:val="22"/>
            </w:numPr>
            <w:tabs>
              <w:tab w:val="left" w:pos="934"/>
              <w:tab w:val="right" w:leader="dot" w:pos="8726"/>
            </w:tabs>
            <w:spacing w:before="16" w:after="0" w:line="240" w:lineRule="auto"/>
            <w:ind w:left="933" w:right="0" w:hanging="531"/>
            <w:jc w:val="left"/>
            <w:rPr>
              <w:rFonts w:ascii="微软雅黑 Light" w:eastAsia="微软雅黑 Light"/>
              <w:b w:val="0"/>
            </w:rPr>
          </w:pPr>
          <w:hyperlink w:anchor="_TOC_250023" w:history="1">
            <w:r>
              <w:rPr>
                <w:rFonts w:ascii="微软雅黑 Light" w:eastAsia="微软雅黑 Light"/>
                <w:b w:val="0"/>
              </w:rPr>
              <w:t>施工期</w:t>
            </w:r>
            <w:r>
              <w:t>对交通运输的影响分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20</w:t>
            </w:r>
          </w:hyperlink>
        </w:p>
        <w:p>
          <w:pPr>
            <w:pStyle w:val="TOC3"/>
            <w:numPr>
              <w:ilvl w:val="3"/>
              <w:numId w:val="22"/>
            </w:numPr>
            <w:tabs>
              <w:tab w:val="left" w:pos="1763"/>
              <w:tab w:val="right" w:leader="dot" w:pos="8415"/>
            </w:tabs>
            <w:spacing w:before="193" w:after="0" w:line="240" w:lineRule="auto"/>
            <w:ind w:left="1762" w:right="0" w:hanging="683"/>
            <w:jc w:val="left"/>
            <w:rPr>
              <w:rFonts w:ascii="Times New Roman" w:eastAsia="Times New Roman"/>
            </w:rPr>
          </w:pPr>
          <w:hyperlink w:anchor="_TOC_250022" w:history="1">
            <w:r>
              <w:t>对交通运输的影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3"/>
            <w:numPr>
              <w:ilvl w:val="3"/>
              <w:numId w:val="22"/>
            </w:numPr>
            <w:tabs>
              <w:tab w:val="left" w:pos="1710"/>
              <w:tab w:val="right" w:leader="dot" w:pos="8415"/>
            </w:tabs>
            <w:spacing w:before="43" w:after="0" w:line="240" w:lineRule="auto"/>
            <w:ind w:left="1710" w:right="0" w:hanging="630"/>
            <w:jc w:val="left"/>
            <w:rPr>
              <w:rFonts w:ascii="Times New Roman" w:eastAsia="Times New Roman"/>
            </w:rPr>
          </w:pPr>
          <w:hyperlink w:anchor="_TOC_250021" w:history="1">
            <w:r>
              <w:t>减缓交通运输的措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5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20" w:history="1">
            <w:r>
              <w:t>运营期污染源</w:t>
            </w:r>
            <w:r>
              <w:rPr>
                <w:spacing w:val="-10"/>
              </w:rPr>
              <w:t>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21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060"/>
              <w:tab w:val="left" w:pos="3061"/>
              <w:tab w:val="right" w:leader="dot" w:pos="8415"/>
            </w:tabs>
            <w:spacing w:before="193" w:after="0" w:line="240" w:lineRule="auto"/>
            <w:ind w:left="3060" w:right="0" w:hanging="1981"/>
            <w:jc w:val="left"/>
            <w:rPr>
              <w:rFonts w:ascii="Times New Roman" w:eastAsia="Times New Roman"/>
            </w:rPr>
          </w:pPr>
          <w:hyperlink w:anchor="_TOC_250019" w:history="1">
            <w:r>
              <w:t>废</w:t>
            </w:r>
            <w:r>
              <w:rPr>
                <w:spacing w:val="-10"/>
              </w:rPr>
              <w:t>气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43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18" w:history="1">
            <w:r>
              <w:t>废</w:t>
            </w:r>
            <w:r>
              <w:rPr>
                <w:spacing w:val="-10"/>
              </w:rPr>
              <w:t>水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43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17" w:history="1">
            <w:r>
              <w:t>噪</w:t>
            </w:r>
            <w:r>
              <w:rPr>
                <w:spacing w:val="-10"/>
              </w:rPr>
              <w:t>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pPr>
            <w:pStyle w:val="TOC1"/>
            <w:tabs>
              <w:tab w:val="right" w:leader="dot" w:pos="8725"/>
            </w:tabs>
            <w:spacing w:before="23"/>
            <w:ind w:left="120" w:firstLine="0"/>
          </w:pPr>
          <w:hyperlink w:anchor="_TOC_250016" w:history="1">
            <w:r>
              <w:rPr>
                <w:spacing w:val="-4"/>
              </w:rPr>
              <w:t>3</w:t>
            </w:r>
            <w:r>
              <w:rPr>
                <w:spacing w:val="-4"/>
              </w:rPr>
              <w:t>、</w:t>
            </w:r>
            <w:r>
              <w:rPr>
                <w:spacing w:val="-4"/>
              </w:rPr>
              <w:t>噪</w:t>
            </w:r>
            <w:r>
              <w:rPr>
                <w:spacing w:val="-4"/>
              </w:rPr>
              <w:t>声</w:t>
            </w:r>
            <w:r>
              <w:rPr>
                <w:spacing w:val="-4"/>
              </w:rPr>
              <w:t>污</w:t>
            </w:r>
            <w:r>
              <w:rPr>
                <w:spacing w:val="-4"/>
              </w:rPr>
              <w:t>染</w:t>
            </w:r>
            <w:r>
              <w:rPr>
                <w:spacing w:val="-4"/>
              </w:rPr>
              <w:t>规</w:t>
            </w:r>
            <w:r>
              <w:rPr>
                <w:spacing w:val="-4"/>
              </w:rPr>
              <w:t>划</w:t>
            </w:r>
            <w:r>
              <w:rPr>
                <w:spacing w:val="-4"/>
              </w:rPr>
              <w:t>控</w:t>
            </w:r>
            <w:r>
              <w:rPr>
                <w:spacing w:val="-4"/>
              </w:rPr>
              <w:t>制</w:t>
            </w:r>
            <w:r>
              <w:rPr>
                <w:spacing w:val="-4"/>
              </w:rPr>
              <w:t>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5"/>
              </w:rPr>
              <w:t>26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47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15" w:history="1">
            <w:r>
              <w:t>固</w:t>
            </w:r>
            <w:r>
              <w:rPr>
                <w:spacing w:val="-10"/>
              </w:rPr>
              <w:t>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5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14" w:history="1">
            <w:r>
              <w:t>环境经济损益分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27</w:t>
            </w:r>
          </w:hyperlink>
        </w:p>
        <w:p>
          <w:pPr>
            <w:pStyle w:val="TOC1"/>
            <w:numPr>
              <w:ilvl w:val="0"/>
              <w:numId w:val="27"/>
            </w:numPr>
            <w:tabs>
              <w:tab w:val="left" w:pos="749"/>
              <w:tab w:val="left" w:pos="750"/>
              <w:tab w:val="right" w:leader="dot" w:pos="8725"/>
            </w:tabs>
            <w:spacing w:before="173" w:after="0" w:line="240" w:lineRule="auto"/>
            <w:ind w:left="750" w:right="0" w:hanging="630"/>
            <w:jc w:val="left"/>
          </w:pPr>
          <w:hyperlink w:anchor="_TOC_250013" w:history="1">
            <w:r>
              <w:t>公众参</w:t>
            </w:r>
            <w:r>
              <w:rPr>
                <w:spacing w:val="-10"/>
              </w:rPr>
              <w:t>与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5"/>
              </w:rPr>
              <w:t>29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9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12" w:history="1">
            <w:r>
              <w:rPr>
                <w:rFonts w:ascii="微软雅黑 Light" w:eastAsia="微软雅黑 Light"/>
                <w:b w:val="0"/>
              </w:rPr>
              <w:t>公</w:t>
            </w:r>
            <w:r>
              <w:t>众参与依</w:t>
            </w:r>
            <w:r>
              <w:rPr>
                <w:spacing w:val="-10"/>
              </w:rPr>
              <w:t>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29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66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11" w:history="1">
            <w:r>
              <w:rPr>
                <w:rFonts w:ascii="微软雅黑 Light" w:eastAsia="微软雅黑 Light"/>
                <w:b w:val="0"/>
              </w:rPr>
              <w:t>公</w:t>
            </w:r>
            <w:r>
              <w:t>众参与原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29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65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10" w:history="1">
            <w:r>
              <w:rPr>
                <w:rFonts w:ascii="微软雅黑 Light" w:eastAsia="微软雅黑 Light"/>
                <w:b w:val="0"/>
              </w:rPr>
              <w:t>公</w:t>
            </w:r>
            <w:r>
              <w:t>众参与对</w:t>
            </w:r>
            <w:r>
              <w:rPr>
                <w:spacing w:val="-10"/>
              </w:rPr>
              <w:t>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29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66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09" w:history="1">
            <w:r>
              <w:rPr>
                <w:rFonts w:ascii="微软雅黑 Light" w:eastAsia="微软雅黑 Light"/>
                <w:b w:val="0"/>
              </w:rPr>
              <w:t>公</w:t>
            </w:r>
            <w:r>
              <w:t>众参与目</w:t>
            </w:r>
            <w:r>
              <w:rPr>
                <w:spacing w:val="-10"/>
              </w:rPr>
              <w:t>的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29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65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08" w:history="1">
            <w:r>
              <w:rPr>
                <w:rFonts w:ascii="微软雅黑 Light" w:eastAsia="微软雅黑 Light"/>
                <w:b w:val="0"/>
              </w:rPr>
              <w:t>公</w:t>
            </w:r>
            <w:r>
              <w:t>众参与方</w:t>
            </w:r>
            <w:r>
              <w:rPr>
                <w:spacing w:val="-10"/>
              </w:rPr>
              <w:t>式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29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193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07" w:history="1">
            <w:r>
              <w:t>媒体公</w:t>
            </w:r>
            <w:r>
              <w:rPr>
                <w:spacing w:val="-10"/>
              </w:rPr>
              <w:t>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29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43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06" w:history="1">
            <w:r>
              <w:t>公众参与调</w:t>
            </w:r>
            <w:r>
              <w:rPr>
                <w:spacing w:val="-10"/>
              </w:rPr>
              <w:t>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30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6" w:after="0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05" w:history="1">
            <w:r>
              <w:rPr>
                <w:rFonts w:ascii="微软雅黑 Light" w:eastAsia="微软雅黑 Light"/>
                <w:b w:val="0"/>
              </w:rPr>
              <w:t>公</w:t>
            </w:r>
            <w:r>
              <w:t>众参与调查结</w:t>
            </w:r>
            <w:r>
              <w:rPr>
                <w:spacing w:val="-10"/>
              </w:rPr>
              <w:t>果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32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192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04" w:history="1">
            <w:r>
              <w:t>公众参与对象人员组成统计结</w:t>
            </w:r>
            <w:r>
              <w:rPr>
                <w:spacing w:val="-10"/>
              </w:rPr>
              <w:t>果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32</w:t>
            </w:r>
          </w:hyperlink>
        </w:p>
        <w:p>
          <w:pPr>
            <w:pStyle w:val="TOC3"/>
            <w:numPr>
              <w:ilvl w:val="2"/>
              <w:numId w:val="27"/>
            </w:numPr>
            <w:tabs>
              <w:tab w:val="left" w:pos="3480"/>
              <w:tab w:val="left" w:pos="3481"/>
              <w:tab w:val="right" w:leader="dot" w:pos="8415"/>
            </w:tabs>
            <w:spacing w:before="43" w:after="0" w:line="240" w:lineRule="auto"/>
            <w:ind w:left="3480" w:right="0" w:hanging="2401"/>
            <w:jc w:val="left"/>
            <w:rPr>
              <w:rFonts w:ascii="Times New Roman" w:eastAsia="Times New Roman"/>
            </w:rPr>
          </w:pPr>
          <w:hyperlink w:anchor="_TOC_250003" w:history="1">
            <w:r>
              <w:t>公众参与调查结果统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33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959"/>
              <w:tab w:val="left" w:pos="960"/>
              <w:tab w:val="right" w:leader="dot" w:pos="8726"/>
            </w:tabs>
            <w:spacing w:before="16" w:after="194" w:line="240" w:lineRule="auto"/>
            <w:ind w:left="959" w:right="0" w:hanging="557"/>
            <w:jc w:val="left"/>
            <w:rPr>
              <w:rFonts w:ascii="微软雅黑 Light" w:eastAsia="微软雅黑 Light"/>
              <w:b w:val="0"/>
            </w:rPr>
          </w:pPr>
          <w:hyperlink w:anchor="_TOC_250002" w:history="1">
            <w:r>
              <w:rPr>
                <w:rFonts w:ascii="微软雅黑 Light" w:eastAsia="微软雅黑 Light"/>
                <w:b w:val="0"/>
              </w:rPr>
              <w:t>公</w:t>
            </w:r>
            <w:r>
              <w:t>众参与结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微软雅黑 Light" w:eastAsia="微软雅黑 Light"/>
                <w:b w:val="0"/>
                <w:spacing w:val="-5"/>
              </w:rPr>
              <w:t>34</w:t>
            </w:r>
          </w:hyperlink>
        </w:p>
        <w:p>
          <w:pPr>
            <w:pStyle w:val="TOC1"/>
            <w:numPr>
              <w:ilvl w:val="0"/>
              <w:numId w:val="27"/>
            </w:numPr>
            <w:tabs>
              <w:tab w:val="left" w:pos="749"/>
              <w:tab w:val="left" w:pos="750"/>
              <w:tab w:val="right" w:leader="dot" w:pos="8725"/>
            </w:tabs>
            <w:spacing w:before="79" w:after="0" w:line="406" w:lineRule="exact"/>
            <w:ind w:left="750" w:right="0" w:hanging="630"/>
            <w:jc w:val="left"/>
            <w:sectPr>
              <w:type w:val="nextPage"/>
              <w:pgSz w:w="11910" w:h="16840"/>
              <w:pgMar w:top="1400" w:right="1380" w:bottom="1649" w:left="1680" w:header="708" w:footer="708"/>
              <w:pgNumType w:start="4"/>
              <w:cols w:space="708"/>
              <w:titlePg w:val="0"/>
            </w:sectPr>
          </w:pPr>
          <w:hyperlink w:anchor="_TOC_250001" w:history="1">
            <w:r>
              <w:t>综合结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5"/>
              </w:rPr>
              <w:t>35</w:t>
            </w:r>
          </w:hyperlink>
        </w:p>
      </w:sdtContent>
    </w:sdt>
    <w:sdt>
      <w:sdtPr>
        <w:id w:val="1079953470"/>
        <w:docPartObj>
          <w:docPartGallery w:val="Table of Contents"/>
          <w:docPartUnique/>
        </w:docPartObj>
      </w:sdtPr>
      <w:sdtContent>
        <w:p>
          <w:pPr>
            <w:pStyle w:val="TOC1"/>
            <w:numPr>
              <w:ilvl w:val="0"/>
              <w:numId w:val="27"/>
            </w:numPr>
            <w:tabs>
              <w:tab w:val="left" w:pos="749"/>
              <w:tab w:val="left" w:pos="750"/>
              <w:tab w:val="right" w:leader="dot" w:pos="8725"/>
            </w:tabs>
            <w:spacing w:before="26" w:after="0" w:line="240" w:lineRule="auto"/>
            <w:ind w:left="750" w:right="0" w:hanging="630"/>
            <w:jc w:val="left"/>
          </w:pPr>
          <w:hyperlink w:anchor="_TOC_250000" w:history="1">
            <w:r>
              <w:t>联系方</w:t>
            </w:r>
            <w:r>
              <w:rPr>
                <w:spacing w:val="-10"/>
              </w:rPr>
              <w:t>式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5"/>
              </w:rPr>
              <w:t>37</w:t>
            </w:r>
          </w:hyperlink>
        </w:p>
      </w:sdtContent>
    </w:sdt>
    <w:p>
      <w:pPr>
        <w:spacing w:after="0" w:line="240" w:lineRule="auto"/>
        <w:jc w:val="left"/>
        <w:sectPr>
          <w:type w:val="nextPage"/>
          <w:pgSz w:w="11910" w:h="16840"/>
          <w:pgMar w:top="1400" w:right="1380" w:bottom="1649" w:left="1680" w:header="708" w:footer="708"/>
          <w:pgNumType w:start="5"/>
          <w:cols w:space="708"/>
          <w:titlePg w:val="0"/>
        </w:sectPr>
      </w:pPr>
    </w:p>
    <w:p>
      <w:pPr>
        <w:pStyle w:val="Heading1"/>
        <w:tabs>
          <w:tab w:val="left" w:pos="3549"/>
        </w:tabs>
        <w:spacing w:line="507" w:lineRule="exact"/>
        <w:ind w:left="3069" w:firstLine="0"/>
      </w:pPr>
      <w:bookmarkStart w:id="2" w:name="_TOC_250058"/>
      <w:r>
        <w:rPr>
          <w:rFonts w:ascii="Times New Roman" w:eastAsia="Times New Roman"/>
          <w:spacing w:val="-10"/>
        </w:rPr>
        <w:t>1</w:t>
      </w:r>
      <w:r>
        <w:rPr>
          <w:rFonts w:ascii="Times New Roman" w:eastAsia="Times New Roman"/>
        </w:rPr>
        <w:tab/>
      </w:r>
      <w:bookmarkEnd w:id="2"/>
      <w:r>
        <w:rPr>
          <w:spacing w:val="-2"/>
        </w:rPr>
        <w:t>建设项目概况</w:t>
      </w:r>
    </w:p>
    <w:p>
      <w:pPr>
        <w:pStyle w:val="Heading3"/>
        <w:spacing w:line="497" w:lineRule="exact"/>
        <w:ind w:left="720" w:firstLine="0"/>
      </w:pPr>
      <w:r>
        <w:rPr>
          <w:spacing w:val="-2"/>
        </w:rPr>
        <w:t>建设项目基本情况</w:t>
      </w:r>
    </w:p>
    <w:p>
      <w:pPr>
        <w:pStyle w:val="Heading4"/>
        <w:numPr>
          <w:ilvl w:val="2"/>
          <w:numId w:val="21"/>
        </w:numPr>
        <w:tabs>
          <w:tab w:val="left" w:pos="959"/>
          <w:tab w:val="left" w:pos="960"/>
        </w:tabs>
        <w:spacing w:before="38" w:after="0" w:line="240" w:lineRule="auto"/>
        <w:ind w:left="960" w:right="0" w:hanging="840"/>
        <w:jc w:val="left"/>
      </w:pPr>
      <w:bookmarkStart w:id="3" w:name="_TOC_250057"/>
      <w:bookmarkEnd w:id="3"/>
      <w:r>
        <w:rPr>
          <w:spacing w:val="-2"/>
        </w:rPr>
        <w:t>基本情况介绍</w:t>
      </w:r>
    </w:p>
    <w:p>
      <w:pPr>
        <w:pStyle w:val="ListParagraph"/>
        <w:numPr>
          <w:ilvl w:val="3"/>
          <w:numId w:val="21"/>
        </w:numPr>
        <w:tabs>
          <w:tab w:val="left" w:pos="961"/>
        </w:tabs>
        <w:spacing w:before="0" w:after="0" w:line="289" w:lineRule="exact"/>
        <w:ind w:left="961" w:right="0" w:hanging="361"/>
        <w:jc w:val="left"/>
        <w:rPr>
          <w:i/>
          <w:sz w:val="24"/>
        </w:rPr>
      </w:pPr>
      <w:r>
        <w:rPr>
          <w:i/>
          <w:sz w:val="24"/>
        </w:rPr>
        <w:t>项目名称：</w:t>
      </w:r>
      <w:r>
        <w:rPr>
          <w:rFonts w:ascii="Times New Roman" w:eastAsia="Times New Roman"/>
          <w:sz w:val="24"/>
        </w:rPr>
        <w:t xml:space="preserve">2014 </w:t>
      </w:r>
      <w:r>
        <w:rPr>
          <w:i/>
          <w:spacing w:val="-2"/>
          <w:sz w:val="24"/>
        </w:rPr>
        <w:t>年新建道路项目；</w:t>
      </w:r>
    </w:p>
    <w:p>
      <w:pPr>
        <w:pStyle w:val="ListParagraph"/>
        <w:numPr>
          <w:ilvl w:val="3"/>
          <w:numId w:val="21"/>
        </w:numPr>
        <w:tabs>
          <w:tab w:val="left" w:pos="961"/>
        </w:tabs>
        <w:spacing w:before="159" w:after="0" w:line="240" w:lineRule="auto"/>
        <w:ind w:left="961" w:right="0" w:hanging="361"/>
        <w:jc w:val="left"/>
        <w:rPr>
          <w:i/>
          <w:sz w:val="24"/>
        </w:rPr>
      </w:pPr>
      <w:r>
        <w:rPr>
          <w:i/>
          <w:spacing w:val="-2"/>
          <w:sz w:val="24"/>
        </w:rPr>
        <w:t>项目性质：新建；</w:t>
      </w:r>
    </w:p>
    <w:p>
      <w:pPr>
        <w:spacing w:before="159"/>
        <w:ind w:left="600" w:right="0" w:firstLine="0"/>
        <w:jc w:val="left"/>
        <w:rPr>
          <w:rFonts w:ascii="Times New Roman" w:eastAsia="Times New Roman"/>
          <w:sz w:val="24"/>
        </w:rPr>
      </w:pPr>
      <w:r>
        <w:rPr>
          <w:rFonts w:ascii="Times New Roman" w:eastAsia="Times New Roman"/>
          <w:sz w:val="24"/>
        </w:rPr>
        <w:t>3</w:t>
      </w:r>
      <w:r>
        <w:rPr>
          <w:i/>
          <w:spacing w:val="-4"/>
          <w:sz w:val="24"/>
        </w:rPr>
        <w:t xml:space="preserve">、项目的行业类别：市政道路工程建筑 </w:t>
      </w:r>
      <w:r>
        <w:rPr>
          <w:rFonts w:ascii="Times New Roman" w:eastAsia="Times New Roman"/>
          <w:spacing w:val="-2"/>
          <w:sz w:val="24"/>
        </w:rPr>
        <w:t>E4813</w:t>
      </w:r>
    </w:p>
    <w:p>
      <w:pPr>
        <w:pStyle w:val="ListParagraph"/>
        <w:numPr>
          <w:ilvl w:val="0"/>
          <w:numId w:val="20"/>
        </w:numPr>
        <w:tabs>
          <w:tab w:val="left" w:pos="961"/>
        </w:tabs>
        <w:spacing w:before="160" w:after="0" w:line="364" w:lineRule="auto"/>
        <w:ind w:left="120" w:right="418" w:firstLine="480"/>
        <w:jc w:val="left"/>
        <w:rPr>
          <w:i/>
          <w:sz w:val="24"/>
        </w:rPr>
      </w:pPr>
      <w:r>
        <w:rPr>
          <w:i/>
          <w:spacing w:val="-6"/>
          <w:sz w:val="24"/>
        </w:rPr>
        <w:t xml:space="preserve">项目投资：总投资为 </w:t>
      </w:r>
      <w:r>
        <w:rPr>
          <w:rFonts w:ascii="Times New Roman" w:eastAsia="Times New Roman"/>
          <w:sz w:val="24"/>
        </w:rPr>
        <w:t>22000</w:t>
      </w:r>
      <w:r>
        <w:rPr>
          <w:rFonts w:ascii="Times New Roman" w:eastAsia="Times New Roman"/>
          <w:spacing w:val="-7"/>
          <w:sz w:val="24"/>
        </w:rPr>
        <w:t xml:space="preserve"> </w:t>
      </w:r>
      <w:r>
        <w:rPr>
          <w:i/>
          <w:spacing w:val="-6"/>
          <w:sz w:val="24"/>
        </w:rPr>
        <w:t xml:space="preserve">万元，其中环保投资约 </w:t>
      </w:r>
      <w:r>
        <w:rPr>
          <w:rFonts w:ascii="Times New Roman" w:eastAsia="Times New Roman"/>
          <w:sz w:val="24"/>
        </w:rPr>
        <w:t>612</w:t>
      </w:r>
      <w:r>
        <w:rPr>
          <w:rFonts w:ascii="Times New Roman" w:eastAsia="Times New Roman"/>
          <w:spacing w:val="-3"/>
          <w:sz w:val="24"/>
        </w:rPr>
        <w:t xml:space="preserve"> </w:t>
      </w:r>
      <w:r>
        <w:rPr>
          <w:i/>
          <w:sz w:val="24"/>
        </w:rPr>
        <w:t>万元，占项目总</w:t>
      </w:r>
      <w:r>
        <w:rPr>
          <w:i/>
          <w:spacing w:val="-11"/>
          <w:sz w:val="24"/>
        </w:rPr>
        <w:t xml:space="preserve">投资的 </w:t>
      </w:r>
      <w:r>
        <w:rPr>
          <w:rFonts w:ascii="Times New Roman" w:eastAsia="Times New Roman"/>
          <w:sz w:val="24"/>
        </w:rPr>
        <w:t>2.78%</w:t>
      </w:r>
      <w:r>
        <w:rPr>
          <w:i/>
          <w:sz w:val="24"/>
        </w:rPr>
        <w:t>；</w:t>
      </w:r>
    </w:p>
    <w:p>
      <w:pPr>
        <w:pStyle w:val="ListParagraph"/>
        <w:numPr>
          <w:ilvl w:val="0"/>
          <w:numId w:val="20"/>
        </w:numPr>
        <w:tabs>
          <w:tab w:val="left" w:pos="961"/>
        </w:tabs>
        <w:spacing w:before="0" w:after="0" w:line="306" w:lineRule="exact"/>
        <w:ind w:left="961" w:right="0" w:hanging="361"/>
        <w:jc w:val="left"/>
        <w:rPr>
          <w:i/>
          <w:sz w:val="24"/>
        </w:rPr>
      </w:pPr>
      <w:r>
        <w:rPr>
          <w:i/>
          <w:spacing w:val="-1"/>
          <w:sz w:val="24"/>
        </w:rPr>
        <w:t>建设单位：广德县国投公司城市建设投资分公司；</w:t>
      </w:r>
    </w:p>
    <w:p>
      <w:pPr>
        <w:pStyle w:val="ListParagraph"/>
        <w:numPr>
          <w:ilvl w:val="0"/>
          <w:numId w:val="20"/>
        </w:numPr>
        <w:tabs>
          <w:tab w:val="left" w:pos="961"/>
          <w:tab w:val="left" w:pos="2879"/>
        </w:tabs>
        <w:spacing w:before="159" w:after="0" w:line="240" w:lineRule="auto"/>
        <w:ind w:left="961" w:right="0" w:hanging="361"/>
        <w:jc w:val="left"/>
        <w:rPr>
          <w:sz w:val="24"/>
        </w:rPr>
      </w:pPr>
      <w:r>
        <w:rPr>
          <w:i/>
          <w:sz w:val="24"/>
        </w:rPr>
        <w:t>联系人：徐锦</w:t>
      </w:r>
      <w:r>
        <w:rPr>
          <w:i/>
          <w:spacing w:val="-10"/>
          <w:sz w:val="24"/>
        </w:rPr>
        <w:t>祥</w:t>
      </w:r>
      <w:r>
        <w:rPr>
          <w:i/>
          <w:sz w:val="24"/>
        </w:rPr>
        <w:tab/>
      </w:r>
      <w:r>
        <w:rPr>
          <w:spacing w:val="-2"/>
          <w:sz w:val="24"/>
        </w:rPr>
        <w:t>18792265586</w:t>
      </w:r>
    </w:p>
    <w:p>
      <w:pPr>
        <w:pStyle w:val="ListParagraph"/>
        <w:numPr>
          <w:ilvl w:val="0"/>
          <w:numId w:val="20"/>
        </w:numPr>
        <w:tabs>
          <w:tab w:val="left" w:pos="961"/>
        </w:tabs>
        <w:spacing w:before="160" w:after="0" w:line="240" w:lineRule="auto"/>
        <w:ind w:left="961" w:right="0" w:hanging="361"/>
        <w:jc w:val="left"/>
        <w:rPr>
          <w:i/>
          <w:sz w:val="24"/>
        </w:rPr>
      </w:pPr>
      <w:r>
        <w:rPr>
          <w:i/>
          <w:spacing w:val="-3"/>
          <w:sz w:val="24"/>
        </w:rPr>
        <w:t xml:space="preserve">建设地点：安徽广德县城区，详见地理位置及建设内容见图 </w:t>
      </w:r>
      <w:r>
        <w:rPr>
          <w:rFonts w:ascii="Times New Roman" w:eastAsia="Times New Roman"/>
          <w:sz w:val="24"/>
        </w:rPr>
        <w:t>1.1-</w:t>
      </w:r>
      <w:r>
        <w:rPr>
          <w:rFonts w:ascii="Times New Roman" w:eastAsia="Times New Roman"/>
          <w:spacing w:val="-5"/>
          <w:sz w:val="24"/>
        </w:rPr>
        <w:t>1</w:t>
      </w:r>
      <w:r>
        <w:rPr>
          <w:i/>
          <w:spacing w:val="-5"/>
          <w:sz w:val="24"/>
        </w:rPr>
        <w:t>；</w:t>
      </w:r>
    </w:p>
    <w:p>
      <w:pPr>
        <w:spacing w:after="0" w:line="240" w:lineRule="auto"/>
        <w:jc w:val="left"/>
        <w:rPr>
          <w:sz w:val="24"/>
        </w:rPr>
        <w:sectPr>
          <w:footerReference w:type="default" r:id="rId4"/>
          <w:pgSz w:w="11910" w:h="16840"/>
          <w:pgMar w:top="1460" w:right="1380" w:bottom="1180" w:left="1680" w:header="0" w:footer="990"/>
          <w:pgNumType w:start="1"/>
          <w:cols w:space="708"/>
        </w:sectPr>
      </w:pPr>
    </w:p>
    <w:p>
      <w:pPr>
        <w:tabs>
          <w:tab w:val="left" w:pos="1339"/>
        </w:tabs>
        <w:spacing w:before="0" w:line="424" w:lineRule="exact"/>
        <w:ind w:left="179" w:right="0" w:firstLine="0"/>
        <w:jc w:val="center"/>
        <w:rPr>
          <w:rFonts w:ascii="Microsoft JhengHei" w:eastAsia="Microsoft JhengHei"/>
          <w:b/>
          <w:sz w:val="24"/>
        </w:rPr>
      </w:pPr>
      <w:r>
        <w:pict>
          <v:shape id="_x0000_s1026" type="#_x0000_t202" style="width:411.4pt;height:657.6pt;margin-top:92pt;margin-left:96.3pt;mso-position-horizontal-relative:page;mso-position-vertical-relative:page;position:absolute;z-index:251658240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7"/>
                    <w:gridCol w:w="1248"/>
                    <w:gridCol w:w="6243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7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spacing w:line="338" w:lineRule="exact"/>
                          <w:ind w:left="108"/>
                          <w:rPr>
                            <w:rFonts w:ascii="Microsoft JhengHei" w:eastAsia="Microsoft JhengHei"/>
                            <w:b/>
                            <w:sz w:val="21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21"/>
                          </w:rPr>
                          <w:t>项目</w:t>
                        </w: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338" w:lineRule="exact"/>
                          <w:ind w:left="107"/>
                          <w:rPr>
                            <w:rFonts w:ascii="Microsoft JhengHei" w:eastAsia="Microsoft JhengHei"/>
                            <w:b/>
                            <w:sz w:val="21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3"/>
                            <w:sz w:val="21"/>
                          </w:rPr>
                          <w:t>工程名称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line="338" w:lineRule="exact"/>
                          <w:ind w:left="434" w:right="38"/>
                          <w:jc w:val="center"/>
                          <w:rPr>
                            <w:rFonts w:ascii="Microsoft JhengHei" w:eastAsia="Microsoft JhengHei"/>
                            <w:b/>
                            <w:sz w:val="21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2"/>
                            <w:sz w:val="21"/>
                          </w:rPr>
                          <w:t>建设内容及规模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7"/>
                      <w:jc w:val="left"/>
                    </w:trPr>
                    <w:tc>
                      <w:tcPr>
                        <w:tcW w:w="727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Microsoft JhengHei"/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364" w:lineRule="auto"/>
                          <w:ind w:left="108" w:right="96"/>
                          <w:jc w:val="both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10"/>
                            <w:sz w:val="21"/>
                          </w:rPr>
                          <w:t>路 面及 桥梁 工程</w:t>
                        </w: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07" w:right="96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20"/>
                            <w:sz w:val="21"/>
                          </w:rPr>
                          <w:t>绥 安 路 二</w:t>
                        </w:r>
                        <w:r>
                          <w:rPr>
                            <w:i/>
                            <w:spacing w:val="-10"/>
                            <w:sz w:val="21"/>
                          </w:rPr>
                          <w:t>期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838" w:right="242" w:hanging="1217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2"/>
                            <w:sz w:val="21"/>
                          </w:rPr>
                          <w:t>新建，桃州南路至横ft</w:t>
                        </w:r>
                        <w:r>
                          <w:rPr>
                            <w:i/>
                            <w:spacing w:val="-9"/>
                            <w:sz w:val="21"/>
                          </w:rPr>
                          <w:t xml:space="preserve">南路，长度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620m</w:t>
                        </w:r>
                        <w:r>
                          <w:rPr>
                            <w:i/>
                            <w:spacing w:val="-12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32m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07" w:right="96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20"/>
                            <w:sz w:val="21"/>
                          </w:rPr>
                          <w:t>经 四 路 四</w:t>
                        </w:r>
                        <w:r>
                          <w:rPr>
                            <w:i/>
                            <w:spacing w:val="-10"/>
                            <w:sz w:val="21"/>
                          </w:rPr>
                          <w:t>期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838" w:right="347" w:hanging="1112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5"/>
                            <w:sz w:val="21"/>
                          </w:rPr>
                          <w:t xml:space="preserve">新建，团结路至太极大道，长度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700m</w:t>
                        </w:r>
                        <w:r>
                          <w:rPr>
                            <w:i/>
                            <w:spacing w:val="-13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30m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Microsoft JhengHei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7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3"/>
                            <w:sz w:val="21"/>
                          </w:rPr>
                          <w:t>经十一路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2176" w:right="-15" w:hanging="1649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7"/>
                            <w:sz w:val="21"/>
                          </w:rPr>
                          <w:t xml:space="preserve">新建，西外环至纬十路，长度 </w:t>
                        </w:r>
                        <w:r>
                          <w:rPr>
                            <w:rFonts w:ascii="Times New Roman" w:eastAsia="Times New Roman"/>
                            <w:spacing w:val="-4"/>
                            <w:sz w:val="21"/>
                          </w:rPr>
                          <w:t>1000m</w:t>
                        </w:r>
                        <w:r>
                          <w:rPr>
                            <w:i/>
                            <w:spacing w:val="-14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4"/>
                            <w:sz w:val="21"/>
                          </w:rPr>
                          <w:t>24m</w:t>
                        </w:r>
                        <w:r>
                          <w:rPr>
                            <w:i/>
                            <w:spacing w:val="-14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pacing w:val="-4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>，</w:t>
                        </w:r>
                        <w:r>
                          <w:rPr>
                            <w:i/>
                            <w:spacing w:val="-8"/>
                            <w:sz w:val="21"/>
                          </w:rPr>
                          <w:t xml:space="preserve">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Microsoft JhengHei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7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4"/>
                            <w:sz w:val="21"/>
                          </w:rPr>
                          <w:t>纬六路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2176" w:right="27" w:hanging="1649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新建，纬七路至南外环，长度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440m</w:t>
                        </w:r>
                        <w:r>
                          <w:rPr>
                            <w:i/>
                            <w:spacing w:val="-13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18m</w:t>
                        </w:r>
                        <w:r>
                          <w:rPr>
                            <w:i/>
                            <w:spacing w:val="-13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>，</w:t>
                        </w:r>
                        <w:r>
                          <w:rPr>
                            <w:i/>
                            <w:spacing w:val="-8"/>
                            <w:sz w:val="21"/>
                          </w:rPr>
                          <w:t xml:space="preserve">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7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Microsoft JhengHei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7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4"/>
                            <w:sz w:val="21"/>
                          </w:rPr>
                          <w:t>纬七路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838" w:right="242" w:hanging="1217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2"/>
                            <w:sz w:val="21"/>
                          </w:rPr>
                          <w:t>新建，万桂ft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南路至升平街，长度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820m</w:t>
                        </w:r>
                        <w:r>
                          <w:rPr>
                            <w:i/>
                            <w:spacing w:val="-13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30m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7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Microsoft JhengHei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7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4"/>
                            <w:sz w:val="21"/>
                          </w:rPr>
                          <w:t>纬八路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729" w:right="350" w:hanging="1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2"/>
                            <w:sz w:val="21"/>
                          </w:rPr>
                          <w:t>新建，经四路至万桂ft</w:t>
                        </w:r>
                        <w:r>
                          <w:rPr>
                            <w:i/>
                            <w:spacing w:val="-16"/>
                            <w:sz w:val="21"/>
                          </w:rPr>
                          <w:t xml:space="preserve">路长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320m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、桃州南路至升平街长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530m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20m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7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Microsoft JhengHei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7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4"/>
                            <w:sz w:val="21"/>
                          </w:rPr>
                          <w:t>纬九路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838" w:right="347" w:hanging="1112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2"/>
                            <w:sz w:val="21"/>
                          </w:rPr>
                          <w:t>新建，万桂ft</w:t>
                        </w:r>
                        <w:r>
                          <w:rPr>
                            <w:i/>
                            <w:spacing w:val="-7"/>
                            <w:sz w:val="21"/>
                          </w:rPr>
                          <w:t xml:space="preserve">路至天寿路，长度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680m</w:t>
                        </w:r>
                        <w:r>
                          <w:rPr>
                            <w:i/>
                            <w:spacing w:val="-13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15m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7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Microsoft JhengHei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7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3"/>
                            <w:sz w:val="21"/>
                          </w:rPr>
                          <w:t>纬十一路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707" w:right="111" w:hanging="1164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5"/>
                            <w:sz w:val="21"/>
                          </w:rPr>
                          <w:t xml:space="preserve">新建，新建，经十路至经十一路，长度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200m</w:t>
                        </w:r>
                        <w:r>
                          <w:rPr>
                            <w:i/>
                            <w:spacing w:val="-13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18m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>，沥</w:t>
                        </w:r>
                        <w:r>
                          <w:rPr>
                            <w:i/>
                            <w:spacing w:val="-8"/>
                            <w:sz w:val="21"/>
                          </w:rPr>
                          <w:t xml:space="preserve">清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7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07" w:right="96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23"/>
                            <w:sz w:val="21"/>
                          </w:rPr>
                          <w:t xml:space="preserve">万 桂 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>ft</w:t>
                        </w:r>
                        <w:r>
                          <w:rPr>
                            <w:i/>
                            <w:spacing w:val="-22"/>
                            <w:sz w:val="21"/>
                          </w:rPr>
                          <w:t xml:space="preserve"> 北</w:t>
                        </w:r>
                        <w:r>
                          <w:rPr>
                            <w:i/>
                            <w:spacing w:val="-10"/>
                            <w:sz w:val="21"/>
                          </w:rPr>
                          <w:t>路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838" w:right="347" w:hanging="1112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5"/>
                            <w:sz w:val="21"/>
                          </w:rPr>
                          <w:t xml:space="preserve">新建，太极大道至和平路，长度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850m</w:t>
                        </w:r>
                        <w:r>
                          <w:rPr>
                            <w:i/>
                            <w:spacing w:val="-13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32m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7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07" w:right="96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20"/>
                            <w:sz w:val="21"/>
                          </w:rPr>
                          <w:t>太 极 大 道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>改造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2176" w:right="-15" w:hanging="1649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7"/>
                            <w:sz w:val="21"/>
                          </w:rPr>
                          <w:t xml:space="preserve">改造，福林桥至西外环，长度 </w:t>
                        </w:r>
                        <w:r>
                          <w:rPr>
                            <w:rFonts w:ascii="Times New Roman" w:eastAsia="Times New Roman"/>
                            <w:spacing w:val="-4"/>
                            <w:sz w:val="21"/>
                          </w:rPr>
                          <w:t>3400m</w:t>
                        </w:r>
                        <w:r>
                          <w:rPr>
                            <w:i/>
                            <w:spacing w:val="-14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4"/>
                            <w:sz w:val="21"/>
                          </w:rPr>
                          <w:t>40m</w:t>
                        </w:r>
                        <w:r>
                          <w:rPr>
                            <w:i/>
                            <w:spacing w:val="-14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pacing w:val="-4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>，</w:t>
                        </w:r>
                        <w:r>
                          <w:rPr>
                            <w:i/>
                            <w:spacing w:val="-8"/>
                            <w:sz w:val="21"/>
                          </w:rPr>
                          <w:t xml:space="preserve">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7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07" w:right="96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20"/>
                            <w:sz w:val="21"/>
                          </w:rPr>
                          <w:t>和 平 路 三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>期及桥梁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179" w:right="96" w:hanging="652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7"/>
                            <w:sz w:val="21"/>
                          </w:rPr>
                          <w:t xml:space="preserve">新建，天寿路至前进路，道路长度 </w:t>
                        </w:r>
                        <w:r>
                          <w:rPr>
                            <w:rFonts w:ascii="Times New Roman" w:eastAsia="Times New Roman"/>
                            <w:spacing w:val="-4"/>
                            <w:sz w:val="21"/>
                          </w:rPr>
                          <w:t>620m</w:t>
                        </w:r>
                        <w:r>
                          <w:rPr>
                            <w:i/>
                            <w:spacing w:val="-12"/>
                            <w:sz w:val="21"/>
                          </w:rPr>
                          <w:t xml:space="preserve">，桥梁长度 </w:t>
                        </w:r>
                        <w:r>
                          <w:rPr>
                            <w:rFonts w:ascii="Times New Roman" w:eastAsia="Times New Roman"/>
                            <w:spacing w:val="-4"/>
                            <w:sz w:val="21"/>
                          </w:rPr>
                          <w:t>140m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>，宽</w:t>
                        </w:r>
                        <w:r>
                          <w:rPr>
                            <w:i/>
                            <w:spacing w:val="-7"/>
                            <w:sz w:val="21"/>
                          </w:rPr>
                          <w:t xml:space="preserve">度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32m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40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280" w:lineRule="atLeast"/>
                          <w:ind w:left="107" w:right="96"/>
                          <w:jc w:val="both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20"/>
                            <w:sz w:val="21"/>
                          </w:rPr>
                          <w:t>爱 民 路 跨无 量 溪 河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>桥梁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18"/>
                          <w:rPr>
                            <w:rFonts w:ascii="Microsoft JhengHei"/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20" w:right="38"/>
                          <w:jc w:val="center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15"/>
                            <w:sz w:val="21"/>
                          </w:rPr>
                          <w:t xml:space="preserve">新建，长度 </w:t>
                        </w:r>
                        <w:r>
                          <w:rPr>
                            <w:rFonts w:ascii="Times New Roman" w:eastAsia="Times New Roman"/>
                            <w:spacing w:val="-8"/>
                            <w:sz w:val="21"/>
                          </w:rPr>
                          <w:t>150m</w:t>
                        </w:r>
                        <w:r>
                          <w:rPr>
                            <w:i/>
                            <w:spacing w:val="-18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8"/>
                            <w:sz w:val="21"/>
                          </w:rPr>
                          <w:t>50m</w:t>
                        </w:r>
                        <w:r>
                          <w:rPr>
                            <w:i/>
                            <w:spacing w:val="-18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pacing w:val="-8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18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pacing w:val="-8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18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pacing w:val="-8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7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07" w:right="96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20"/>
                            <w:sz w:val="21"/>
                          </w:rPr>
                          <w:t>团 结 西 路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>及桥梁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838" w:right="294" w:hanging="1164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5"/>
                            <w:sz w:val="21"/>
                          </w:rPr>
                          <w:t xml:space="preserve">新建，团结西路至西外环，长度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1550m</w:t>
                        </w:r>
                        <w:r>
                          <w:rPr>
                            <w:i/>
                            <w:spacing w:val="-13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25m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16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07" w:right="96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22"/>
                            <w:sz w:val="21"/>
                          </w:rPr>
                          <w:t xml:space="preserve">横 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>ft</w:t>
                        </w:r>
                        <w:r>
                          <w:rPr>
                            <w:i/>
                            <w:spacing w:val="-23"/>
                            <w:sz w:val="21"/>
                          </w:rPr>
                          <w:t xml:space="preserve"> 北 路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>拓宽改造</w:t>
                        </w:r>
                      </w:p>
                    </w:tc>
                    <w:tc>
                      <w:tcPr>
                        <w:tcW w:w="6243" w:type="dxa"/>
                      </w:tcPr>
                      <w:p>
                        <w:pPr>
                          <w:pStyle w:val="TableParagraph"/>
                          <w:spacing w:before="92" w:line="249" w:lineRule="auto"/>
                          <w:ind w:left="1838" w:right="242" w:hanging="1217"/>
                          <w:rPr>
                            <w:rFonts w:ascii="Times New Roman" w:eastAsia="Times New Roman"/>
                            <w:sz w:val="21"/>
                          </w:rPr>
                        </w:pPr>
                        <w:r>
                          <w:rPr>
                            <w:i/>
                            <w:spacing w:val="-5"/>
                            <w:sz w:val="21"/>
                          </w:rPr>
                          <w:t xml:space="preserve">改造，太极大道至桃州中学，长度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680m</w:t>
                        </w:r>
                        <w:r>
                          <w:rPr>
                            <w:i/>
                            <w:spacing w:val="-13"/>
                            <w:sz w:val="21"/>
                          </w:rPr>
                          <w:t xml:space="preserve">，宽度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40m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，沥清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11cm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，水稳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38cm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 xml:space="preserve">，宕渣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1m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6"/>
                      <w:jc w:val="left"/>
                    </w:trPr>
                    <w:tc>
                      <w:tcPr>
                        <w:tcW w:w="727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Microsoft JhengHei"/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42" w:lineRule="auto"/>
                          <w:ind w:left="108" w:right="96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10"/>
                            <w:sz w:val="21"/>
                          </w:rPr>
                          <w:t>土 方</w:t>
                        </w:r>
                        <w:r>
                          <w:rPr>
                            <w:i/>
                            <w:spacing w:val="-6"/>
                            <w:sz w:val="21"/>
                          </w:rPr>
                          <w:t>工程</w:t>
                        </w:r>
                      </w:p>
                    </w:tc>
                    <w:tc>
                      <w:tcPr>
                        <w:tcW w:w="7491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ind w:left="542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5"/>
                            <w:sz w:val="21"/>
                          </w:rPr>
                          <w:t xml:space="preserve">本项目临时堆土主要堆放在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 xml:space="preserve">14 </w:t>
                        </w:r>
                        <w:r>
                          <w:rPr>
                            <w:i/>
                            <w:spacing w:val="-1"/>
                            <w:sz w:val="21"/>
                          </w:rPr>
                          <w:t>处地点，位于各条道路的中央位置，待施工</w:t>
                        </w:r>
                      </w:p>
                      <w:p>
                        <w:pPr>
                          <w:pStyle w:val="TableParagraph"/>
                          <w:spacing w:before="139"/>
                          <w:ind w:left="362"/>
                          <w:rPr>
                            <w:rFonts w:ascii="Times New Roman" w:eastAsia="Times New Roman"/>
                            <w:sz w:val="14"/>
                          </w:rPr>
                        </w:pPr>
                        <w:r>
                          <w:rPr>
                            <w:i/>
                            <w:spacing w:val="-3"/>
                            <w:sz w:val="21"/>
                          </w:rPr>
                          <w:t xml:space="preserve">后回填或作为绿化用土。本项目临时堆土共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 xml:space="preserve">2.45 </w:t>
                        </w:r>
                        <w:r>
                          <w:rPr>
                            <w:i/>
                            <w:spacing w:val="-27"/>
                            <w:sz w:val="21"/>
                          </w:rPr>
                          <w:t xml:space="preserve">万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m</w:t>
                        </w:r>
                        <w:r>
                          <w:rPr>
                            <w:rFonts w:ascii="Times New Roman" w:eastAsia="Times New Roman"/>
                            <w:position w:val="6"/>
                            <w:sz w:val="14"/>
                          </w:rPr>
                          <w:t>3</w:t>
                        </w:r>
                        <w:r>
                          <w:rPr>
                            <w:i/>
                            <w:spacing w:val="-9"/>
                            <w:sz w:val="21"/>
                          </w:rPr>
                          <w:t xml:space="preserve">，堆渣占地 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sz w:val="21"/>
                          </w:rPr>
                          <w:t>1.22hm</w:t>
                        </w:r>
                        <w:r>
                          <w:rPr>
                            <w:rFonts w:ascii="Times New Roman" w:eastAsia="Times New Roman"/>
                            <w:spacing w:val="-2"/>
                            <w:position w:val="6"/>
                            <w:sz w:val="14"/>
                          </w:rPr>
                          <w:t>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6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491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ind w:left="527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1"/>
                            <w:sz w:val="21"/>
                          </w:rPr>
                          <w:t>本项目施工生产生活区包括临时施工工棚、临时堆料场、砂石料加工场等，</w:t>
                        </w:r>
                      </w:p>
                      <w:p>
                        <w:pPr>
                          <w:pStyle w:val="TableParagraph"/>
                          <w:spacing w:before="139"/>
                          <w:ind w:left="2670" w:right="2661"/>
                          <w:jc w:val="center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8"/>
                            <w:sz w:val="21"/>
                          </w:rPr>
                          <w:t xml:space="preserve">共需临时占地 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6.5hm</w:t>
                        </w:r>
                        <w:r>
                          <w:rPr>
                            <w:rFonts w:ascii="Times New Roman" w:eastAsia="Times New Roman"/>
                            <w:position w:val="6"/>
                            <w:sz w:val="14"/>
                          </w:rPr>
                          <w:t>2</w:t>
                        </w:r>
                        <w:r>
                          <w:rPr>
                            <w:i/>
                            <w:spacing w:val="-10"/>
                            <w:sz w:val="21"/>
                          </w:rPr>
                          <w:t>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6"/>
                      <w:jc w:val="left"/>
                    </w:trPr>
                    <w:tc>
                      <w:tcPr>
                        <w:tcW w:w="7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491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ind w:left="527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5"/>
                            <w:sz w:val="21"/>
                          </w:rPr>
                          <w:t>本项目施工便道包括保通道路、至料场、渣场、施工生产生活区等，部分老</w:t>
                        </w:r>
                      </w:p>
                      <w:p>
                        <w:pPr>
                          <w:pStyle w:val="TableParagraph"/>
                          <w:spacing w:before="139"/>
                          <w:ind w:left="1750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pacing w:val="-1"/>
                            <w:sz w:val="21"/>
                          </w:rPr>
                          <w:t>路和其他道路可以利用，无需新开施工便道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 w:firstLine="0"/>
                  </w:pPr>
                </w:p>
              </w:txbxContent>
            </v:textbox>
          </v:shape>
        </w:pict>
      </w:r>
      <w:r>
        <w:rPr>
          <w:rFonts w:ascii="Microsoft JhengHei" w:eastAsia="Microsoft JhengHei"/>
          <w:b/>
          <w:sz w:val="24"/>
        </w:rPr>
        <w:t xml:space="preserve">表 </w:t>
      </w:r>
      <w:r>
        <w:rPr>
          <w:rFonts w:ascii="Times New Roman" w:eastAsia="Times New Roman"/>
          <w:b/>
          <w:sz w:val="24"/>
        </w:rPr>
        <w:t>1.2-</w:t>
      </w:r>
      <w:r>
        <w:rPr>
          <w:rFonts w:ascii="Times New Roman" w:eastAsia="Times New Roman"/>
          <w:b/>
          <w:spacing w:val="-10"/>
          <w:sz w:val="24"/>
        </w:rPr>
        <w:t>1</w:t>
      </w:r>
      <w:r>
        <w:rPr>
          <w:rFonts w:ascii="Times New Roman" w:eastAsia="Times New Roman"/>
          <w:b/>
          <w:sz w:val="24"/>
        </w:rPr>
        <w:tab/>
      </w:r>
      <w:r>
        <w:rPr>
          <w:rFonts w:ascii="Microsoft JhengHei" w:eastAsia="Microsoft JhengHei"/>
          <w:b/>
          <w:sz w:val="24"/>
        </w:rPr>
        <w:t>拟建项目建设内容及规模一览</w:t>
      </w:r>
      <w:r>
        <w:rPr>
          <w:rFonts w:ascii="Microsoft JhengHei" w:eastAsia="Microsoft JhengHei"/>
          <w:b/>
          <w:spacing w:val="-10"/>
          <w:sz w:val="24"/>
        </w:rPr>
        <w:t>表</w:t>
      </w:r>
    </w:p>
    <w:p>
      <w:pPr>
        <w:spacing w:after="0" w:line="424" w:lineRule="exact"/>
        <w:jc w:val="center"/>
        <w:rPr>
          <w:rFonts w:ascii="Microsoft JhengHei" w:eastAsia="Microsoft JhengHei"/>
          <w:sz w:val="24"/>
        </w:rPr>
        <w:sectPr>
          <w:footerReference w:type="default" r:id="rId5"/>
          <w:pgSz w:w="11910" w:h="16840"/>
          <w:pgMar w:top="1440" w:right="1380" w:bottom="1180" w:left="1680" w:header="0" w:footer="990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7491"/>
      </w:tblGrid>
      <w:tr>
        <w:tblPrEx>
          <w:tblW w:w="0" w:type="auto"/>
          <w:jc w:val="left"/>
          <w:tblInd w:w="25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6"/>
          <w:jc w:val="lef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491" w:type="dxa"/>
          </w:tcPr>
          <w:p>
            <w:pPr>
              <w:pStyle w:val="TableParagraph"/>
              <w:spacing w:before="3"/>
              <w:ind w:left="527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经土石方平衡分析，需用取土场 </w:t>
            </w:r>
            <w:r>
              <w:rPr>
                <w:rFonts w:ascii="Times New Roman" w:eastAsia="Times New Roman"/>
                <w:sz w:val="21"/>
              </w:rPr>
              <w:t>2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 xml:space="preserve">处，工程建设填方 </w:t>
            </w:r>
            <w:r>
              <w:rPr>
                <w:rFonts w:ascii="Times New Roman" w:eastAsia="Times New Roman"/>
                <w:sz w:val="21"/>
              </w:rPr>
              <w:t>33.31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万方，项目道路</w:t>
            </w:r>
          </w:p>
          <w:p>
            <w:pPr>
              <w:pStyle w:val="TableParagraph"/>
              <w:spacing w:before="139"/>
              <w:ind w:left="29" w:right="20"/>
              <w:jc w:val="center"/>
              <w:rPr>
                <w:rFonts w:ascii="Times New Roman" w:eastAsia="Times New Roman"/>
                <w:sz w:val="14"/>
              </w:rPr>
            </w:pPr>
            <w:r>
              <w:rPr>
                <w:spacing w:val="-14"/>
                <w:sz w:val="21"/>
              </w:rPr>
              <w:t xml:space="preserve">需挖方 </w:t>
            </w:r>
            <w:r>
              <w:rPr>
                <w:rFonts w:ascii="Times New Roman" w:eastAsia="Times New Roman"/>
                <w:sz w:val="21"/>
              </w:rPr>
              <w:t xml:space="preserve">37.44 </w:t>
            </w:r>
            <w:r>
              <w:rPr>
                <w:spacing w:val="-8"/>
                <w:sz w:val="21"/>
              </w:rPr>
              <w:t xml:space="preserve">万方，弃方为 </w:t>
            </w:r>
            <w:r>
              <w:rPr>
                <w:rFonts w:ascii="Times New Roman" w:eastAsia="Times New Roman"/>
                <w:sz w:val="21"/>
              </w:rPr>
              <w:t xml:space="preserve">4.13 </w:t>
            </w:r>
            <w:r>
              <w:rPr>
                <w:spacing w:val="-6"/>
                <w:sz w:val="21"/>
              </w:rPr>
              <w:t xml:space="preserve">万方，共需临时占地 </w:t>
            </w:r>
            <w:r>
              <w:rPr>
                <w:rFonts w:ascii="Times New Roman" w:eastAsia="Times New Roman"/>
                <w:spacing w:val="-2"/>
                <w:sz w:val="21"/>
              </w:rPr>
              <w:t>2.1hm</w:t>
            </w:r>
            <w:r>
              <w:rPr>
                <w:rFonts w:ascii="Times New Roman" w:eastAsia="Times New Roman"/>
                <w:spacing w:val="-2"/>
                <w:position w:val="6"/>
                <w:sz w:val="14"/>
              </w:rPr>
              <w:t>2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4"/>
          <w:jc w:val="left"/>
        </w:trPr>
        <w:tc>
          <w:tcPr>
            <w:tcW w:w="727" w:type="dxa"/>
          </w:tcPr>
          <w:p>
            <w:pPr>
              <w:pStyle w:val="TableParagraph"/>
              <w:spacing w:line="270" w:lineRule="atLeast"/>
              <w:ind w:left="108" w:right="96"/>
              <w:rPr>
                <w:sz w:val="21"/>
              </w:rPr>
            </w:pPr>
            <w:r>
              <w:rPr>
                <w:spacing w:val="-10"/>
                <w:sz w:val="21"/>
              </w:rPr>
              <w:t>交 通</w:t>
            </w:r>
            <w:r>
              <w:rPr>
                <w:spacing w:val="-6"/>
                <w:sz w:val="21"/>
              </w:rPr>
              <w:t>工程</w:t>
            </w:r>
          </w:p>
        </w:tc>
        <w:tc>
          <w:tcPr>
            <w:tcW w:w="7491" w:type="dxa"/>
          </w:tcPr>
          <w:p>
            <w:pPr>
              <w:pStyle w:val="TableParagraph"/>
              <w:spacing w:before="139"/>
              <w:ind w:left="2065"/>
              <w:rPr>
                <w:sz w:val="21"/>
              </w:rPr>
            </w:pPr>
            <w:r>
              <w:rPr>
                <w:spacing w:val="-1"/>
                <w:sz w:val="21"/>
              </w:rPr>
              <w:t>标志牌、交通安全设施、交通信号设施等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4"/>
          <w:jc w:val="left"/>
        </w:trPr>
        <w:tc>
          <w:tcPr>
            <w:tcW w:w="727" w:type="dxa"/>
            <w:vMerge w:val="restart"/>
          </w:tcPr>
          <w:p>
            <w:pPr>
              <w:pStyle w:val="TableParagraph"/>
              <w:spacing w:line="270" w:lineRule="atLeast"/>
              <w:ind w:left="108" w:right="96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>征 地和 动迁 工程</w:t>
            </w:r>
          </w:p>
        </w:tc>
        <w:tc>
          <w:tcPr>
            <w:tcW w:w="7491" w:type="dxa"/>
          </w:tcPr>
          <w:p>
            <w:pPr>
              <w:pStyle w:val="TableParagraph"/>
              <w:spacing w:line="270" w:lineRule="atLeast"/>
              <w:ind w:left="1225" w:right="137" w:hanging="657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项目区永久征地共计 </w:t>
            </w:r>
            <w:r>
              <w:rPr>
                <w:rFonts w:ascii="Times New Roman" w:eastAsia="Times New Roman"/>
                <w:sz w:val="21"/>
              </w:rPr>
              <w:t>505.8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亩，（</w:t>
            </w:r>
            <w:r>
              <w:rPr>
                <w:spacing w:val="-11"/>
                <w:sz w:val="21"/>
              </w:rPr>
              <w:t xml:space="preserve">其中旱地 </w:t>
            </w:r>
            <w:r>
              <w:rPr>
                <w:rFonts w:ascii="Times New Roman" w:eastAsia="Times New Roman"/>
                <w:sz w:val="21"/>
              </w:rPr>
              <w:t>363.4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pacing w:val="-9"/>
                <w:sz w:val="21"/>
              </w:rPr>
              <w:t xml:space="preserve">亩，宅基地 </w:t>
            </w:r>
            <w:r>
              <w:rPr>
                <w:rFonts w:ascii="Times New Roman" w:eastAsia="Times New Roman"/>
                <w:sz w:val="21"/>
              </w:rPr>
              <w:t>142.4</w:t>
            </w:r>
            <w:r>
              <w:rPr>
                <w:rFonts w:ascii="Times New Roman" w:eastAsia="Times New Roman"/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亩</w:t>
            </w:r>
            <w:r>
              <w:rPr>
                <w:sz w:val="21"/>
              </w:rPr>
              <w:t>），</w:t>
            </w:r>
            <w:r>
              <w:rPr>
                <w:spacing w:val="-2"/>
                <w:sz w:val="21"/>
              </w:rPr>
              <w:t>太极大道改造和横ft北路拓宽改造是利用现有的老路。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4"/>
          <w:jc w:val="left"/>
        </w:trPr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1" w:type="dxa"/>
          </w:tcPr>
          <w:p>
            <w:pPr>
              <w:pStyle w:val="TableParagraph"/>
              <w:spacing w:before="3"/>
              <w:ind w:left="569"/>
              <w:rPr>
                <w:sz w:val="21"/>
              </w:rPr>
            </w:pPr>
            <w:r>
              <w:rPr>
                <w:spacing w:val="-1"/>
                <w:sz w:val="21"/>
              </w:rPr>
              <w:t>本次道路工程涉及的拆迁，主要为道路沿线村民住宅，共需拆迁的面积为</w:t>
            </w:r>
          </w:p>
          <w:p>
            <w:pPr>
              <w:pStyle w:val="TableParagraph"/>
              <w:spacing w:before="3" w:line="249" w:lineRule="exact"/>
              <w:ind w:left="3272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142.4 </w:t>
            </w:r>
            <w:r>
              <w:rPr>
                <w:spacing w:val="-5"/>
                <w:sz w:val="21"/>
              </w:rPr>
              <w:t>亩。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10"/>
          <w:jc w:val="left"/>
        </w:trPr>
        <w:tc>
          <w:tcPr>
            <w:tcW w:w="727" w:type="dxa"/>
          </w:tcPr>
          <w:p>
            <w:pPr>
              <w:pStyle w:val="TableParagraph"/>
              <w:spacing w:before="49" w:line="242" w:lineRule="auto"/>
              <w:ind w:left="108" w:right="96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>管 网管 线</w:t>
            </w:r>
            <w:r>
              <w:rPr>
                <w:spacing w:val="-6"/>
                <w:sz w:val="21"/>
              </w:rPr>
              <w:t>工程</w:t>
            </w:r>
          </w:p>
        </w:tc>
        <w:tc>
          <w:tcPr>
            <w:tcW w:w="7491" w:type="dxa"/>
          </w:tcPr>
          <w:p>
            <w:pPr>
              <w:pStyle w:val="TableParagraph"/>
              <w:spacing w:before="9"/>
              <w:rPr>
                <w:rFonts w:ascii="Microsoft JhengHei"/>
                <w:b/>
                <w:sz w:val="17"/>
              </w:rPr>
            </w:pPr>
          </w:p>
          <w:p>
            <w:pPr>
              <w:pStyle w:val="TableParagraph"/>
              <w:ind w:right="373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采用雨水管道排水方式。路面雨水通过雨水井收集后排入雨水管网。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7"/>
          <w:jc w:val="left"/>
        </w:trPr>
        <w:tc>
          <w:tcPr>
            <w:tcW w:w="727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0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0"/>
              </w:rPr>
            </w:pPr>
          </w:p>
          <w:p>
            <w:pPr>
              <w:pStyle w:val="TableParagraph"/>
              <w:spacing w:before="8"/>
              <w:rPr>
                <w:rFonts w:ascii="Microsoft JhengHei"/>
                <w:b/>
                <w:sz w:val="27"/>
              </w:rPr>
            </w:pPr>
          </w:p>
          <w:p>
            <w:pPr>
              <w:pStyle w:val="TableParagraph"/>
              <w:spacing w:line="242" w:lineRule="auto"/>
              <w:ind w:left="108" w:right="96"/>
              <w:rPr>
                <w:sz w:val="21"/>
              </w:rPr>
            </w:pPr>
            <w:r>
              <w:rPr>
                <w:spacing w:val="-10"/>
                <w:sz w:val="21"/>
              </w:rPr>
              <w:t>环 保</w:t>
            </w:r>
            <w:r>
              <w:rPr>
                <w:spacing w:val="-6"/>
                <w:sz w:val="21"/>
              </w:rPr>
              <w:t>工程</w:t>
            </w:r>
          </w:p>
        </w:tc>
        <w:tc>
          <w:tcPr>
            <w:tcW w:w="7491" w:type="dxa"/>
          </w:tcPr>
          <w:p>
            <w:pPr>
              <w:pStyle w:val="TableParagraph"/>
              <w:spacing w:before="46"/>
              <w:ind w:left="1960"/>
              <w:rPr>
                <w:sz w:val="21"/>
              </w:rPr>
            </w:pPr>
            <w:r>
              <w:rPr>
                <w:spacing w:val="-1"/>
                <w:sz w:val="21"/>
              </w:rPr>
              <w:t>施工现场设置临时废水沉淀池、临时化粪池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4"/>
          <w:jc w:val="left"/>
        </w:trPr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1" w:type="dxa"/>
          </w:tcPr>
          <w:p>
            <w:pPr>
              <w:pStyle w:val="TableParagraph"/>
              <w:spacing w:before="3"/>
              <w:ind w:left="450" w:right="2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施工场地清扫、洒水车洒水抑尘、采取全封闭沥青摊铺车进行作业、工地周</w:t>
            </w:r>
          </w:p>
          <w:p>
            <w:pPr>
              <w:pStyle w:val="TableParagraph"/>
              <w:spacing w:before="3" w:line="249" w:lineRule="exact"/>
              <w:ind w:left="29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边临时施工围护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7"/>
          <w:jc w:val="left"/>
        </w:trPr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1" w:type="dxa"/>
          </w:tcPr>
          <w:p>
            <w:pPr>
              <w:pStyle w:val="TableParagraph"/>
              <w:spacing w:before="46"/>
              <w:ind w:right="373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加强设备维护和工人劳动防护，加强施工管理、敏感点设置移动隔声屏障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7"/>
          <w:jc w:val="left"/>
        </w:trPr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1" w:type="dxa"/>
          </w:tcPr>
          <w:p>
            <w:pPr>
              <w:pStyle w:val="TableParagraph"/>
              <w:spacing w:before="46"/>
              <w:ind w:left="30" w:right="20"/>
              <w:jc w:val="center"/>
              <w:rPr>
                <w:sz w:val="21"/>
              </w:rPr>
            </w:pPr>
            <w:r>
              <w:rPr>
                <w:spacing w:val="-1"/>
                <w:sz w:val="21"/>
              </w:rPr>
              <w:t>工程措施、植物措施、临时措施等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8"/>
          <w:jc w:val="left"/>
        </w:trPr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1" w:type="dxa"/>
          </w:tcPr>
          <w:p>
            <w:pPr>
              <w:pStyle w:val="TableParagraph"/>
              <w:spacing w:before="46"/>
              <w:ind w:left="30" w:right="20"/>
              <w:jc w:val="center"/>
              <w:rPr>
                <w:sz w:val="21"/>
              </w:rPr>
            </w:pPr>
            <w:r>
              <w:rPr>
                <w:spacing w:val="-1"/>
                <w:sz w:val="21"/>
              </w:rPr>
              <w:t>桥面径流收集设施和排水设施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1" w:type="dxa"/>
          </w:tcPr>
          <w:p>
            <w:pPr>
              <w:pStyle w:val="TableParagraph"/>
              <w:spacing w:before="23"/>
              <w:ind w:left="105" w:right="20"/>
              <w:jc w:val="center"/>
              <w:rPr>
                <w:sz w:val="21"/>
              </w:rPr>
            </w:pPr>
            <w:r>
              <w:rPr>
                <w:spacing w:val="-1"/>
                <w:sz w:val="21"/>
              </w:rPr>
              <w:t>合理布局，道路沿线新建敏感建筑物需保持足够退让距离、选用优质路面材料、</w:t>
            </w:r>
          </w:p>
          <w:p>
            <w:pPr>
              <w:pStyle w:val="TableParagraph"/>
              <w:spacing w:before="43"/>
              <w:ind w:left="30" w:right="20"/>
              <w:jc w:val="center"/>
              <w:rPr>
                <w:sz w:val="21"/>
              </w:rPr>
            </w:pPr>
            <w:r>
              <w:rPr>
                <w:spacing w:val="-1"/>
                <w:sz w:val="21"/>
              </w:rPr>
              <w:t>限制行车速度、敏感点安装隔声窗等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7"/>
          <w:jc w:val="left"/>
        </w:trPr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1" w:type="dxa"/>
          </w:tcPr>
          <w:p>
            <w:pPr>
              <w:pStyle w:val="TableParagraph"/>
              <w:spacing w:before="46"/>
              <w:ind w:left="700"/>
              <w:rPr>
                <w:sz w:val="21"/>
              </w:rPr>
            </w:pPr>
            <w:r>
              <w:rPr>
                <w:spacing w:val="-1"/>
                <w:sz w:val="21"/>
              </w:rPr>
              <w:t>取、弃土场地整修、其它临时占地生态恢复、护坡工程、道路绿化</w:t>
            </w:r>
          </w:p>
        </w:tc>
      </w:tr>
      <w:tr>
        <w:tblPrEx>
          <w:tblW w:w="0" w:type="auto"/>
          <w:jc w:val="left"/>
          <w:tblInd w:w="2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4"/>
          <w:jc w:val="left"/>
        </w:trPr>
        <w:tc>
          <w:tcPr>
            <w:tcW w:w="727" w:type="dxa"/>
          </w:tcPr>
          <w:p>
            <w:pPr>
              <w:pStyle w:val="TableParagraph"/>
              <w:spacing w:line="270" w:lineRule="atLeast"/>
              <w:ind w:left="108" w:right="96"/>
              <w:rPr>
                <w:sz w:val="21"/>
              </w:rPr>
            </w:pPr>
            <w:r>
              <w:rPr>
                <w:spacing w:val="-10"/>
                <w:sz w:val="21"/>
              </w:rPr>
              <w:t>绿 化</w:t>
            </w:r>
            <w:r>
              <w:rPr>
                <w:spacing w:val="-6"/>
                <w:sz w:val="21"/>
              </w:rPr>
              <w:t>工程</w:t>
            </w:r>
          </w:p>
        </w:tc>
        <w:tc>
          <w:tcPr>
            <w:tcW w:w="7491" w:type="dxa"/>
          </w:tcPr>
          <w:p>
            <w:pPr>
              <w:pStyle w:val="TableParagraph"/>
              <w:spacing w:before="139"/>
              <w:ind w:left="449" w:right="2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道路沿线绿化</w:t>
            </w:r>
          </w:p>
        </w:tc>
      </w:tr>
    </w:tbl>
    <w:p>
      <w:pPr>
        <w:pStyle w:val="Heading3"/>
        <w:numPr>
          <w:ilvl w:val="1"/>
          <w:numId w:val="19"/>
        </w:numPr>
        <w:tabs>
          <w:tab w:val="left" w:pos="1379"/>
          <w:tab w:val="left" w:pos="1380"/>
        </w:tabs>
        <w:spacing w:before="0" w:after="0" w:line="457" w:lineRule="exact"/>
        <w:ind w:left="1379" w:right="0" w:hanging="660"/>
        <w:jc w:val="left"/>
      </w:pPr>
      <w:bookmarkStart w:id="4" w:name="_TOC_250056"/>
      <w:bookmarkEnd w:id="4"/>
      <w:r>
        <w:rPr>
          <w:spacing w:val="-1"/>
        </w:rPr>
        <w:t>与产业政策和规划相符性分析</w:t>
      </w:r>
    </w:p>
    <w:p>
      <w:pPr>
        <w:pStyle w:val="BodyText"/>
        <w:spacing w:before="121" w:line="364" w:lineRule="auto"/>
        <w:ind w:left="120" w:right="418" w:firstLine="352"/>
      </w:pPr>
      <w:r>
        <w:rPr>
          <w:spacing w:val="-2"/>
        </w:rPr>
        <w:t>本项目属于《产业结构调整指导目录（</w:t>
      </w:r>
      <w:r>
        <w:rPr>
          <w:rFonts w:ascii="Times New Roman" w:eastAsia="Times New Roman" w:hAnsi="Times New Roman"/>
          <w:spacing w:val="-2"/>
        </w:rPr>
        <w:t xml:space="preserve">2011 </w:t>
      </w:r>
      <w:r>
        <w:rPr>
          <w:spacing w:val="-2"/>
        </w:rPr>
        <w:t>年本）（修改）》鼓励类第二十</w:t>
      </w:r>
      <w:r>
        <w:rPr>
          <w:spacing w:val="-5"/>
        </w:rPr>
        <w:t xml:space="preserve">二条中第 </w:t>
      </w:r>
      <w:r>
        <w:rPr>
          <w:rFonts w:ascii="Times New Roman" w:eastAsia="Times New Roman" w:hAnsi="Times New Roman"/>
        </w:rPr>
        <w:t xml:space="preserve">3 </w:t>
      </w:r>
      <w:r>
        <w:t>小条“城市公共交通建设”。</w:t>
      </w:r>
    </w:p>
    <w:p>
      <w:pPr>
        <w:pStyle w:val="BodyText"/>
        <w:spacing w:line="364" w:lineRule="auto"/>
        <w:ind w:left="120" w:right="418" w:firstLine="352"/>
      </w:pPr>
      <w:r>
        <w:rPr>
          <w:spacing w:val="-10"/>
        </w:rPr>
        <w:t xml:space="preserve">本项目已于 </w:t>
      </w:r>
      <w:r>
        <w:rPr>
          <w:rFonts w:ascii="Times New Roman" w:eastAsia="Times New Roman"/>
        </w:rPr>
        <w:t>2014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30"/>
        </w:rPr>
        <w:t xml:space="preserve">年 </w:t>
      </w:r>
      <w:r>
        <w:rPr>
          <w:rFonts w:ascii="Times New Roman" w:eastAsia="Times New Roman"/>
        </w:rPr>
        <w:t>2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30"/>
        </w:rPr>
        <w:t xml:space="preserve">月 </w:t>
      </w:r>
      <w:r>
        <w:rPr>
          <w:rFonts w:ascii="Times New Roman" w:eastAsia="Times New Roman"/>
        </w:rPr>
        <w:t>21</w:t>
      </w:r>
      <w:r>
        <w:rPr>
          <w:rFonts w:ascii="Times New Roman" w:eastAsia="Times New Roman"/>
          <w:spacing w:val="-1"/>
        </w:rPr>
        <w:t xml:space="preserve"> </w:t>
      </w:r>
      <w:r>
        <w:t>日取得了广德县发改委开展前期工作函的通知，</w:t>
      </w:r>
      <w:r>
        <w:t>发改投</w:t>
      </w:r>
      <w:r>
        <w:rPr>
          <w:rFonts w:ascii="Times New Roman" w:eastAsia="Times New Roman"/>
        </w:rPr>
        <w:t xml:space="preserve">[2014]023 </w:t>
      </w:r>
      <w:r>
        <w:t>号。</w:t>
      </w:r>
    </w:p>
    <w:p>
      <w:pPr>
        <w:pStyle w:val="BodyText"/>
        <w:spacing w:line="306" w:lineRule="exact"/>
        <w:ind w:left="600" w:firstLine="0"/>
      </w:pPr>
      <w:r>
        <w:rPr>
          <w:spacing w:val="-1"/>
        </w:rPr>
        <w:t>因此，项目建设符合国家及地方产业政策。</w:t>
      </w:r>
    </w:p>
    <w:p>
      <w:pPr>
        <w:pStyle w:val="BodyText"/>
        <w:spacing w:before="159" w:line="364" w:lineRule="auto"/>
        <w:ind w:left="120" w:right="418"/>
        <w:jc w:val="both"/>
      </w:pPr>
      <w:r>
        <w:rPr>
          <w:spacing w:val="-2"/>
        </w:rPr>
        <w:t>根据《广德县城市总体规划》（</w:t>
      </w:r>
      <w:r>
        <w:rPr>
          <w:rFonts w:ascii="Times New Roman" w:eastAsia="Times New Roman"/>
          <w:spacing w:val="-2"/>
        </w:rPr>
        <w:t>2007-2020</w:t>
      </w:r>
      <w:r>
        <w:rPr>
          <w:spacing w:val="-2"/>
        </w:rPr>
        <w:t>）第十三章城市综合交通规划，</w:t>
      </w:r>
      <w:r>
        <w:rPr>
          <w:spacing w:val="-4"/>
        </w:rPr>
        <w:t>为加快城区外环路建设，改善城市对外出入口的形象，重点处理好广溧路、广祠路、广宁路等。将城市道路等级分为城市主干道、城市次干道、支路三级，规划</w:t>
      </w:r>
      <w:r>
        <w:rPr>
          <w:spacing w:val="-4"/>
        </w:rPr>
        <w:t>城区内主干道系统有建设路、建民路、振业路、建东大道、前进路、广祠路、南</w:t>
      </w:r>
      <w:r>
        <w:rPr>
          <w:spacing w:val="-4"/>
        </w:rPr>
        <w:t>环路、新进路、南外环路。拟建项目位于广德城区，属城市规划片区，兴建的城</w:t>
      </w:r>
      <w:r>
        <w:rPr>
          <w:spacing w:val="-6"/>
        </w:rPr>
        <w:t>市主次干道也属于广德县城市交通规划中的规划道路，对于完善区域的交通路网</w:t>
      </w:r>
      <w:r>
        <w:rPr>
          <w:spacing w:val="-2"/>
        </w:rPr>
        <w:t>具有重要的作用，因此，本项目中的道路工程符合广德县城市交通规划。</w:t>
      </w:r>
    </w:p>
    <w:p>
      <w:pPr>
        <w:spacing w:after="0" w:line="364" w:lineRule="auto"/>
        <w:jc w:val="both"/>
        <w:sectPr>
          <w:footerReference w:type="default" r:id="rId6"/>
          <w:pgSz w:w="11910" w:h="16840"/>
          <w:pgMar w:top="1400" w:right="1380" w:bottom="1180" w:left="1680" w:header="0" w:footer="990"/>
          <w:pgNumType w:start="3"/>
          <w:cols w:space="708"/>
        </w:sectPr>
      </w:pPr>
    </w:p>
    <w:p>
      <w:pPr>
        <w:pStyle w:val="Heading3"/>
        <w:numPr>
          <w:ilvl w:val="1"/>
          <w:numId w:val="19"/>
        </w:numPr>
        <w:tabs>
          <w:tab w:val="left" w:pos="1519"/>
          <w:tab w:val="left" w:pos="1520"/>
        </w:tabs>
        <w:spacing w:before="0" w:after="0" w:line="469" w:lineRule="exact"/>
        <w:ind w:left="1519" w:right="0" w:hanging="800"/>
        <w:jc w:val="left"/>
      </w:pPr>
      <w:bookmarkStart w:id="5" w:name="_TOC_250055"/>
      <w:bookmarkEnd w:id="5"/>
      <w:r>
        <w:rPr>
          <w:spacing w:val="-2"/>
        </w:rPr>
        <w:t>选址合理性分析</w:t>
      </w:r>
    </w:p>
    <w:p>
      <w:pPr>
        <w:pStyle w:val="BodyText"/>
        <w:spacing w:before="121" w:line="364" w:lineRule="auto"/>
        <w:ind w:left="120" w:right="325"/>
      </w:pPr>
      <w:r>
        <w:rPr>
          <w:spacing w:val="-2"/>
        </w:rPr>
        <w:t>本项目道路施工、桥梁施工、大临工程选址符合国家及地方相关产业政策，</w:t>
      </w:r>
      <w:r>
        <w:rPr>
          <w:spacing w:val="-2"/>
        </w:rPr>
        <w:t>符合城市总体规划，符合土地利用总体规划和国家相关用地政策，符合国民经济</w:t>
      </w:r>
      <w:r>
        <w:rPr>
          <w:spacing w:val="-2"/>
        </w:rPr>
        <w:t>和社会发展规划；工程建设条件可行；排水条件、区域环境敏感因素制约较小。</w:t>
      </w:r>
      <w:r>
        <w:rPr>
          <w:spacing w:val="-6"/>
        </w:rPr>
        <w:t>在认真落实工程设计及本报告书提出的各项环境保护措施，严格防范各方面的环</w:t>
      </w:r>
      <w:r>
        <w:rPr>
          <w:spacing w:val="-2"/>
        </w:rPr>
        <w:t>境影响后，项目建设不会对区域环境质量造成明显不利影响；当地大多数公众对</w:t>
      </w:r>
      <w:r>
        <w:rPr>
          <w:spacing w:val="-2"/>
        </w:rPr>
        <w:t>该项目持赞成态度，项目选址基本合理。</w:t>
      </w:r>
    </w:p>
    <w:p>
      <w:pPr>
        <w:spacing w:after="0" w:line="364" w:lineRule="auto"/>
        <w:sectPr>
          <w:footerReference w:type="default" r:id="rId7"/>
          <w:pgSz w:w="11910" w:h="16840"/>
          <w:pgMar w:top="1380" w:right="1380" w:bottom="1180" w:left="1680" w:header="0" w:footer="990"/>
          <w:pgNumType w:start="4"/>
          <w:cols w:space="708"/>
        </w:sectPr>
      </w:pPr>
    </w:p>
    <w:p>
      <w:pPr>
        <w:pStyle w:val="Heading1"/>
        <w:numPr>
          <w:ilvl w:val="0"/>
          <w:numId w:val="18"/>
        </w:numPr>
        <w:tabs>
          <w:tab w:val="left" w:pos="539"/>
          <w:tab w:val="left" w:pos="540"/>
        </w:tabs>
        <w:spacing w:before="0" w:after="0" w:line="530" w:lineRule="exact"/>
        <w:ind w:left="539" w:right="0" w:hanging="420"/>
        <w:jc w:val="left"/>
      </w:pPr>
      <w:bookmarkStart w:id="6" w:name="_TOC_250054"/>
      <w:bookmarkEnd w:id="6"/>
      <w:r>
        <w:rPr>
          <w:spacing w:val="-1"/>
        </w:rPr>
        <w:t>建设项目周围环境现状</w:t>
      </w:r>
    </w:p>
    <w:p>
      <w:pPr>
        <w:pStyle w:val="Heading3"/>
        <w:numPr>
          <w:ilvl w:val="1"/>
          <w:numId w:val="18"/>
        </w:numPr>
        <w:tabs>
          <w:tab w:val="left" w:pos="1379"/>
          <w:tab w:val="left" w:pos="1380"/>
        </w:tabs>
        <w:spacing w:before="46" w:after="0" w:line="240" w:lineRule="auto"/>
        <w:ind w:left="1379" w:right="0" w:hanging="660"/>
        <w:jc w:val="left"/>
        <w:rPr>
          <w:rFonts w:ascii="Times New Roman" w:eastAsia="Times New Roman"/>
        </w:rPr>
      </w:pPr>
      <w:bookmarkStart w:id="7" w:name="_TOC_250053"/>
      <w:bookmarkEnd w:id="7"/>
      <w:r>
        <w:rPr>
          <w:spacing w:val="-2"/>
        </w:rPr>
        <w:t>自然环境现状调查</w:t>
      </w:r>
    </w:p>
    <w:p>
      <w:pPr>
        <w:pStyle w:val="Heading4"/>
        <w:numPr>
          <w:ilvl w:val="2"/>
          <w:numId w:val="18"/>
        </w:numPr>
        <w:tabs>
          <w:tab w:val="left" w:pos="959"/>
          <w:tab w:val="left" w:pos="960"/>
        </w:tabs>
        <w:spacing w:before="163" w:after="0" w:line="240" w:lineRule="auto"/>
        <w:ind w:left="960" w:right="0" w:hanging="840"/>
        <w:jc w:val="left"/>
        <w:rPr>
          <w:rFonts w:ascii="Times New Roman" w:eastAsia="Times New Roman"/>
        </w:rPr>
      </w:pPr>
      <w:bookmarkStart w:id="8" w:name="_TOC_250052"/>
      <w:bookmarkEnd w:id="8"/>
      <w:r>
        <w:rPr>
          <w:spacing w:val="-3"/>
        </w:rPr>
        <w:t>地理位置</w:t>
      </w:r>
    </w:p>
    <w:p>
      <w:pPr>
        <w:pStyle w:val="BodyText"/>
        <w:spacing w:before="104" w:line="364" w:lineRule="auto"/>
        <w:ind w:left="120" w:right="298"/>
      </w:pPr>
      <w:r>
        <w:rPr>
          <w:spacing w:val="-2"/>
        </w:rPr>
        <w:t>广德县地处安徽省东南部，位于苏、浙、皖三省八县（市）交界处，地跨东</w:t>
      </w:r>
      <w:r>
        <w:rPr>
          <w:spacing w:val="-30"/>
        </w:rPr>
        <w:t xml:space="preserve">经 </w:t>
      </w:r>
      <w:r>
        <w:rPr>
          <w:rFonts w:ascii="Times New Roman" w:eastAsia="Times New Roman" w:hAnsi="Times New Roman"/>
          <w:spacing w:val="-4"/>
        </w:rPr>
        <w:t>119°02′</w:t>
      </w:r>
      <w:r>
        <w:rPr>
          <w:spacing w:val="-4"/>
        </w:rPr>
        <w:t>～</w:t>
      </w:r>
      <w:r>
        <w:rPr>
          <w:rFonts w:ascii="Times New Roman" w:eastAsia="Times New Roman" w:hAnsi="Times New Roman"/>
          <w:spacing w:val="-4"/>
        </w:rPr>
        <w:t>119°40′</w:t>
      </w:r>
      <w:r>
        <w:rPr>
          <w:spacing w:val="-17"/>
        </w:rPr>
        <w:t xml:space="preserve">，北纬 </w:t>
      </w:r>
      <w:r>
        <w:rPr>
          <w:rFonts w:ascii="Times New Roman" w:eastAsia="Times New Roman" w:hAnsi="Times New Roman"/>
          <w:spacing w:val="-4"/>
        </w:rPr>
        <w:t>30°37′</w:t>
      </w:r>
      <w:r>
        <w:rPr>
          <w:spacing w:val="-4"/>
        </w:rPr>
        <w:t>～</w:t>
      </w:r>
      <w:r>
        <w:rPr>
          <w:rFonts w:ascii="Times New Roman" w:eastAsia="Times New Roman" w:hAnsi="Times New Roman"/>
          <w:spacing w:val="-4"/>
        </w:rPr>
        <w:t>31°12′</w:t>
      </w:r>
      <w:r>
        <w:rPr>
          <w:spacing w:val="-8"/>
        </w:rPr>
        <w:t>。东和东南连接浙江省长兴县、安吉县；</w:t>
      </w:r>
      <w:r>
        <w:rPr>
          <w:spacing w:val="-2"/>
        </w:rPr>
        <w:t>南邻宁国市；西接宣州区、郎溪县，紧临长江三角洲；北接江苏省溧阳市、宜兴</w:t>
      </w:r>
      <w:r>
        <w:rPr>
          <w:spacing w:val="-8"/>
        </w:rPr>
        <w:t xml:space="preserve">市。地域南北长 </w:t>
      </w:r>
      <w:r>
        <w:rPr>
          <w:rFonts w:ascii="Times New Roman" w:eastAsia="Times New Roman" w:hAnsi="Times New Roman"/>
        </w:rPr>
        <w:t>65km</w:t>
      </w:r>
      <w:r>
        <w:rPr>
          <w:spacing w:val="-12"/>
        </w:rPr>
        <w:t xml:space="preserve">，东西宽 </w:t>
      </w:r>
      <w:r>
        <w:rPr>
          <w:rFonts w:ascii="Times New Roman" w:eastAsia="Times New Roman" w:hAnsi="Times New Roman"/>
        </w:rPr>
        <w:t>48km</w:t>
      </w:r>
      <w:r>
        <w:rPr>
          <w:spacing w:val="-6"/>
        </w:rPr>
        <w:t xml:space="preserve">，全县幅员总面积为 </w:t>
      </w:r>
      <w:r>
        <w:rPr>
          <w:rFonts w:ascii="Times New Roman" w:eastAsia="Times New Roman" w:hAnsi="Times New Roman"/>
        </w:rPr>
        <w:t>2165km</w:t>
      </w:r>
      <w:r>
        <w:rPr>
          <w:rFonts w:ascii="Times New Roman" w:eastAsia="Times New Roman" w:hAnsi="Times New Roman"/>
          <w:position w:val="7"/>
          <w:sz w:val="16"/>
        </w:rPr>
        <w:t>2</w:t>
      </w:r>
      <w:r>
        <w:t>。所处的区域</w:t>
      </w:r>
      <w:r>
        <w:rPr>
          <w:spacing w:val="-15"/>
        </w:rPr>
        <w:t xml:space="preserve">在上海 </w:t>
      </w:r>
      <w:r>
        <w:rPr>
          <w:rFonts w:ascii="Times New Roman" w:eastAsia="Times New Roman" w:hAnsi="Times New Roman"/>
        </w:rPr>
        <w:t>3</w:t>
      </w:r>
      <w:r>
        <w:rPr>
          <w:rFonts w:ascii="Times New Roman" w:eastAsia="Times New Roman" w:hAnsi="Times New Roman"/>
          <w:spacing w:val="-7"/>
        </w:rPr>
        <w:t xml:space="preserve"> </w:t>
      </w:r>
      <w:r>
        <w:rPr>
          <w:spacing w:val="-4"/>
        </w:rPr>
        <w:t xml:space="preserve">小时经济圈，苏州、无锡、南京、杭州 </w:t>
      </w:r>
      <w:r>
        <w:rPr>
          <w:rFonts w:ascii="Times New Roman" w:eastAsia="Times New Roman" w:hAnsi="Times New Roman"/>
        </w:rPr>
        <w:t>2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t>小时经济圈内。广德县属黄ft</w:t>
      </w:r>
      <w:r>
        <w:rPr>
          <w:spacing w:val="-2"/>
        </w:rPr>
        <w:t>余脉和天目ft余脉所环抱的丘陵地区，位于皖南ft地与沿江平原的过渡带。黄ft</w:t>
      </w:r>
      <w:r>
        <w:rPr>
          <w:spacing w:val="-2"/>
        </w:rPr>
        <w:t>余脉自西向南入境，分别向东、西、北三方蜿蜒延伸；天目ft余脉从东南插入，</w:t>
      </w:r>
      <w:r>
        <w:rPr>
          <w:spacing w:val="-2"/>
        </w:rPr>
        <w:t>向北逶迤蛇行，其间层峦叠嶂，为皖、浙、苏的天然分界。地貌格局比较复杂，</w:t>
      </w:r>
      <w:r>
        <w:rPr>
          <w:spacing w:val="-2"/>
        </w:rPr>
        <w:t>南北高，东西低。周围群峰环列，中部为坳陷盆地，地形起伏较大。盆地四周依</w:t>
      </w:r>
      <w:r>
        <w:rPr>
          <w:spacing w:val="-2"/>
        </w:rPr>
        <w:t>次为岗地、丘陵、低ft</w:t>
      </w:r>
      <w:r>
        <w:rPr>
          <w:spacing w:val="-6"/>
        </w:rPr>
        <w:t xml:space="preserve">所环绕。南部、东南部是高丘和海拔 </w:t>
      </w:r>
      <w:r>
        <w:rPr>
          <w:rFonts w:ascii="Times New Roman" w:eastAsia="Times New Roman" w:hAnsi="Times New Roman"/>
          <w:spacing w:val="-2"/>
        </w:rPr>
        <w:t>500</w:t>
      </w:r>
      <w:r>
        <w:rPr>
          <w:spacing w:val="-2"/>
        </w:rPr>
        <w:t>～</w:t>
      </w:r>
      <w:r>
        <w:rPr>
          <w:rFonts w:ascii="Times New Roman" w:eastAsia="Times New Roman" w:hAnsi="Times New Roman"/>
          <w:spacing w:val="-2"/>
        </w:rPr>
        <w:t xml:space="preserve">800m </w:t>
      </w:r>
      <w:r>
        <w:rPr>
          <w:spacing w:val="-2"/>
        </w:rPr>
        <w:t>的低ft</w:t>
      </w:r>
      <w:r>
        <w:rPr>
          <w:spacing w:val="-2"/>
        </w:rPr>
        <w:t>，</w:t>
      </w:r>
      <w:r>
        <w:rPr>
          <w:spacing w:val="-2"/>
        </w:rPr>
        <w:t>北部以丘陵为主，仅皖、苏、浙接壤处有低ft蜿蜒，组成丘陵的岩性与南部低ft</w:t>
      </w:r>
      <w:r>
        <w:rPr>
          <w:spacing w:val="-2"/>
        </w:rPr>
        <w:t>相似，但该处石灰岩质纯层厚，发育了典型的亚热带地下喀斯特地貌，主要的太</w:t>
      </w:r>
      <w:r>
        <w:rPr>
          <w:spacing w:val="-2"/>
        </w:rPr>
        <w:t xml:space="preserve">极洞和桃姑迷宫已经成为重要的旅游景点。全县境内以西北隅赵村乡海拔 </w:t>
      </w:r>
      <w:r>
        <w:rPr>
          <w:rFonts w:ascii="Times New Roman" w:eastAsia="Times New Roman" w:hAnsi="Times New Roman"/>
        </w:rPr>
        <w:t>14.5m</w:t>
      </w:r>
      <w:r>
        <w:rPr>
          <w:spacing w:val="-2"/>
        </w:rPr>
        <w:t xml:space="preserve">的狮子口河底最低，南部四合乡海拔 </w:t>
      </w:r>
      <w:r>
        <w:rPr>
          <w:rFonts w:ascii="Times New Roman" w:eastAsia="Times New Roman" w:hAnsi="Times New Roman"/>
        </w:rPr>
        <w:t xml:space="preserve">863.3m </w:t>
      </w:r>
      <w:r>
        <w:t>的马鞍ft最高。</w:t>
      </w:r>
    </w:p>
    <w:p>
      <w:pPr>
        <w:spacing w:after="0" w:line="364" w:lineRule="auto"/>
        <w:sectPr>
          <w:footerReference w:type="default" r:id="rId8"/>
          <w:pgSz w:w="11910" w:h="16840"/>
          <w:pgMar w:top="1380" w:right="1380" w:bottom="1180" w:left="1680" w:header="0" w:footer="990"/>
          <w:pgNumType w:start="5"/>
          <w:cols w:space="708"/>
        </w:sectPr>
      </w:pP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10"/>
        <w:ind w:left="0" w:firstLine="0"/>
        <w:rPr>
          <w:sz w:val="22"/>
        </w:rPr>
      </w:pPr>
    </w:p>
    <w:p>
      <w:pPr>
        <w:pStyle w:val="BodyText"/>
        <w:ind w:left="10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829550" cy="48291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"/>
        <w:tabs>
          <w:tab w:val="left" w:pos="6335"/>
        </w:tabs>
        <w:spacing w:before="22"/>
        <w:ind w:left="5174"/>
      </w:pPr>
      <w:r>
        <w:t xml:space="preserve">图 </w:t>
      </w:r>
      <w:r>
        <w:rPr>
          <w:rFonts w:ascii="Times New Roman" w:eastAsia="Times New Roman"/>
        </w:rPr>
        <w:t>1.1-</w:t>
      </w:r>
      <w:r>
        <w:rPr>
          <w:rFonts w:ascii="Times New Roman" w:eastAsia="Times New Roman"/>
          <w:spacing w:val="-10"/>
        </w:rPr>
        <w:t>1</w:t>
      </w:r>
      <w:r>
        <w:rPr>
          <w:rFonts w:ascii="Times New Roman" w:eastAsia="Times New Roman"/>
        </w:rPr>
        <w:tab/>
      </w:r>
      <w:r>
        <w:t>地理位置及建设内</w:t>
      </w:r>
      <w:r>
        <w:rPr>
          <w:spacing w:val="-10"/>
        </w:rPr>
        <w:t>容</w:t>
      </w:r>
    </w:p>
    <w:p>
      <w:pPr>
        <w:pStyle w:val="BodyText"/>
        <w:ind w:left="0" w:firstLine="0"/>
        <w:rPr>
          <w:rFonts w:ascii="Microsoft JhengHei"/>
          <w:b/>
          <w:sz w:val="20"/>
        </w:rPr>
      </w:pPr>
    </w:p>
    <w:p>
      <w:pPr>
        <w:pStyle w:val="BodyText"/>
        <w:spacing w:before="9"/>
        <w:ind w:left="0" w:firstLine="0"/>
        <w:rPr>
          <w:rFonts w:ascii="Microsoft JhengHei"/>
          <w:b/>
          <w:sz w:val="15"/>
        </w:rPr>
      </w:pPr>
    </w:p>
    <w:p>
      <w:pPr>
        <w:spacing w:before="92"/>
        <w:ind w:left="600" w:right="0" w:firstLine="0"/>
        <w:jc w:val="center"/>
        <w:rPr>
          <w:rFonts w:ascii="Times New Roman"/>
          <w:sz w:val="18"/>
        </w:rPr>
      </w:pPr>
      <w:r>
        <w:rPr>
          <w:rFonts w:ascii="Times New Roman"/>
          <w:sz w:val="18"/>
        </w:rPr>
        <w:t>6</w:t>
      </w:r>
    </w:p>
    <w:p>
      <w:pPr>
        <w:spacing w:after="0"/>
        <w:jc w:val="center"/>
        <w:rPr>
          <w:rFonts w:ascii="Times New Roman"/>
          <w:sz w:val="18"/>
        </w:rPr>
        <w:sectPr>
          <w:footerReference w:type="default" r:id="rId10"/>
          <w:pgSz w:w="16840" w:h="11910" w:orient="landscape"/>
          <w:pgMar w:top="1340" w:right="2420" w:bottom="280" w:left="1820" w:header="0" w:footer="0"/>
          <w:pgNumType w:start="6"/>
          <w:cols w:space="708"/>
        </w:sectPr>
      </w:pPr>
    </w:p>
    <w:p>
      <w:pPr>
        <w:pStyle w:val="Heading4"/>
        <w:numPr>
          <w:ilvl w:val="2"/>
          <w:numId w:val="18"/>
        </w:numPr>
        <w:tabs>
          <w:tab w:val="left" w:pos="1279"/>
          <w:tab w:val="left" w:pos="1280"/>
        </w:tabs>
        <w:spacing w:before="0" w:after="0" w:line="408" w:lineRule="exact"/>
        <w:ind w:left="1280" w:right="0" w:hanging="840"/>
        <w:jc w:val="left"/>
        <w:rPr>
          <w:rFonts w:ascii="Times New Roman" w:eastAsia="Times New Roman"/>
        </w:rPr>
      </w:pPr>
      <w:bookmarkStart w:id="9" w:name="_TOC_250051"/>
      <w:bookmarkEnd w:id="9"/>
      <w:r>
        <w:rPr>
          <w:spacing w:val="-2"/>
        </w:rPr>
        <w:t>气候、气象</w:t>
      </w:r>
    </w:p>
    <w:p>
      <w:pPr>
        <w:pStyle w:val="BodyText"/>
        <w:spacing w:before="104" w:line="364" w:lineRule="auto"/>
        <w:ind w:right="709"/>
      </w:pPr>
      <w:r>
        <w:rPr>
          <w:spacing w:val="-17"/>
        </w:rPr>
        <w:t>广德县属于亚热带湿润性季风气候。气候资源总的特点为气候温和，雨水充沛，</w:t>
      </w:r>
      <w:r>
        <w:rPr>
          <w:spacing w:val="-6"/>
        </w:rPr>
        <w:t>光照充足，四季分明。初春气温回升快，受北方冷空气的影响，常伴有阴雨连绵的</w:t>
      </w:r>
      <w:r>
        <w:rPr>
          <w:spacing w:val="-14"/>
        </w:rPr>
        <w:t>天气；夏季气温日变化大，梅雨期降雨集中，后期常出现干旱；秋季天气平和稳定，</w:t>
      </w:r>
      <w:r>
        <w:rPr>
          <w:spacing w:val="-6"/>
        </w:rPr>
        <w:t>气温逐渐下降，空气日渐干燥，雨量减少，经常出现秋高气爽及风和日丽的天气；</w:t>
      </w:r>
      <w:r>
        <w:rPr>
          <w:spacing w:val="-14"/>
        </w:rPr>
        <w:t>冬季气候寒冷，空气干燥，天气晴朗，雨雪少，以北到西北风为主，常有冬旱天气。</w:t>
      </w:r>
    </w:p>
    <w:p>
      <w:pPr>
        <w:pStyle w:val="BodyText"/>
        <w:spacing w:line="364" w:lineRule="auto"/>
        <w:ind w:right="830"/>
      </w:pPr>
      <w:r>
        <w:rPr>
          <w:spacing w:val="-9"/>
        </w:rPr>
        <w:t xml:space="preserve">光照：全县年平均日照时数为 </w:t>
      </w:r>
      <w:r>
        <w:rPr>
          <w:rFonts w:ascii="Times New Roman" w:eastAsia="Times New Roman"/>
          <w:spacing w:val="-4"/>
        </w:rPr>
        <w:t>2162.1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9"/>
        </w:rPr>
        <w:t xml:space="preserve">小时，年平均日照百分率为 </w:t>
      </w:r>
      <w:r>
        <w:rPr>
          <w:rFonts w:ascii="Times New Roman" w:eastAsia="Times New Roman"/>
          <w:spacing w:val="-4"/>
        </w:rPr>
        <w:t>49%</w:t>
      </w:r>
      <w:r>
        <w:rPr>
          <w:spacing w:val="-4"/>
        </w:rPr>
        <w:t>，平均</w:t>
      </w:r>
      <w:r>
        <w:rPr>
          <w:spacing w:val="-24"/>
        </w:rPr>
        <w:t xml:space="preserve">每天 </w:t>
      </w:r>
      <w:r>
        <w:rPr>
          <w:rFonts w:ascii="Times New Roman" w:eastAsia="Times New Roman"/>
        </w:rPr>
        <w:t>5.9</w:t>
      </w:r>
      <w:r>
        <w:rPr>
          <w:rFonts w:ascii="Times New Roman" w:eastAsia="Times New Roman"/>
          <w:spacing w:val="-5"/>
        </w:rPr>
        <w:t xml:space="preserve"> </w:t>
      </w:r>
      <w:r>
        <w:rPr>
          <w:spacing w:val="-6"/>
        </w:rPr>
        <w:t xml:space="preserve">小时，年平均太阳辐射为 </w:t>
      </w:r>
      <w:r>
        <w:rPr>
          <w:rFonts w:ascii="Times New Roman" w:eastAsia="Times New Roman"/>
        </w:rPr>
        <w:t>119.4</w:t>
      </w:r>
      <w:r>
        <w:rPr>
          <w:rFonts w:ascii="Times New Roman" w:eastAsia="Times New Roman"/>
          <w:spacing w:val="-5"/>
        </w:rPr>
        <w:t xml:space="preserve"> </w:t>
      </w:r>
      <w:r>
        <w:t>千卡</w:t>
      </w:r>
      <w:r>
        <w:rPr>
          <w:rFonts w:ascii="Times New Roman" w:eastAsia="Times New Roman"/>
        </w:rPr>
        <w:t>/cm</w:t>
      </w:r>
      <w:r>
        <w:rPr>
          <w:rFonts w:ascii="Times New Roman" w:eastAsia="Times New Roman"/>
          <w:position w:val="7"/>
          <w:sz w:val="16"/>
        </w:rPr>
        <w:t>2</w:t>
      </w:r>
      <w:r>
        <w:t>。</w:t>
      </w:r>
    </w:p>
    <w:p>
      <w:pPr>
        <w:pStyle w:val="BodyText"/>
        <w:spacing w:line="364" w:lineRule="auto"/>
        <w:ind w:right="829"/>
      </w:pPr>
      <w:r>
        <w:rPr>
          <w:spacing w:val="-15"/>
        </w:rPr>
        <w:t xml:space="preserve">气温：全县年平均气温为 </w:t>
      </w:r>
      <w:r>
        <w:rPr>
          <w:rFonts w:ascii="Times New Roman" w:eastAsia="Times New Roman" w:hAnsi="Times New Roman"/>
          <w:spacing w:val="-10"/>
        </w:rPr>
        <w:t>15.4℃</w:t>
      </w:r>
      <w:r>
        <w:rPr>
          <w:spacing w:val="-10"/>
        </w:rPr>
        <w:t>，气温年际变化稳定，除个别年份外，变化均</w:t>
      </w:r>
      <w:r>
        <w:rPr>
          <w:spacing w:val="-32"/>
        </w:rPr>
        <w:t xml:space="preserve">在 </w:t>
      </w:r>
      <w:r>
        <w:rPr>
          <w:rFonts w:ascii="Times New Roman" w:eastAsia="Times New Roman" w:hAnsi="Times New Roman"/>
        </w:rPr>
        <w:t>0.5℃</w:t>
      </w:r>
      <w:r>
        <w:t>范围内。</w:t>
      </w:r>
    </w:p>
    <w:p>
      <w:pPr>
        <w:pStyle w:val="BodyText"/>
        <w:spacing w:line="364" w:lineRule="auto"/>
        <w:ind w:right="829"/>
        <w:jc w:val="both"/>
      </w:pPr>
      <w:r>
        <w:rPr>
          <w:spacing w:val="-11"/>
        </w:rPr>
        <w:t xml:space="preserve">降水：全县年降水量较丰富，各乡年平均降水量在 </w:t>
      </w:r>
      <w:r>
        <w:rPr>
          <w:rFonts w:ascii="Times New Roman" w:eastAsia="Times New Roman"/>
          <w:spacing w:val="-10"/>
        </w:rPr>
        <w:t>1100</w:t>
      </w:r>
      <w:r>
        <w:rPr>
          <w:spacing w:val="-10"/>
        </w:rPr>
        <w:t>～</w:t>
      </w:r>
      <w:r>
        <w:rPr>
          <w:rFonts w:ascii="Times New Roman" w:eastAsia="Times New Roman"/>
          <w:spacing w:val="-10"/>
        </w:rPr>
        <w:t>1500mm</w:t>
      </w:r>
      <w:r>
        <w:rPr>
          <w:rFonts w:ascii="Times New Roman" w:eastAsia="Times New Roman"/>
          <w:spacing w:val="-5"/>
        </w:rPr>
        <w:t xml:space="preserve"> </w:t>
      </w:r>
      <w:r>
        <w:rPr>
          <w:spacing w:val="-10"/>
        </w:rPr>
        <w:t xml:space="preserve">之间，降水趋势总体自南向北逐渐减少，南部ft区最多，北部ft区次之，全县年平均降水量为 </w:t>
      </w:r>
      <w:r>
        <w:rPr>
          <w:rFonts w:ascii="Times New Roman" w:eastAsia="Times New Roman"/>
          <w:spacing w:val="-2"/>
        </w:rPr>
        <w:t>1341.4mm</w:t>
      </w:r>
      <w:r>
        <w:rPr>
          <w:spacing w:val="-2"/>
        </w:rPr>
        <w:t>。</w:t>
      </w:r>
    </w:p>
    <w:p>
      <w:pPr>
        <w:pStyle w:val="BodyText"/>
        <w:spacing w:line="306" w:lineRule="exact"/>
        <w:ind w:left="920" w:firstLine="0"/>
        <w:jc w:val="both"/>
      </w:pPr>
      <w:r>
        <w:rPr>
          <w:spacing w:val="-14"/>
        </w:rPr>
        <w:t xml:space="preserve">气压：全县年平均气压 </w:t>
      </w:r>
      <w:r>
        <w:rPr>
          <w:rFonts w:ascii="Times New Roman" w:eastAsia="Times New Roman"/>
          <w:spacing w:val="-8"/>
        </w:rPr>
        <w:t>1010.9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8"/>
        </w:rPr>
        <w:t>毫巴，</w:t>
      </w:r>
      <w:r>
        <w:rPr>
          <w:rFonts w:ascii="Times New Roman" w:eastAsia="Times New Roman"/>
          <w:spacing w:val="-8"/>
        </w:rPr>
        <w:t>1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19"/>
        </w:rPr>
        <w:t xml:space="preserve">月份最高为 </w:t>
      </w:r>
      <w:r>
        <w:rPr>
          <w:rFonts w:ascii="Times New Roman" w:eastAsia="Times New Roman"/>
          <w:spacing w:val="-8"/>
        </w:rPr>
        <w:t>1020.8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8"/>
        </w:rPr>
        <w:t>毫巴，</w:t>
      </w:r>
      <w:r>
        <w:rPr>
          <w:rFonts w:ascii="Times New Roman" w:eastAsia="Times New Roman"/>
          <w:spacing w:val="-8"/>
        </w:rPr>
        <w:t>7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9"/>
        </w:rPr>
        <w:t>月份最低为</w:t>
      </w:r>
    </w:p>
    <w:p>
      <w:pPr>
        <w:pStyle w:val="BodyText"/>
        <w:spacing w:before="155"/>
        <w:ind w:firstLine="0"/>
      </w:pPr>
      <w:r>
        <w:rPr>
          <w:rFonts w:ascii="Times New Roman" w:eastAsia="Times New Roman"/>
          <w:spacing w:val="-6"/>
        </w:rPr>
        <w:t>998.6</w:t>
      </w:r>
      <w:r>
        <w:rPr>
          <w:rFonts w:ascii="Times New Roman" w:eastAsia="Times New Roman"/>
          <w:spacing w:val="1"/>
        </w:rPr>
        <w:t xml:space="preserve"> </w:t>
      </w:r>
      <w:r>
        <w:rPr>
          <w:spacing w:val="-8"/>
        </w:rPr>
        <w:t>毫巴。</w:t>
      </w:r>
    </w:p>
    <w:p>
      <w:pPr>
        <w:pStyle w:val="BodyText"/>
        <w:spacing w:before="159"/>
        <w:ind w:left="920" w:firstLine="0"/>
      </w:pPr>
      <w:r>
        <w:rPr>
          <w:spacing w:val="-10"/>
        </w:rPr>
        <w:t xml:space="preserve">风：全县以东到东南风为主，其次为西到西北风，年平均风速为 </w:t>
      </w:r>
      <w:r>
        <w:rPr>
          <w:rFonts w:ascii="Times New Roman" w:eastAsia="Times New Roman"/>
          <w:spacing w:val="-8"/>
        </w:rPr>
        <w:t>2.7m/s</w:t>
      </w:r>
      <w:r>
        <w:rPr>
          <w:spacing w:val="-10"/>
        </w:rPr>
        <w:t>。</w:t>
      </w:r>
    </w:p>
    <w:p>
      <w:pPr>
        <w:pStyle w:val="BodyText"/>
        <w:spacing w:before="160"/>
        <w:ind w:left="920" w:firstLine="0"/>
      </w:pPr>
      <w:r>
        <w:rPr>
          <w:spacing w:val="-5"/>
        </w:rPr>
        <w:t>雷暴：一年四季均有雷暴出现，尤其以夏末、秋初较多，年平均雷暴日数为</w:t>
      </w:r>
    </w:p>
    <w:p>
      <w:pPr>
        <w:pStyle w:val="BodyText"/>
        <w:spacing w:before="159"/>
        <w:ind w:firstLine="0"/>
      </w:pPr>
      <w:r>
        <w:rPr>
          <w:rFonts w:ascii="Times New Roman" w:eastAsia="Times New Roman"/>
        </w:rPr>
        <w:t xml:space="preserve">46.3 </w:t>
      </w:r>
      <w:r>
        <w:rPr>
          <w:spacing w:val="-3"/>
        </w:rPr>
        <w:t xml:space="preserve">天。全年主导风向为东风，次主导风向为东北风，风速年平均为 </w:t>
      </w:r>
      <w:r>
        <w:rPr>
          <w:rFonts w:ascii="Times New Roman" w:eastAsia="Times New Roman"/>
        </w:rPr>
        <w:t>2.8m/s</w:t>
      </w:r>
      <w:r>
        <w:rPr>
          <w:spacing w:val="-10"/>
        </w:rPr>
        <w:t>。</w:t>
      </w:r>
    </w:p>
    <w:p>
      <w:pPr>
        <w:pStyle w:val="Heading4"/>
        <w:numPr>
          <w:ilvl w:val="2"/>
          <w:numId w:val="18"/>
        </w:numPr>
        <w:tabs>
          <w:tab w:val="left" w:pos="1279"/>
          <w:tab w:val="left" w:pos="1280"/>
        </w:tabs>
        <w:spacing w:before="80" w:after="0" w:line="240" w:lineRule="auto"/>
        <w:ind w:left="1280" w:right="0" w:hanging="840"/>
        <w:jc w:val="left"/>
        <w:rPr>
          <w:rFonts w:ascii="Times New Roman" w:eastAsia="Times New Roman"/>
        </w:rPr>
      </w:pPr>
      <w:bookmarkStart w:id="10" w:name="_TOC_250050"/>
      <w:bookmarkEnd w:id="10"/>
      <w:r>
        <w:rPr>
          <w:spacing w:val="-5"/>
        </w:rPr>
        <w:t>水文</w:t>
      </w:r>
    </w:p>
    <w:p>
      <w:pPr>
        <w:pStyle w:val="BodyText"/>
        <w:spacing w:before="105" w:line="364" w:lineRule="auto"/>
        <w:ind w:right="718"/>
      </w:pPr>
      <w:r>
        <w:rPr>
          <w:spacing w:val="-2"/>
        </w:rPr>
        <w:t>广德县境内溪涧密布，河流大多为出境河流，主要有桐汭河和无量溪河，属</w:t>
      </w:r>
      <w:r>
        <w:rPr>
          <w:spacing w:val="-10"/>
        </w:rPr>
        <w:t>长江二级支流朗川河</w:t>
      </w:r>
      <w:r>
        <w:rPr>
          <w:spacing w:val="-2"/>
        </w:rPr>
        <w:t>（一级支流水阳江</w:t>
      </w:r>
      <w:r>
        <w:rPr>
          <w:spacing w:val="-72"/>
        </w:rPr>
        <w:t>）</w:t>
      </w:r>
      <w:r>
        <w:rPr>
          <w:spacing w:val="-11"/>
        </w:rPr>
        <w:t>上游水系。两大河流由南向北贯穿全境，</w:t>
      </w:r>
      <w:r>
        <w:rPr>
          <w:spacing w:val="-2"/>
        </w:rPr>
        <w:t>流入郎溪县境内的合溪口汇合后称朗川河，流入南漪湖。另外朱湾河、石进河、</w:t>
      </w:r>
      <w:r>
        <w:rPr>
          <w:spacing w:val="-2"/>
        </w:rPr>
        <w:t>庙西河、衡ft河，分别流入浙江省长兴县、安吉县和江苏省溧阳市。</w:t>
      </w:r>
    </w:p>
    <w:p>
      <w:pPr>
        <w:pStyle w:val="Heading3"/>
        <w:numPr>
          <w:ilvl w:val="1"/>
          <w:numId w:val="18"/>
        </w:numPr>
        <w:tabs>
          <w:tab w:val="left" w:pos="1699"/>
          <w:tab w:val="left" w:pos="1700"/>
        </w:tabs>
        <w:spacing w:before="0" w:after="0" w:line="421" w:lineRule="exact"/>
        <w:ind w:left="1699" w:right="0" w:hanging="660"/>
        <w:jc w:val="left"/>
        <w:rPr>
          <w:rFonts w:ascii="Times New Roman" w:eastAsia="Times New Roman"/>
        </w:rPr>
      </w:pPr>
      <w:bookmarkStart w:id="11" w:name="_TOC_250049"/>
      <w:bookmarkEnd w:id="11"/>
      <w:r>
        <w:rPr>
          <w:spacing w:val="-3"/>
        </w:rPr>
        <w:t>评价范围</w:t>
      </w:r>
    </w:p>
    <w:p>
      <w:pPr>
        <w:pStyle w:val="BodyText"/>
        <w:spacing w:before="122" w:line="364" w:lineRule="auto"/>
        <w:ind w:right="838"/>
        <w:jc w:val="both"/>
      </w:pPr>
      <w:r>
        <w:rPr>
          <w:spacing w:val="-12"/>
        </w:rPr>
        <w:t>根据本工程设计期、施工期和营运期对环境的影响特点和各路段的自然环境</w:t>
      </w:r>
      <w:r>
        <w:rPr>
          <w:spacing w:val="-4"/>
        </w:rPr>
        <w:t>特点，结合以往环境影响评价工作及类比监测的实践经验，确定本项目的环境影</w:t>
      </w:r>
      <w:r>
        <w:rPr>
          <w:spacing w:val="-2"/>
        </w:rPr>
        <w:t>响评价范围如下。</w:t>
      </w:r>
    </w:p>
    <w:p>
      <w:pPr>
        <w:pStyle w:val="ListParagraph"/>
        <w:numPr>
          <w:ilvl w:val="0"/>
          <w:numId w:val="17"/>
        </w:numPr>
        <w:tabs>
          <w:tab w:val="left" w:pos="1521"/>
        </w:tabs>
        <w:spacing w:before="0" w:after="0" w:line="306" w:lineRule="exact"/>
        <w:ind w:left="1521" w:right="0" w:hanging="601"/>
        <w:jc w:val="left"/>
        <w:rPr>
          <w:sz w:val="24"/>
        </w:rPr>
      </w:pPr>
      <w:r>
        <w:rPr>
          <w:spacing w:val="-1"/>
          <w:sz w:val="24"/>
        </w:rPr>
        <w:t>地表水环境影响评价范围</w:t>
      </w:r>
    </w:p>
    <w:p>
      <w:pPr>
        <w:pStyle w:val="BodyText"/>
        <w:spacing w:before="159" w:line="364" w:lineRule="auto"/>
        <w:ind w:right="838"/>
      </w:pPr>
      <w:r>
        <w:rPr>
          <w:spacing w:val="-4"/>
        </w:rPr>
        <w:t>水环境评价范围为县污水处理厂排污口入无量溪河（无量溪河大木桥处）</w:t>
      </w:r>
      <w:r>
        <w:rPr>
          <w:spacing w:val="-4"/>
        </w:rPr>
        <w:t>上</w:t>
      </w:r>
      <w:r>
        <w:rPr>
          <w:spacing w:val="-11"/>
        </w:rPr>
        <w:t xml:space="preserve">游 </w:t>
      </w:r>
      <w:r>
        <w:rPr>
          <w:rFonts w:ascii="Times New Roman" w:eastAsia="Times New Roman"/>
        </w:rPr>
        <w:t xml:space="preserve">500m </w:t>
      </w:r>
      <w:r>
        <w:rPr>
          <w:spacing w:val="-6"/>
        </w:rPr>
        <w:t xml:space="preserve">至下游 </w:t>
      </w:r>
      <w:r>
        <w:rPr>
          <w:rFonts w:ascii="Times New Roman" w:eastAsia="Times New Roman"/>
        </w:rPr>
        <w:t xml:space="preserve">2000m </w:t>
      </w:r>
      <w:r>
        <w:t>河段。</w:t>
      </w:r>
    </w:p>
    <w:p>
      <w:pPr>
        <w:spacing w:after="0" w:line="364" w:lineRule="auto"/>
        <w:sectPr>
          <w:footerReference w:type="default" r:id="rId11"/>
          <w:pgSz w:w="11910" w:h="16840"/>
          <w:pgMar w:top="1380" w:right="960" w:bottom="1180" w:left="1360" w:header="0" w:footer="990"/>
          <w:pgNumType w:start="7"/>
          <w:cols w:space="708"/>
        </w:sectPr>
      </w:pPr>
    </w:p>
    <w:p>
      <w:pPr>
        <w:pStyle w:val="BodyText"/>
        <w:spacing w:before="45"/>
        <w:ind w:left="920" w:firstLine="0"/>
      </w:pPr>
      <w:r>
        <w:rPr>
          <w:spacing w:val="-6"/>
        </w:rPr>
        <w:t xml:space="preserve">团结西路跨粮长河上游 </w:t>
      </w:r>
      <w:r>
        <w:rPr>
          <w:rFonts w:ascii="Times New Roman" w:eastAsia="Times New Roman"/>
        </w:rPr>
        <w:t xml:space="preserve">500m </w:t>
      </w:r>
      <w:r>
        <w:rPr>
          <w:spacing w:val="-15"/>
        </w:rPr>
        <w:t xml:space="preserve">至下游 </w:t>
      </w:r>
      <w:r>
        <w:rPr>
          <w:rFonts w:ascii="Times New Roman" w:eastAsia="Times New Roman"/>
        </w:rPr>
        <w:t xml:space="preserve">2000m </w:t>
      </w:r>
      <w:r>
        <w:rPr>
          <w:spacing w:val="-4"/>
        </w:rPr>
        <w:t>河段。</w:t>
      </w:r>
    </w:p>
    <w:p>
      <w:pPr>
        <w:pStyle w:val="ListParagraph"/>
        <w:numPr>
          <w:ilvl w:val="0"/>
          <w:numId w:val="17"/>
        </w:numPr>
        <w:tabs>
          <w:tab w:val="left" w:pos="1521"/>
        </w:tabs>
        <w:spacing w:before="160" w:after="0" w:line="240" w:lineRule="auto"/>
        <w:ind w:left="1521" w:right="0" w:hanging="601"/>
        <w:jc w:val="left"/>
        <w:rPr>
          <w:sz w:val="24"/>
        </w:rPr>
      </w:pPr>
      <w:r>
        <w:rPr>
          <w:spacing w:val="-1"/>
          <w:sz w:val="24"/>
        </w:rPr>
        <w:t>大气环境影响评价范围</w:t>
      </w:r>
    </w:p>
    <w:p>
      <w:pPr>
        <w:pStyle w:val="BodyText"/>
        <w:spacing w:before="159"/>
        <w:ind w:left="920" w:firstLine="0"/>
      </w:pPr>
      <w:r>
        <w:rPr>
          <w:spacing w:val="-3"/>
        </w:rPr>
        <w:t xml:space="preserve">道路工程大气环境影响评价范围为道路中心线两侧各 </w:t>
      </w:r>
      <w:r>
        <w:rPr>
          <w:rFonts w:ascii="Times New Roman" w:eastAsia="Times New Roman"/>
        </w:rPr>
        <w:t xml:space="preserve">200m </w:t>
      </w:r>
      <w:r>
        <w:rPr>
          <w:spacing w:val="-4"/>
        </w:rPr>
        <w:t>范围。</w:t>
      </w:r>
    </w:p>
    <w:p>
      <w:pPr>
        <w:pStyle w:val="ListParagraph"/>
        <w:numPr>
          <w:ilvl w:val="0"/>
          <w:numId w:val="17"/>
        </w:numPr>
        <w:tabs>
          <w:tab w:val="left" w:pos="1521"/>
        </w:tabs>
        <w:spacing w:before="160" w:after="0" w:line="240" w:lineRule="auto"/>
        <w:ind w:left="1521" w:right="0" w:hanging="601"/>
        <w:jc w:val="left"/>
        <w:rPr>
          <w:sz w:val="24"/>
        </w:rPr>
      </w:pPr>
      <w:r>
        <w:rPr>
          <w:spacing w:val="-2"/>
          <w:sz w:val="24"/>
        </w:rPr>
        <w:t>声环境评价范围</w:t>
      </w:r>
    </w:p>
    <w:p>
      <w:pPr>
        <w:pStyle w:val="BodyText"/>
        <w:spacing w:before="159"/>
        <w:ind w:left="920" w:firstLine="0"/>
      </w:pPr>
      <w:r>
        <w:rPr>
          <w:spacing w:val="-3"/>
        </w:rPr>
        <w:t xml:space="preserve">道路工程声环境影响评价范围为道路中心线两侧各 </w:t>
      </w:r>
      <w:r>
        <w:rPr>
          <w:rFonts w:ascii="Times New Roman" w:eastAsia="Times New Roman"/>
        </w:rPr>
        <w:t xml:space="preserve">200m </w:t>
      </w:r>
      <w:r>
        <w:rPr>
          <w:spacing w:val="-4"/>
        </w:rPr>
        <w:t>范围。</w:t>
      </w:r>
    </w:p>
    <w:p>
      <w:pPr>
        <w:pStyle w:val="ListParagraph"/>
        <w:numPr>
          <w:ilvl w:val="0"/>
          <w:numId w:val="17"/>
        </w:numPr>
        <w:tabs>
          <w:tab w:val="left" w:pos="1521"/>
        </w:tabs>
        <w:spacing w:before="159" w:after="0" w:line="240" w:lineRule="auto"/>
        <w:ind w:left="1521" w:right="0" w:hanging="601"/>
        <w:jc w:val="left"/>
        <w:rPr>
          <w:sz w:val="24"/>
        </w:rPr>
      </w:pPr>
      <w:r>
        <w:rPr>
          <w:spacing w:val="-2"/>
          <w:sz w:val="24"/>
        </w:rPr>
        <w:t>地下水环境</w:t>
      </w:r>
    </w:p>
    <w:p>
      <w:pPr>
        <w:pStyle w:val="BodyText"/>
        <w:spacing w:before="160"/>
        <w:ind w:left="920" w:firstLine="0"/>
      </w:pPr>
      <w:r>
        <w:rPr>
          <w:spacing w:val="-2"/>
        </w:rPr>
        <w:t>广德县城区，</w:t>
      </w:r>
      <w:r>
        <w:rPr>
          <w:rFonts w:ascii="Times New Roman" w:eastAsia="Times New Roman" w:hAnsi="Times New Roman"/>
          <w:spacing w:val="-2"/>
        </w:rPr>
        <w:t>≤20km</w:t>
      </w:r>
      <w:r>
        <w:rPr>
          <w:rFonts w:ascii="Times New Roman" w:eastAsia="Times New Roman" w:hAnsi="Times New Roman"/>
          <w:spacing w:val="-2"/>
          <w:position w:val="7"/>
          <w:sz w:val="16"/>
        </w:rPr>
        <w:t>2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17"/>
        </w:numPr>
        <w:tabs>
          <w:tab w:val="left" w:pos="1521"/>
        </w:tabs>
        <w:spacing w:before="159" w:after="0" w:line="364" w:lineRule="auto"/>
        <w:ind w:left="920" w:right="6625" w:firstLine="0"/>
        <w:jc w:val="left"/>
        <w:rPr>
          <w:sz w:val="24"/>
        </w:rPr>
      </w:pPr>
      <w:r>
        <w:rPr>
          <w:spacing w:val="-2"/>
          <w:sz w:val="24"/>
        </w:rPr>
        <w:t>环境风险评价</w:t>
      </w:r>
      <w:r>
        <w:rPr>
          <w:spacing w:val="-2"/>
          <w:sz w:val="24"/>
        </w:rPr>
        <w:t>道路施工区域。</w:t>
      </w:r>
    </w:p>
    <w:p>
      <w:pPr>
        <w:spacing w:after="0" w:line="364" w:lineRule="auto"/>
        <w:jc w:val="left"/>
        <w:rPr>
          <w:sz w:val="24"/>
        </w:rPr>
        <w:sectPr>
          <w:footerReference w:type="default" r:id="rId12"/>
          <w:pgSz w:w="11910" w:h="16840"/>
          <w:pgMar w:top="1380" w:right="960" w:bottom="1180" w:left="1360" w:header="0" w:footer="990"/>
          <w:pgNumType w:start="8"/>
          <w:cols w:space="708"/>
        </w:sectPr>
      </w:pPr>
    </w:p>
    <w:p>
      <w:pPr>
        <w:pStyle w:val="Heading1"/>
        <w:numPr>
          <w:ilvl w:val="0"/>
          <w:numId w:val="18"/>
        </w:numPr>
        <w:tabs>
          <w:tab w:val="left" w:pos="859"/>
          <w:tab w:val="left" w:pos="860"/>
        </w:tabs>
        <w:spacing w:before="0" w:after="0" w:line="507" w:lineRule="exact"/>
        <w:ind w:left="859" w:right="0" w:hanging="420"/>
        <w:jc w:val="left"/>
      </w:pPr>
      <w:bookmarkStart w:id="12" w:name="_TOC_250048"/>
      <w:bookmarkEnd w:id="12"/>
      <w:r>
        <w:rPr>
          <w:spacing w:val="-1"/>
        </w:rPr>
        <w:t>建设项目施工期和营运期环境影响分析</w:t>
      </w:r>
    </w:p>
    <w:p>
      <w:pPr>
        <w:pStyle w:val="Heading3"/>
        <w:numPr>
          <w:ilvl w:val="1"/>
          <w:numId w:val="18"/>
        </w:numPr>
        <w:tabs>
          <w:tab w:val="left" w:pos="1699"/>
          <w:tab w:val="left" w:pos="1700"/>
        </w:tabs>
        <w:spacing w:before="0" w:after="0" w:line="478" w:lineRule="exact"/>
        <w:ind w:left="1699" w:right="0" w:hanging="660"/>
        <w:jc w:val="left"/>
        <w:rPr>
          <w:rFonts w:ascii="Times New Roman" w:eastAsia="Times New Roman"/>
        </w:rPr>
      </w:pPr>
      <w:bookmarkStart w:id="13" w:name="_TOC_250047"/>
      <w:bookmarkEnd w:id="13"/>
      <w:r>
        <w:rPr>
          <w:spacing w:val="-2"/>
        </w:rPr>
        <w:t>施工期污染源强</w:t>
      </w:r>
    </w:p>
    <w:p>
      <w:pPr>
        <w:pStyle w:val="BodyText"/>
        <w:spacing w:line="288" w:lineRule="exact"/>
        <w:ind w:left="920" w:firstLine="0"/>
      </w:pPr>
      <w:r>
        <w:rPr>
          <w:spacing w:val="-5"/>
        </w:rPr>
        <w:t>本项目施工期时间较长，施工现场产生的废水、废气、噪声和固废将对周围</w:t>
      </w:r>
    </w:p>
    <w:p>
      <w:pPr>
        <w:pStyle w:val="BodyText"/>
        <w:spacing w:before="159" w:line="364" w:lineRule="auto"/>
        <w:ind w:right="838" w:firstLine="0"/>
        <w:jc w:val="both"/>
      </w:pPr>
      <w:r>
        <w:rPr>
          <w:spacing w:val="-4"/>
        </w:rPr>
        <w:t>居民生活、学校和医院的办公环境将产生一定的影响。本项目道路分为：两侧集</w:t>
      </w:r>
      <w:r>
        <w:rPr>
          <w:spacing w:val="-4"/>
        </w:rPr>
        <w:t>中分布居民区、两侧含有少量散户居民区、部分道路侧边含有学校、医院的等情</w:t>
      </w:r>
      <w:r>
        <w:rPr>
          <w:spacing w:val="-6"/>
        </w:rPr>
        <w:t>况。</w:t>
      </w:r>
    </w:p>
    <w:p>
      <w:pPr>
        <w:pStyle w:val="Heading3"/>
        <w:numPr>
          <w:ilvl w:val="2"/>
          <w:numId w:val="18"/>
        </w:numPr>
        <w:tabs>
          <w:tab w:val="left" w:pos="1070"/>
        </w:tabs>
        <w:spacing w:before="0" w:after="0" w:line="421" w:lineRule="exact"/>
        <w:ind w:left="1070" w:right="0" w:hanging="630"/>
        <w:jc w:val="left"/>
        <w:rPr>
          <w:rFonts w:ascii="Times New Roman" w:eastAsia="Times New Roman"/>
        </w:rPr>
      </w:pPr>
      <w:bookmarkStart w:id="14" w:name="_TOC_250046"/>
      <w:bookmarkEnd w:id="14"/>
      <w:r>
        <w:rPr>
          <w:spacing w:val="-2"/>
        </w:rPr>
        <w:t>水环境影响分析</w:t>
      </w:r>
    </w:p>
    <w:p>
      <w:pPr>
        <w:pStyle w:val="Heading4"/>
        <w:numPr>
          <w:ilvl w:val="3"/>
          <w:numId w:val="18"/>
        </w:numPr>
        <w:tabs>
          <w:tab w:val="left" w:pos="1280"/>
        </w:tabs>
        <w:spacing w:before="162" w:after="0" w:line="240" w:lineRule="auto"/>
        <w:ind w:left="1280" w:right="0" w:hanging="720"/>
        <w:jc w:val="left"/>
        <w:rPr>
          <w:rFonts w:ascii="Times New Roman" w:eastAsia="Times New Roman"/>
        </w:rPr>
      </w:pPr>
      <w:bookmarkStart w:id="15" w:name="_TOC_250045"/>
      <w:bookmarkEnd w:id="15"/>
      <w:r>
        <w:rPr>
          <w:spacing w:val="-2"/>
        </w:rPr>
        <w:t>主要废水污染源</w:t>
      </w:r>
    </w:p>
    <w:p>
      <w:pPr>
        <w:pStyle w:val="BodyText"/>
        <w:spacing w:before="105" w:line="364" w:lineRule="auto"/>
        <w:ind w:right="838"/>
        <w:jc w:val="both"/>
      </w:pPr>
      <w:r>
        <w:rPr>
          <w:spacing w:val="-4"/>
        </w:rPr>
        <w:t xml:space="preserve">工程施工期排放的废水有二类，一类是施工人员生活污水，主要污染因子为 </w:t>
      </w:r>
      <w:r>
        <w:rPr>
          <w:rFonts w:ascii="Times New Roman" w:eastAsia="Times New Roman"/>
          <w:spacing w:val="-2"/>
        </w:rPr>
        <w:t>BOD</w:t>
      </w:r>
      <w:r>
        <w:rPr>
          <w:rFonts w:ascii="Times New Roman" w:eastAsia="Times New Roman"/>
          <w:spacing w:val="-2"/>
          <w:vertAlign w:val="subscript"/>
        </w:rPr>
        <w:t>5</w:t>
      </w:r>
      <w:r>
        <w:rPr>
          <w:spacing w:val="-2"/>
          <w:vertAlign w:val="baseline"/>
        </w:rPr>
        <w:t>、</w:t>
      </w:r>
      <w:r>
        <w:rPr>
          <w:rFonts w:ascii="Times New Roman" w:eastAsia="Times New Roman"/>
          <w:spacing w:val="-2"/>
          <w:vertAlign w:val="baseline"/>
        </w:rPr>
        <w:t>CODcr</w:t>
      </w:r>
      <w:r>
        <w:rPr>
          <w:spacing w:val="-2"/>
          <w:vertAlign w:val="baseline"/>
        </w:rPr>
        <w:t>、</w:t>
      </w:r>
      <w:r>
        <w:rPr>
          <w:rFonts w:ascii="Times New Roman" w:eastAsia="Times New Roman"/>
          <w:spacing w:val="-2"/>
          <w:vertAlign w:val="baseline"/>
        </w:rPr>
        <w:t>NH</w:t>
      </w:r>
      <w:r>
        <w:rPr>
          <w:rFonts w:ascii="Times New Roman" w:eastAsia="Times New Roman"/>
          <w:spacing w:val="-2"/>
          <w:vertAlign w:val="subscript"/>
        </w:rPr>
        <w:t>3</w:t>
      </w:r>
      <w:r>
        <w:rPr>
          <w:rFonts w:ascii="Times New Roman" w:eastAsia="Times New Roman"/>
          <w:spacing w:val="-2"/>
          <w:vertAlign w:val="baseline"/>
        </w:rPr>
        <w:t>-N</w:t>
      </w:r>
      <w:r>
        <w:rPr>
          <w:spacing w:val="-2"/>
          <w:vertAlign w:val="baseline"/>
        </w:rPr>
        <w:t>、石油类等；另一类是工地降雨径流排水、道路和桥梁</w:t>
      </w:r>
      <w:r>
        <w:rPr>
          <w:spacing w:val="-2"/>
          <w:vertAlign w:val="baseline"/>
        </w:rPr>
        <w:t>施工过程中产生的废水和车辆及设备冲洗废水，这类废水中主要含有泥砂等。</w:t>
      </w:r>
    </w:p>
    <w:p>
      <w:pPr>
        <w:pStyle w:val="BodyText"/>
        <w:spacing w:line="364" w:lineRule="auto"/>
        <w:ind w:right="838"/>
      </w:pPr>
      <w:r>
        <w:rPr>
          <w:spacing w:val="-4"/>
        </w:rPr>
        <w:t>桥墩桩基施工、钻孔桩施工、基坑开挖、桥墩浇筑和桥梁路面施工过程中会</w:t>
      </w:r>
      <w:r>
        <w:rPr>
          <w:spacing w:val="-2"/>
        </w:rPr>
        <w:t>产生含有泥沙和带有油污的废水，该废水对河流水质的影响是短暂的。</w:t>
      </w:r>
    </w:p>
    <w:p>
      <w:pPr>
        <w:pStyle w:val="Heading4"/>
        <w:numPr>
          <w:ilvl w:val="3"/>
          <w:numId w:val="18"/>
        </w:numPr>
        <w:tabs>
          <w:tab w:val="left" w:pos="1220"/>
        </w:tabs>
        <w:spacing w:before="0" w:after="0" w:line="361" w:lineRule="exact"/>
        <w:ind w:left="1220" w:right="0" w:hanging="780"/>
        <w:jc w:val="left"/>
        <w:rPr>
          <w:rFonts w:ascii="Times New Roman" w:eastAsia="Times New Roman"/>
        </w:rPr>
      </w:pPr>
      <w:bookmarkStart w:id="16" w:name="_TOC_250044"/>
      <w:bookmarkEnd w:id="16"/>
      <w:r>
        <w:rPr>
          <w:spacing w:val="-2"/>
        </w:rPr>
        <w:t>废水影响分析</w:t>
      </w:r>
    </w:p>
    <w:p>
      <w:pPr>
        <w:pStyle w:val="BodyText"/>
        <w:spacing w:before="103" w:line="364" w:lineRule="auto"/>
        <w:ind w:right="664"/>
      </w:pPr>
      <w:r>
        <w:rPr>
          <w:spacing w:val="-4"/>
        </w:rPr>
        <w:t>本项目施工期间会有相当数量施工人员开赴现场且相对集中，这增加了当地的流动人口，由此增加了生活污水排放。本项目由多个子工程构成，工程量大，</w:t>
      </w:r>
      <w:r>
        <w:rPr>
          <w:spacing w:val="-10"/>
        </w:rPr>
        <w:t>施工周期长，每个子工程可独立施工，施工人员变化较大，通过类比分析，现场</w:t>
      </w:r>
      <w:r>
        <w:rPr>
          <w:spacing w:val="-5"/>
        </w:rPr>
        <w:t>的施工人员约为</w:t>
      </w:r>
      <w:r>
        <w:rPr>
          <w:rFonts w:ascii="Times New Roman" w:eastAsia="Times New Roman" w:hAnsi="Times New Roman"/>
        </w:rPr>
        <w:t>50</w:t>
      </w:r>
      <w:r>
        <w:t>～</w:t>
      </w:r>
      <w:r>
        <w:rPr>
          <w:rFonts w:ascii="Times New Roman" w:eastAsia="Times New Roman" w:hAnsi="Times New Roman"/>
        </w:rPr>
        <w:t>500</w:t>
      </w:r>
      <w:r>
        <w:rPr>
          <w:rFonts w:ascii="Times New Roman" w:eastAsia="Times New Roman" w:hAnsi="Times New Roman"/>
          <w:spacing w:val="-30"/>
        </w:rPr>
        <w:t xml:space="preserve"> </w:t>
      </w:r>
      <w:r>
        <w:rPr>
          <w:spacing w:val="-12"/>
        </w:rPr>
        <w:t>人，按生活污水量</w:t>
      </w:r>
      <w:r>
        <w:rPr>
          <w:rFonts w:ascii="Times New Roman" w:eastAsia="Times New Roman" w:hAnsi="Times New Roman"/>
        </w:rPr>
        <w:t>80L/c</w:t>
      </w:r>
      <w:r>
        <w:rPr>
          <w:rFonts w:ascii="Times New Roman" w:eastAsia="Times New Roman" w:hAnsi="Times New Roman"/>
          <w:spacing w:val="-1"/>
        </w:rPr>
        <w:t>a</w:t>
      </w:r>
      <w:r>
        <w:rPr>
          <w:rFonts w:ascii="Times New Roman" w:eastAsia="Times New Roman" w:hAnsi="Times New Roman"/>
        </w:rPr>
        <w:t>p·d</w:t>
      </w:r>
      <w:r>
        <w:rPr>
          <w:rFonts w:ascii="Times New Roman" w:eastAsia="Times New Roman" w:hAnsi="Times New Roman"/>
          <w:spacing w:val="-30"/>
        </w:rPr>
        <w:t xml:space="preserve"> </w:t>
      </w:r>
      <w:r>
        <w:rPr>
          <w:spacing w:val="-11"/>
        </w:rPr>
        <w:t>计，则生活污水量为</w:t>
      </w:r>
      <w:r>
        <w:rPr>
          <w:rFonts w:ascii="Times New Roman" w:eastAsia="Times New Roman" w:hAnsi="Times New Roman"/>
        </w:rPr>
        <w:t>4~40t/d</w:t>
      </w:r>
      <w:r>
        <w:rPr>
          <w:spacing w:val="-17"/>
        </w:rPr>
        <w:t>。</w:t>
      </w:r>
      <w:r>
        <w:rPr>
          <w:spacing w:val="-5"/>
        </w:rPr>
        <w:t>施工人员的生活污水如果不经处理随意排放，将对区域内的地表水体产生一定影响。</w:t>
      </w:r>
    </w:p>
    <w:p>
      <w:pPr>
        <w:pStyle w:val="BodyText"/>
        <w:spacing w:line="364" w:lineRule="auto"/>
        <w:ind w:right="745"/>
      </w:pPr>
      <w:r>
        <w:rPr>
          <w:spacing w:val="-2"/>
        </w:rPr>
        <w:t xml:space="preserve">对于地表径流，一般认为，在暴雨强度达到 </w:t>
      </w:r>
      <w:r>
        <w:rPr>
          <w:rFonts w:ascii="Times New Roman" w:eastAsia="Times New Roman"/>
        </w:rPr>
        <w:t xml:space="preserve">127mm/hr </w:t>
      </w:r>
      <w:r>
        <w:t>时，</w:t>
      </w:r>
      <w:r>
        <w:rPr>
          <w:rFonts w:ascii="Times New Roman" w:eastAsia="Times New Roman"/>
        </w:rPr>
        <w:t>90%</w:t>
      </w:r>
      <w:r>
        <w:t>的地表颗粒</w:t>
      </w:r>
      <w:r>
        <w:rPr>
          <w:spacing w:val="-2"/>
        </w:rPr>
        <w:t>物将被冲走。桥梁施工过程中产生的废水和车辆及设备冲洗废水，这类废水的产</w:t>
      </w:r>
      <w:r>
        <w:rPr>
          <w:spacing w:val="-7"/>
        </w:rPr>
        <w:t xml:space="preserve">生量平均为 </w:t>
      </w:r>
      <w:r>
        <w:rPr>
          <w:rFonts w:ascii="Times New Roman" w:eastAsia="Times New Roman"/>
        </w:rPr>
        <w:t>200m</w:t>
      </w:r>
      <w:r>
        <w:rPr>
          <w:rFonts w:ascii="Times New Roman" w:eastAsia="Times New Roman"/>
          <w:position w:val="7"/>
          <w:sz w:val="16"/>
        </w:rPr>
        <w:t>3</w:t>
      </w:r>
      <w:r>
        <w:rPr>
          <w:rFonts w:ascii="Times New Roman" w:eastAsia="Times New Roman"/>
        </w:rPr>
        <w:t>/d</w:t>
      </w:r>
      <w:r>
        <w:t>；本项目区域雨季暴雨频率较高，在挖掘、运土、回填和弃</w:t>
      </w:r>
      <w:r>
        <w:rPr>
          <w:spacing w:val="-2"/>
        </w:rPr>
        <w:t>土各个环节，都有可能产生一定程度的泥浆水。如果这些泥浆水、桥梁施工过程</w:t>
      </w:r>
      <w:r>
        <w:rPr>
          <w:spacing w:val="-2"/>
        </w:rPr>
        <w:t>中产生的废水和车辆及设备冲洗废水流入附近的地表水体，既会形成水土流失，</w:t>
      </w:r>
      <w:r>
        <w:rPr>
          <w:spacing w:val="-2"/>
        </w:rPr>
        <w:t>亦会影响尾水排放水体的环境质量，需要引起足够的注意，需要从加强施工环境</w:t>
      </w:r>
      <w:r>
        <w:rPr>
          <w:spacing w:val="-2"/>
        </w:rPr>
        <w:t>管理角度出发，缓解其影响。</w:t>
      </w:r>
    </w:p>
    <w:p>
      <w:pPr>
        <w:spacing w:after="0" w:line="364" w:lineRule="auto"/>
        <w:sectPr>
          <w:footerReference w:type="default" r:id="rId13"/>
          <w:pgSz w:w="11910" w:h="16840"/>
          <w:pgMar w:top="1460" w:right="960" w:bottom="1180" w:left="1360" w:header="0" w:footer="990"/>
          <w:pgNumType w:start="9"/>
          <w:cols w:space="708"/>
        </w:sectPr>
      </w:pPr>
    </w:p>
    <w:p>
      <w:pPr>
        <w:pStyle w:val="Heading4"/>
        <w:numPr>
          <w:ilvl w:val="3"/>
          <w:numId w:val="18"/>
        </w:numPr>
        <w:tabs>
          <w:tab w:val="left" w:pos="1220"/>
        </w:tabs>
        <w:spacing w:before="0" w:after="0" w:line="408" w:lineRule="exact"/>
        <w:ind w:left="1220" w:right="0" w:hanging="780"/>
        <w:jc w:val="left"/>
        <w:rPr>
          <w:rFonts w:ascii="Times New Roman" w:eastAsia="Times New Roman"/>
        </w:rPr>
      </w:pPr>
      <w:bookmarkStart w:id="17" w:name="_TOC_250043"/>
      <w:bookmarkEnd w:id="17"/>
      <w:r>
        <w:rPr>
          <w:spacing w:val="-2"/>
        </w:rPr>
        <w:t>水污染防治对策</w:t>
      </w:r>
    </w:p>
    <w:p>
      <w:pPr>
        <w:pStyle w:val="BodyText"/>
        <w:spacing w:before="104" w:line="364" w:lineRule="auto"/>
        <w:ind w:right="838"/>
      </w:pPr>
      <w:r>
        <w:rPr>
          <w:spacing w:val="-6"/>
        </w:rPr>
        <w:t>为尽可能减少施工期对周围地表水环境造成的不利影响，本评价建议施工单</w:t>
      </w:r>
      <w:r>
        <w:rPr>
          <w:spacing w:val="-2"/>
        </w:rPr>
        <w:t>位采取以下措施：</w:t>
      </w:r>
    </w:p>
    <w:p>
      <w:pPr>
        <w:pStyle w:val="ListParagraph"/>
        <w:numPr>
          <w:ilvl w:val="4"/>
          <w:numId w:val="18"/>
        </w:numPr>
        <w:tabs>
          <w:tab w:val="left" w:pos="1522"/>
        </w:tabs>
        <w:spacing w:before="0" w:after="0" w:line="364" w:lineRule="auto"/>
        <w:ind w:left="440" w:right="838" w:firstLine="480"/>
        <w:jc w:val="both"/>
        <w:rPr>
          <w:sz w:val="24"/>
        </w:rPr>
      </w:pPr>
      <w:r>
        <w:rPr>
          <w:spacing w:val="-2"/>
          <w:sz w:val="24"/>
        </w:rPr>
        <w:t>泥浆水、桥梁施工过程中产生的废水和车辆及设备冲洗废水应根据不</w:t>
      </w:r>
      <w:r>
        <w:rPr>
          <w:spacing w:val="-4"/>
          <w:sz w:val="24"/>
        </w:rPr>
        <w:t>同的量设置不同大小的沉淀池，上清液作为洒水抑尘用水，沉淀物作为固体废物</w:t>
      </w:r>
      <w:r>
        <w:rPr>
          <w:spacing w:val="-2"/>
          <w:sz w:val="24"/>
        </w:rPr>
        <w:t>定期处理，不能与生活垃圾混放。</w:t>
      </w:r>
    </w:p>
    <w:p>
      <w:pPr>
        <w:pStyle w:val="ListParagraph"/>
        <w:numPr>
          <w:ilvl w:val="4"/>
          <w:numId w:val="18"/>
        </w:numPr>
        <w:tabs>
          <w:tab w:val="left" w:pos="1522"/>
        </w:tabs>
        <w:spacing w:before="0" w:after="0" w:line="364" w:lineRule="auto"/>
        <w:ind w:left="440" w:right="837" w:firstLine="480"/>
        <w:jc w:val="both"/>
        <w:rPr>
          <w:sz w:val="24"/>
        </w:rPr>
      </w:pPr>
      <w:r>
        <w:rPr>
          <w:spacing w:val="-2"/>
          <w:sz w:val="24"/>
        </w:rPr>
        <w:t>施工区应建有排水明沟，可以利用施工过程中的部分坑、沟作沉淀后</w:t>
      </w:r>
      <w:r>
        <w:rPr>
          <w:spacing w:val="-4"/>
          <w:sz w:val="24"/>
        </w:rPr>
        <w:t>作为抑尘用水或再利用于堆场、料场喷淋防尘、道路冲洗、驶离施工区的车辆轮</w:t>
      </w:r>
      <w:r>
        <w:rPr>
          <w:spacing w:val="-4"/>
          <w:sz w:val="24"/>
        </w:rPr>
        <w:t xml:space="preserve">胎冲洗等。散料堆场四周用石块或水泥砌块围出高 </w:t>
      </w:r>
      <w:r>
        <w:rPr>
          <w:rFonts w:ascii="Times New Roman" w:eastAsia="Times New Roman"/>
          <w:spacing w:val="-2"/>
          <w:sz w:val="24"/>
        </w:rPr>
        <w:t>50cm</w:t>
      </w:r>
      <w:r>
        <w:rPr>
          <w:rFonts w:ascii="Times New Roman" w:eastAsia="Times New Roman"/>
          <w:spacing w:val="-13"/>
          <w:sz w:val="24"/>
        </w:rPr>
        <w:t xml:space="preserve"> </w:t>
      </w:r>
      <w:r>
        <w:rPr>
          <w:spacing w:val="-2"/>
          <w:sz w:val="24"/>
        </w:rPr>
        <w:t>的防冲墙，防止散料被</w:t>
      </w:r>
      <w:r>
        <w:rPr>
          <w:spacing w:val="-2"/>
          <w:sz w:val="24"/>
        </w:rPr>
        <w:t>雨水冲走。</w:t>
      </w:r>
    </w:p>
    <w:p>
      <w:pPr>
        <w:pStyle w:val="ListParagraph"/>
        <w:numPr>
          <w:ilvl w:val="4"/>
          <w:numId w:val="18"/>
        </w:numPr>
        <w:tabs>
          <w:tab w:val="left" w:pos="1522"/>
        </w:tabs>
        <w:spacing w:before="0" w:after="0" w:line="364" w:lineRule="auto"/>
        <w:ind w:left="440" w:right="838" w:firstLine="480"/>
        <w:jc w:val="both"/>
        <w:rPr>
          <w:sz w:val="24"/>
        </w:rPr>
      </w:pPr>
      <w:r>
        <w:rPr>
          <w:spacing w:val="-2"/>
          <w:sz w:val="24"/>
        </w:rPr>
        <w:t>施工人员住宿租住附近的民房，生活区位于广德县城区，生活污水定</w:t>
      </w:r>
      <w:r>
        <w:rPr>
          <w:spacing w:val="-4"/>
          <w:sz w:val="24"/>
        </w:rPr>
        <w:t>点收集，经隔油池、化粪池处理后可以排入城市污水管网，进入县污水处理厂处</w:t>
      </w:r>
      <w:r>
        <w:rPr>
          <w:spacing w:val="-6"/>
          <w:sz w:val="24"/>
        </w:rPr>
        <w:t>理。</w:t>
      </w:r>
    </w:p>
    <w:p>
      <w:pPr>
        <w:pStyle w:val="Heading3"/>
        <w:numPr>
          <w:ilvl w:val="2"/>
          <w:numId w:val="18"/>
        </w:numPr>
        <w:tabs>
          <w:tab w:val="left" w:pos="1070"/>
        </w:tabs>
        <w:spacing w:before="0" w:after="0" w:line="421" w:lineRule="exact"/>
        <w:ind w:left="1070" w:right="0" w:hanging="630"/>
        <w:jc w:val="left"/>
        <w:rPr>
          <w:rFonts w:ascii="Times New Roman" w:eastAsia="Times New Roman"/>
        </w:rPr>
      </w:pPr>
      <w:bookmarkStart w:id="18" w:name="_TOC_250042"/>
      <w:bookmarkEnd w:id="18"/>
      <w:r>
        <w:rPr>
          <w:spacing w:val="-2"/>
        </w:rPr>
        <w:t>大气环境影响分析</w:t>
      </w:r>
    </w:p>
    <w:p>
      <w:pPr>
        <w:pStyle w:val="Heading3"/>
        <w:numPr>
          <w:ilvl w:val="3"/>
          <w:numId w:val="18"/>
        </w:numPr>
        <w:tabs>
          <w:tab w:val="left" w:pos="1280"/>
        </w:tabs>
        <w:spacing w:before="145" w:after="0" w:line="240" w:lineRule="auto"/>
        <w:ind w:left="1280" w:right="0" w:hanging="840"/>
        <w:jc w:val="left"/>
        <w:rPr>
          <w:rFonts w:ascii="Times New Roman" w:eastAsia="Times New Roman"/>
        </w:rPr>
      </w:pPr>
      <w:bookmarkStart w:id="19" w:name="_TOC_250041"/>
      <w:bookmarkEnd w:id="19"/>
      <w:r>
        <w:rPr>
          <w:spacing w:val="-2"/>
        </w:rPr>
        <w:t>主要废气污染源</w:t>
      </w:r>
    </w:p>
    <w:p>
      <w:pPr>
        <w:pStyle w:val="BodyText"/>
        <w:spacing w:before="242" w:line="364" w:lineRule="auto"/>
        <w:ind w:right="838"/>
        <w:jc w:val="both"/>
      </w:pPr>
      <w:r>
        <w:rPr>
          <w:spacing w:val="-4"/>
        </w:rPr>
        <w:t>本项目在施工阶段对周围大气环境产生影响的主要因素有：一是道路填土平整、开挖路面、运输渣土、运输建材时产生的扬尘。二是挖掘机、装载机等重型</w:t>
      </w:r>
      <w:r>
        <w:rPr>
          <w:spacing w:val="-4"/>
        </w:rPr>
        <w:t>车辆运行时排放的燃料废气。项目所需沥清由建材公司提供成品的沥清，不设搅</w:t>
      </w:r>
      <w:r>
        <w:t>拌站（或拌合站）</w:t>
      </w:r>
      <w:r>
        <w:rPr>
          <w:spacing w:val="-8"/>
        </w:rPr>
        <w:t xml:space="preserve">。表 </w:t>
      </w:r>
      <w:r>
        <w:rPr>
          <w:rFonts w:ascii="Times New Roman" w:eastAsia="Times New Roman"/>
        </w:rPr>
        <w:t xml:space="preserve">3-1-2 </w:t>
      </w:r>
      <w:r>
        <w:t>列出了项目施工期主要的废气污染源。</w:t>
      </w:r>
    </w:p>
    <w:p>
      <w:pPr>
        <w:pStyle w:val="Heading4"/>
        <w:tabs>
          <w:tab w:val="left" w:pos="1139"/>
        </w:tabs>
        <w:spacing w:line="360" w:lineRule="exact"/>
        <w:ind w:left="79"/>
        <w:jc w:val="center"/>
      </w:pPr>
      <w:r>
        <w:t xml:space="preserve">表 </w:t>
      </w:r>
      <w:r>
        <w:rPr>
          <w:rFonts w:ascii="Times New Roman" w:eastAsia="Times New Roman"/>
        </w:rPr>
        <w:t>3-1-</w:t>
      </w:r>
      <w:r>
        <w:rPr>
          <w:rFonts w:ascii="Times New Roman" w:eastAsia="Times New Roman"/>
          <w:spacing w:val="-10"/>
        </w:rPr>
        <w:t>2</w:t>
      </w:r>
      <w:r>
        <w:rPr>
          <w:rFonts w:ascii="Times New Roman" w:eastAsia="Times New Roman"/>
        </w:rPr>
        <w:tab/>
      </w:r>
      <w:r>
        <w:t>施工期主要废气污染</w:t>
      </w:r>
      <w:r>
        <w:rPr>
          <w:spacing w:val="-10"/>
        </w:rPr>
        <w:t>源</w:t>
      </w:r>
    </w:p>
    <w:p>
      <w:pPr>
        <w:pStyle w:val="BodyText"/>
        <w:spacing w:before="9"/>
        <w:ind w:left="0" w:firstLine="0"/>
        <w:rPr>
          <w:rFonts w:ascii="Microsoft JhengHei"/>
          <w:b/>
          <w:sz w:val="5"/>
        </w:rPr>
      </w:pPr>
    </w:p>
    <w:tbl>
      <w:tblPr>
        <w:tblStyle w:val="TableNormal2"/>
        <w:tblW w:w="0" w:type="auto"/>
        <w:jc w:val="left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8"/>
        <w:gridCol w:w="4344"/>
        <w:gridCol w:w="2226"/>
      </w:tblGrid>
      <w:tr>
        <w:tblPrEx>
          <w:tblW w:w="0" w:type="auto"/>
          <w:jc w:val="left"/>
          <w:tblInd w:w="3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728" w:type="dxa"/>
          </w:tcPr>
          <w:p>
            <w:pPr>
              <w:pStyle w:val="TableParagraph"/>
              <w:spacing w:before="3"/>
              <w:ind w:left="653"/>
              <w:rPr>
                <w:sz w:val="21"/>
              </w:rPr>
            </w:pPr>
            <w:r>
              <w:rPr>
                <w:spacing w:val="-3"/>
                <w:sz w:val="21"/>
              </w:rPr>
              <w:t>施工阶段</w:t>
            </w:r>
          </w:p>
        </w:tc>
        <w:tc>
          <w:tcPr>
            <w:tcW w:w="4344" w:type="dxa"/>
          </w:tcPr>
          <w:p>
            <w:pPr>
              <w:pStyle w:val="TableParagraph"/>
              <w:spacing w:before="3"/>
              <w:ind w:left="584" w:right="1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主要污染源</w:t>
            </w:r>
          </w:p>
        </w:tc>
        <w:tc>
          <w:tcPr>
            <w:tcW w:w="2226" w:type="dxa"/>
          </w:tcPr>
          <w:p>
            <w:pPr>
              <w:pStyle w:val="TableParagraph"/>
              <w:spacing w:before="3"/>
              <w:ind w:left="547" w:right="11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主要污染物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728" w:type="dxa"/>
            <w:vMerge w:val="restart"/>
          </w:tcPr>
          <w:p>
            <w:pPr>
              <w:pStyle w:val="TableParagraph"/>
              <w:spacing w:before="8"/>
              <w:ind w:left="548"/>
              <w:rPr>
                <w:sz w:val="21"/>
              </w:rPr>
            </w:pPr>
            <w:r>
              <w:rPr>
                <w:spacing w:val="-2"/>
                <w:sz w:val="21"/>
              </w:rPr>
              <w:t>场地填土、</w:t>
            </w:r>
          </w:p>
          <w:p>
            <w:pPr>
              <w:pStyle w:val="TableParagraph"/>
              <w:spacing w:before="139"/>
              <w:ind w:left="443"/>
              <w:rPr>
                <w:sz w:val="21"/>
              </w:rPr>
            </w:pPr>
            <w:r>
              <w:rPr>
                <w:spacing w:val="-3"/>
                <w:sz w:val="21"/>
              </w:rPr>
              <w:t>平整阶段</w:t>
            </w:r>
          </w:p>
        </w:tc>
        <w:tc>
          <w:tcPr>
            <w:tcW w:w="4344" w:type="dxa"/>
          </w:tcPr>
          <w:p>
            <w:pPr>
              <w:pStyle w:val="TableParagraph"/>
              <w:spacing w:before="3"/>
              <w:ind w:left="585" w:right="1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建筑垃圾、泥沙</w:t>
            </w:r>
          </w:p>
        </w:tc>
        <w:tc>
          <w:tcPr>
            <w:tcW w:w="2226" w:type="dxa"/>
          </w:tcPr>
          <w:p>
            <w:pPr>
              <w:pStyle w:val="TableParagraph"/>
              <w:spacing w:before="3"/>
              <w:ind w:left="547" w:right="11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扬尘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7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44" w:type="dxa"/>
          </w:tcPr>
          <w:p>
            <w:pPr>
              <w:pStyle w:val="TableParagraph"/>
              <w:spacing w:before="3"/>
              <w:ind w:left="585" w:right="155"/>
              <w:jc w:val="center"/>
              <w:rPr>
                <w:sz w:val="21"/>
              </w:rPr>
            </w:pPr>
            <w:r>
              <w:rPr>
                <w:spacing w:val="-1"/>
                <w:sz w:val="21"/>
              </w:rPr>
              <w:t>推土机、铲车、运输卡车</w:t>
            </w:r>
          </w:p>
        </w:tc>
        <w:tc>
          <w:tcPr>
            <w:tcW w:w="2226" w:type="dxa"/>
          </w:tcPr>
          <w:p>
            <w:pPr>
              <w:pStyle w:val="TableParagraph"/>
              <w:spacing w:before="3"/>
              <w:ind w:left="547" w:right="117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NOx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2"/>
                <w:sz w:val="21"/>
              </w:rPr>
              <w:t>CO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5"/>
                <w:sz w:val="21"/>
              </w:rPr>
              <w:t>THC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728" w:type="dxa"/>
            <w:vMerge w:val="restart"/>
          </w:tcPr>
          <w:p>
            <w:pPr>
              <w:pStyle w:val="TableParagraph"/>
              <w:spacing w:before="10"/>
              <w:rPr>
                <w:rFonts w:ascii="Microsoft JhengHei"/>
                <w:b/>
                <w:sz w:val="11"/>
              </w:rPr>
            </w:pPr>
          </w:p>
          <w:p>
            <w:pPr>
              <w:pStyle w:val="TableParagraph"/>
              <w:ind w:left="653"/>
              <w:rPr>
                <w:sz w:val="21"/>
              </w:rPr>
            </w:pPr>
            <w:r>
              <w:rPr>
                <w:spacing w:val="-3"/>
                <w:sz w:val="21"/>
              </w:rPr>
              <w:t>挖土阶段</w:t>
            </w:r>
          </w:p>
        </w:tc>
        <w:tc>
          <w:tcPr>
            <w:tcW w:w="4344" w:type="dxa"/>
          </w:tcPr>
          <w:p>
            <w:pPr>
              <w:pStyle w:val="TableParagraph"/>
              <w:spacing w:before="3"/>
              <w:ind w:left="585" w:right="155"/>
              <w:jc w:val="center"/>
              <w:rPr>
                <w:sz w:val="21"/>
              </w:rPr>
            </w:pPr>
            <w:r>
              <w:rPr>
                <w:spacing w:val="-1"/>
                <w:sz w:val="21"/>
              </w:rPr>
              <w:t>土方堆场、土方装卸过程</w:t>
            </w:r>
          </w:p>
        </w:tc>
        <w:tc>
          <w:tcPr>
            <w:tcW w:w="2226" w:type="dxa"/>
          </w:tcPr>
          <w:p>
            <w:pPr>
              <w:pStyle w:val="TableParagraph"/>
              <w:spacing w:before="3"/>
              <w:ind w:left="547" w:right="11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扬尘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7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44" w:type="dxa"/>
          </w:tcPr>
          <w:p>
            <w:pPr>
              <w:pStyle w:val="TableParagraph"/>
              <w:spacing w:before="3"/>
              <w:ind w:left="585" w:right="155"/>
              <w:jc w:val="center"/>
              <w:rPr>
                <w:sz w:val="21"/>
              </w:rPr>
            </w:pPr>
            <w:r>
              <w:rPr>
                <w:spacing w:val="-1"/>
                <w:sz w:val="21"/>
              </w:rPr>
              <w:t>挖土机、铲车、运输卡车等</w:t>
            </w:r>
          </w:p>
        </w:tc>
        <w:tc>
          <w:tcPr>
            <w:tcW w:w="2226" w:type="dxa"/>
          </w:tcPr>
          <w:p>
            <w:pPr>
              <w:pStyle w:val="TableParagraph"/>
              <w:spacing w:before="3"/>
              <w:ind w:left="547" w:right="117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NOx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2"/>
                <w:sz w:val="21"/>
              </w:rPr>
              <w:t>CO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5"/>
                <w:sz w:val="21"/>
              </w:rPr>
              <w:t>THC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728" w:type="dxa"/>
            <w:vMerge w:val="restart"/>
          </w:tcPr>
          <w:p>
            <w:pPr>
              <w:pStyle w:val="TableParagraph"/>
              <w:spacing w:before="17"/>
              <w:rPr>
                <w:rFonts w:ascii="Microsoft JhengHei"/>
                <w:b/>
                <w:sz w:val="22"/>
              </w:rPr>
            </w:pPr>
          </w:p>
          <w:p>
            <w:pPr>
              <w:pStyle w:val="TableParagraph"/>
              <w:ind w:left="653"/>
              <w:rPr>
                <w:sz w:val="21"/>
              </w:rPr>
            </w:pPr>
            <w:r>
              <w:rPr>
                <w:spacing w:val="-3"/>
                <w:sz w:val="21"/>
              </w:rPr>
              <w:t>铺路阶段</w:t>
            </w:r>
          </w:p>
        </w:tc>
        <w:tc>
          <w:tcPr>
            <w:tcW w:w="4344" w:type="dxa"/>
          </w:tcPr>
          <w:p>
            <w:pPr>
              <w:pStyle w:val="TableParagraph"/>
              <w:spacing w:before="3"/>
              <w:ind w:left="585" w:right="155"/>
              <w:jc w:val="center"/>
              <w:rPr>
                <w:sz w:val="21"/>
              </w:rPr>
            </w:pPr>
            <w:r>
              <w:rPr>
                <w:spacing w:val="-1"/>
                <w:sz w:val="21"/>
              </w:rPr>
              <w:t>材料堆场、装卸过程、进出场地车辆等</w:t>
            </w:r>
          </w:p>
        </w:tc>
        <w:tc>
          <w:tcPr>
            <w:tcW w:w="2226" w:type="dxa"/>
          </w:tcPr>
          <w:p>
            <w:pPr>
              <w:pStyle w:val="TableParagraph"/>
              <w:spacing w:before="3"/>
              <w:ind w:left="547" w:right="11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扬尘、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7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44" w:type="dxa"/>
          </w:tcPr>
          <w:p>
            <w:pPr>
              <w:pStyle w:val="TableParagraph"/>
              <w:spacing w:before="3"/>
              <w:ind w:left="584" w:right="15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运输卡车等</w:t>
            </w:r>
          </w:p>
        </w:tc>
        <w:tc>
          <w:tcPr>
            <w:tcW w:w="2226" w:type="dxa"/>
          </w:tcPr>
          <w:p>
            <w:pPr>
              <w:pStyle w:val="TableParagraph"/>
              <w:spacing w:before="3"/>
              <w:ind w:left="547" w:right="117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NOx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2"/>
                <w:sz w:val="21"/>
              </w:rPr>
              <w:t>CO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5"/>
                <w:sz w:val="21"/>
              </w:rPr>
              <w:t>THC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7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44" w:type="dxa"/>
          </w:tcPr>
          <w:p>
            <w:pPr>
              <w:pStyle w:val="TableParagraph"/>
              <w:spacing w:before="3"/>
              <w:ind w:left="584" w:right="155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铺设沥清</w:t>
            </w:r>
          </w:p>
        </w:tc>
        <w:tc>
          <w:tcPr>
            <w:tcW w:w="2226" w:type="dxa"/>
          </w:tcPr>
          <w:p>
            <w:pPr>
              <w:pStyle w:val="TableParagraph"/>
              <w:spacing w:before="3"/>
              <w:ind w:left="547" w:right="11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沥清烟</w:t>
            </w:r>
          </w:p>
        </w:tc>
      </w:tr>
    </w:tbl>
    <w:p>
      <w:pPr>
        <w:spacing w:after="0"/>
        <w:jc w:val="center"/>
        <w:rPr>
          <w:sz w:val="21"/>
        </w:rPr>
        <w:sectPr>
          <w:footerReference w:type="default" r:id="rId14"/>
          <w:pgSz w:w="11910" w:h="16840"/>
          <w:pgMar w:top="1380" w:right="960" w:bottom="1180" w:left="1360" w:header="0" w:footer="990"/>
          <w:pgNumType w:start="10"/>
          <w:cols w:space="708"/>
        </w:sectPr>
      </w:pPr>
    </w:p>
    <w:p>
      <w:pPr>
        <w:pStyle w:val="Heading4"/>
        <w:numPr>
          <w:ilvl w:val="3"/>
          <w:numId w:val="16"/>
        </w:numPr>
        <w:tabs>
          <w:tab w:val="left" w:pos="1700"/>
        </w:tabs>
        <w:spacing w:before="0" w:after="0" w:line="408" w:lineRule="exact"/>
        <w:ind w:left="1700" w:right="0" w:hanging="835"/>
        <w:jc w:val="left"/>
      </w:pPr>
      <w:bookmarkStart w:id="20" w:name="_TOC_250040"/>
      <w:bookmarkEnd w:id="20"/>
      <w:r>
        <w:rPr>
          <w:spacing w:val="-2"/>
        </w:rPr>
        <w:t>废气影响分析</w:t>
      </w:r>
    </w:p>
    <w:p>
      <w:pPr>
        <w:pStyle w:val="BodyText"/>
        <w:spacing w:before="104" w:line="364" w:lineRule="auto"/>
        <w:ind w:right="838"/>
        <w:jc w:val="both"/>
      </w:pPr>
      <w:r>
        <w:rPr>
          <w:spacing w:val="-4"/>
        </w:rPr>
        <w:t>通过类比分析，在施工阶段，扬尘是主要的污染物，产生的环节多，且大多</w:t>
      </w:r>
      <w:r>
        <w:rPr>
          <w:spacing w:val="-4"/>
        </w:rPr>
        <w:t>数扬尘排放源持续排放时间较长，如回填的泥沙通常堆放在施工现场，短则几个</w:t>
      </w:r>
      <w:r>
        <w:rPr>
          <w:spacing w:val="-4"/>
        </w:rPr>
        <w:t>星期，长则数月，以致施工期间大气中悬浮颗粒物含量骤增，施工机械设备产生</w:t>
      </w:r>
      <w:r>
        <w:rPr>
          <w:spacing w:val="-2"/>
        </w:rPr>
        <w:t>的尾气和铺设道路产生的沥清烟。</w:t>
      </w:r>
    </w:p>
    <w:p>
      <w:pPr>
        <w:pStyle w:val="ListParagraph"/>
        <w:numPr>
          <w:ilvl w:val="0"/>
          <w:numId w:val="15"/>
        </w:numPr>
        <w:tabs>
          <w:tab w:val="left" w:pos="1521"/>
        </w:tabs>
        <w:spacing w:before="0" w:after="0" w:line="305" w:lineRule="exact"/>
        <w:ind w:left="1521" w:right="0" w:hanging="601"/>
        <w:jc w:val="left"/>
        <w:rPr>
          <w:sz w:val="24"/>
        </w:rPr>
      </w:pPr>
      <w:r>
        <w:rPr>
          <w:spacing w:val="-2"/>
          <w:sz w:val="24"/>
        </w:rPr>
        <w:t>施工作业扬尘</w:t>
      </w:r>
    </w:p>
    <w:p>
      <w:pPr>
        <w:pStyle w:val="BodyText"/>
        <w:spacing w:before="160" w:line="364" w:lineRule="auto"/>
        <w:ind w:right="838"/>
        <w:jc w:val="both"/>
      </w:pPr>
      <w:r>
        <w:rPr>
          <w:spacing w:val="-4"/>
        </w:rPr>
        <w:t>干燥地表的开挖和钻孔产生的粉尘，一部分悬浮于空中，另一部分随风飘落</w:t>
      </w:r>
      <w:r>
        <w:rPr>
          <w:spacing w:val="-4"/>
        </w:rPr>
        <w:t>到附近地面和建筑物表面；开挖的泥土堆砌过程中，在风力较大时，会产生粉尘扬起：在装卸和运输过程中，又会造成部分粉尘扬起和洒落；雨水冲刷夹带的泥</w:t>
      </w:r>
      <w:r>
        <w:rPr>
          <w:spacing w:val="-4"/>
        </w:rPr>
        <w:t>土散布路面，晒干后因车辆的移动或刮风再次扬尘；开挖的回填过程中也会引起</w:t>
      </w:r>
      <w:r>
        <w:rPr>
          <w:spacing w:val="-2"/>
        </w:rPr>
        <w:t>大量粉尘飞扬；建筑材料的装卸、运输、堆砌过程中也必然引起洒落及飞扬。</w:t>
      </w:r>
    </w:p>
    <w:p>
      <w:pPr>
        <w:pStyle w:val="ListParagraph"/>
        <w:numPr>
          <w:ilvl w:val="0"/>
          <w:numId w:val="15"/>
        </w:numPr>
        <w:tabs>
          <w:tab w:val="left" w:pos="1521"/>
        </w:tabs>
        <w:spacing w:before="0" w:after="0" w:line="305" w:lineRule="exact"/>
        <w:ind w:left="1521" w:right="0" w:hanging="601"/>
        <w:jc w:val="left"/>
        <w:rPr>
          <w:sz w:val="24"/>
        </w:rPr>
      </w:pPr>
      <w:r>
        <w:rPr>
          <w:spacing w:val="-2"/>
          <w:sz w:val="24"/>
        </w:rPr>
        <w:t>运输车辆道路扬尘</w:t>
      </w:r>
    </w:p>
    <w:p>
      <w:pPr>
        <w:pStyle w:val="BodyText"/>
        <w:spacing w:before="159" w:line="364" w:lineRule="auto"/>
        <w:ind w:right="838"/>
        <w:jc w:val="both"/>
      </w:pPr>
      <w:r>
        <w:rPr>
          <w:spacing w:val="-4"/>
        </w:rPr>
        <w:t xml:space="preserve">施工区内车辆运输引起的道路扬尘约占场地扬尘总量的 </w:t>
      </w:r>
      <w:r>
        <w:rPr>
          <w:rFonts w:ascii="Times New Roman" w:eastAsia="Times New Roman"/>
          <w:spacing w:val="-2"/>
        </w:rPr>
        <w:t>50%</w:t>
      </w:r>
      <w:r>
        <w:rPr>
          <w:spacing w:val="-20"/>
        </w:rPr>
        <w:t>以上。道路扬尘</w:t>
      </w:r>
      <w:r>
        <w:rPr>
          <w:spacing w:val="-4"/>
        </w:rPr>
        <w:t>的起尘量与运输车辆的车速、载重量、轮胎与地面的接触面积、路面含尘量、相</w:t>
      </w:r>
      <w:r>
        <w:rPr>
          <w:spacing w:val="-12"/>
        </w:rPr>
        <w:t>对湿度等因素有关。交通部公路科学研究所对南方某公路施工期车辆扬尘的监测</w:t>
      </w:r>
      <w:r>
        <w:rPr>
          <w:spacing w:val="-9"/>
        </w:rPr>
        <w:t xml:space="preserve">结果见表 </w:t>
      </w:r>
      <w:r>
        <w:rPr>
          <w:rFonts w:ascii="Times New Roman" w:eastAsia="Times New Roman"/>
        </w:rPr>
        <w:t>3-1-3</w:t>
      </w:r>
      <w:r>
        <w:t>。</w:t>
      </w:r>
    </w:p>
    <w:p>
      <w:pPr>
        <w:pStyle w:val="Heading4"/>
        <w:tabs>
          <w:tab w:val="left" w:pos="1259"/>
        </w:tabs>
        <w:spacing w:line="360" w:lineRule="exact"/>
        <w:ind w:left="79"/>
        <w:jc w:val="center"/>
      </w:pPr>
      <w:r>
        <w:t xml:space="preserve">表 </w:t>
      </w:r>
      <w:r>
        <w:rPr>
          <w:rFonts w:ascii="Times New Roman" w:eastAsia="Times New Roman"/>
        </w:rPr>
        <w:t>3-1-</w:t>
      </w:r>
      <w:r>
        <w:rPr>
          <w:rFonts w:ascii="Times New Roman" w:eastAsia="Times New Roman"/>
          <w:spacing w:val="-10"/>
        </w:rPr>
        <w:t>3</w:t>
      </w:r>
      <w:r>
        <w:rPr>
          <w:rFonts w:ascii="Times New Roman" w:eastAsia="Times New Roman"/>
        </w:rPr>
        <w:tab/>
      </w:r>
      <w:r>
        <w:t>南方某公路施工期车辆扬尘监测结</w:t>
      </w:r>
      <w:r>
        <w:rPr>
          <w:spacing w:val="-10"/>
        </w:rPr>
        <w:t>果</w:t>
      </w:r>
    </w:p>
    <w:p>
      <w:pPr>
        <w:pStyle w:val="BodyText"/>
        <w:spacing w:before="9"/>
        <w:ind w:left="0" w:firstLine="0"/>
        <w:rPr>
          <w:rFonts w:ascii="Microsoft JhengHei"/>
          <w:b/>
          <w:sz w:val="5"/>
        </w:rPr>
      </w:pPr>
    </w:p>
    <w:tbl>
      <w:tblPr>
        <w:tblStyle w:val="TableNormal3"/>
        <w:tblW w:w="0" w:type="auto"/>
        <w:jc w:val="left"/>
        <w:tblInd w:w="4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0"/>
        <w:gridCol w:w="2101"/>
        <w:gridCol w:w="2126"/>
        <w:gridCol w:w="2103"/>
      </w:tblGrid>
      <w:tr>
        <w:tblPrEx>
          <w:tblW w:w="0" w:type="auto"/>
          <w:jc w:val="left"/>
          <w:tblInd w:w="434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00"/>
          <w:jc w:val="left"/>
        </w:trPr>
        <w:tc>
          <w:tcPr>
            <w:tcW w:w="210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"/>
              <w:rPr>
                <w:rFonts w:ascii="Microsoft JhengHei"/>
                <w:b/>
                <w:sz w:val="16"/>
              </w:rPr>
            </w:pPr>
          </w:p>
          <w:p>
            <w:pPr>
              <w:pStyle w:val="TableParagraph"/>
              <w:ind w:left="840"/>
              <w:rPr>
                <w:sz w:val="21"/>
              </w:rPr>
            </w:pPr>
            <w:r>
              <w:rPr>
                <w:spacing w:val="-3"/>
                <w:sz w:val="21"/>
              </w:rPr>
              <w:t>监测地点</w:t>
            </w:r>
          </w:p>
        </w:tc>
        <w:tc>
          <w:tcPr>
            <w:tcW w:w="21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"/>
              <w:rPr>
                <w:rFonts w:ascii="Microsoft JhengHei"/>
                <w:b/>
                <w:sz w:val="16"/>
              </w:rPr>
            </w:pPr>
          </w:p>
          <w:p>
            <w:pPr>
              <w:pStyle w:val="TableParagraph"/>
              <w:ind w:left="737"/>
              <w:rPr>
                <w:sz w:val="21"/>
              </w:rPr>
            </w:pPr>
            <w:r>
              <w:rPr>
                <w:spacing w:val="-2"/>
                <w:sz w:val="21"/>
              </w:rPr>
              <w:t>扬尘污染源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"/>
              <w:rPr>
                <w:rFonts w:ascii="Microsoft JhengHei"/>
                <w:b/>
                <w:sz w:val="16"/>
              </w:rPr>
            </w:pPr>
          </w:p>
          <w:p>
            <w:pPr>
              <w:pStyle w:val="TableParagraph"/>
              <w:ind w:left="530" w:right="-29"/>
              <w:jc w:val="center"/>
              <w:rPr>
                <w:sz w:val="21"/>
              </w:rPr>
            </w:pPr>
            <w:r>
              <w:rPr>
                <w:spacing w:val="-8"/>
                <w:sz w:val="21"/>
              </w:rPr>
              <w:t>采样点距离（</w:t>
            </w:r>
            <w:r>
              <w:rPr>
                <w:rFonts w:ascii="Times New Roman" w:eastAsia="Times New Roman"/>
                <w:spacing w:val="-8"/>
                <w:sz w:val="21"/>
              </w:rPr>
              <w:t>m</w:t>
            </w:r>
            <w:r>
              <w:rPr>
                <w:spacing w:val="-8"/>
                <w:sz w:val="21"/>
              </w:rPr>
              <w:t>）</w:t>
            </w:r>
          </w:p>
        </w:tc>
        <w:tc>
          <w:tcPr>
            <w:tcW w:w="210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0"/>
              <w:ind w:left="841"/>
              <w:rPr>
                <w:sz w:val="21"/>
              </w:rPr>
            </w:pPr>
            <w:r>
              <w:rPr>
                <w:spacing w:val="-3"/>
                <w:sz w:val="21"/>
              </w:rPr>
              <w:t>监测结果</w:t>
            </w:r>
          </w:p>
          <w:p>
            <w:pPr>
              <w:pStyle w:val="TableParagraph"/>
              <w:spacing w:before="131"/>
              <w:ind w:left="561"/>
              <w:rPr>
                <w:sz w:val="21"/>
              </w:rPr>
            </w:pPr>
            <w:r>
              <w:rPr>
                <w:spacing w:val="-2"/>
                <w:sz w:val="21"/>
              </w:rPr>
              <w:t>（</w:t>
            </w:r>
            <w:r>
              <w:rPr>
                <w:rFonts w:ascii="Times New Roman" w:eastAsia="Times New Roman"/>
                <w:spacing w:val="-2"/>
                <w:sz w:val="21"/>
              </w:rPr>
              <w:t>mg/m</w:t>
            </w:r>
            <w:r>
              <w:rPr>
                <w:rFonts w:ascii="Times New Roman" w:eastAsia="Times New Roman"/>
                <w:spacing w:val="-2"/>
                <w:position w:val="6"/>
                <w:sz w:val="14"/>
              </w:rPr>
              <w:t>3</w:t>
            </w:r>
            <w:r>
              <w:rPr>
                <w:spacing w:val="-2"/>
                <w:sz w:val="21"/>
              </w:rPr>
              <w:t>）</w:t>
            </w:r>
          </w:p>
        </w:tc>
      </w:tr>
      <w:tr>
        <w:tblPrEx>
          <w:tblW w:w="0" w:type="auto"/>
          <w:jc w:val="left"/>
          <w:tblInd w:w="4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7"/>
          <w:jc w:val="left"/>
        </w:trPr>
        <w:tc>
          <w:tcPr>
            <w:tcW w:w="2100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ind w:left="840"/>
              <w:rPr>
                <w:sz w:val="21"/>
              </w:rPr>
            </w:pPr>
            <w:r>
              <w:rPr>
                <w:spacing w:val="-3"/>
                <w:sz w:val="21"/>
              </w:rPr>
              <w:t>施工路边</w:t>
            </w:r>
          </w:p>
        </w:tc>
        <w:tc>
          <w:tcPr>
            <w:tcW w:w="21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5" w:line="357" w:lineRule="auto"/>
              <w:ind w:left="212" w:right="192" w:firstLine="420"/>
              <w:rPr>
                <w:sz w:val="21"/>
              </w:rPr>
            </w:pPr>
            <w:r>
              <w:rPr>
                <w:spacing w:val="-2"/>
                <w:sz w:val="21"/>
              </w:rPr>
              <w:t>铺设水泥稳定</w:t>
            </w:r>
            <w:r>
              <w:rPr>
                <w:spacing w:val="-2"/>
                <w:sz w:val="21"/>
              </w:rPr>
              <w:t>类路顶基层时运输</w:t>
            </w:r>
          </w:p>
          <w:p>
            <w:pPr>
              <w:pStyle w:val="TableParagraph"/>
              <w:spacing w:line="267" w:lineRule="exact"/>
              <w:ind w:left="632"/>
              <w:rPr>
                <w:sz w:val="21"/>
              </w:rPr>
            </w:pPr>
            <w:r>
              <w:rPr>
                <w:spacing w:val="-3"/>
                <w:sz w:val="21"/>
              </w:rPr>
              <w:t>车辆扬尘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530" w:right="9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50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24"/>
              <w:ind w:right="53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11.652</w:t>
            </w:r>
          </w:p>
        </w:tc>
      </w:tr>
      <w:tr>
        <w:tblPrEx>
          <w:tblW w:w="0" w:type="auto"/>
          <w:jc w:val="left"/>
          <w:tblInd w:w="4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5"/>
          <w:jc w:val="left"/>
        </w:trPr>
        <w:tc>
          <w:tcPr>
            <w:tcW w:w="2100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0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530" w:right="9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100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21"/>
              <w:ind w:right="53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10.694</w:t>
            </w:r>
          </w:p>
        </w:tc>
      </w:tr>
      <w:tr>
        <w:tblPrEx>
          <w:tblW w:w="0" w:type="auto"/>
          <w:jc w:val="left"/>
          <w:tblInd w:w="4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7"/>
          <w:jc w:val="left"/>
        </w:trPr>
        <w:tc>
          <w:tcPr>
            <w:tcW w:w="2100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0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530" w:right="9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150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121"/>
              <w:ind w:right="5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5.093</w:t>
            </w:r>
          </w:p>
        </w:tc>
      </w:tr>
    </w:tbl>
    <w:p>
      <w:pPr>
        <w:pStyle w:val="BodyText"/>
        <w:spacing w:before="177" w:line="364" w:lineRule="auto"/>
        <w:ind w:right="838"/>
        <w:jc w:val="both"/>
      </w:pPr>
      <w:r>
        <w:rPr>
          <w:spacing w:val="-13"/>
        </w:rPr>
        <w:t xml:space="preserve">由表 </w:t>
      </w:r>
      <w:r>
        <w:rPr>
          <w:rFonts w:ascii="Times New Roman" w:eastAsia="Times New Roman"/>
          <w:spacing w:val="-8"/>
        </w:rPr>
        <w:t>3-1-3</w:t>
      </w:r>
      <w:r>
        <w:rPr>
          <w:rFonts w:ascii="Times New Roman" w:eastAsia="Times New Roman"/>
          <w:spacing w:val="-7"/>
        </w:rPr>
        <w:t xml:space="preserve"> </w:t>
      </w:r>
      <w:r>
        <w:rPr>
          <w:spacing w:val="-22"/>
        </w:rPr>
        <w:t xml:space="preserve">可知，在距路边下风向 </w:t>
      </w:r>
      <w:r>
        <w:rPr>
          <w:rFonts w:ascii="Times New Roman" w:eastAsia="Times New Roman"/>
          <w:spacing w:val="-8"/>
        </w:rPr>
        <w:t>150m</w:t>
      </w:r>
      <w:r>
        <w:rPr>
          <w:rFonts w:ascii="Times New Roman" w:eastAsia="Times New Roman"/>
          <w:spacing w:val="-7"/>
        </w:rPr>
        <w:t xml:space="preserve"> </w:t>
      </w:r>
      <w:r>
        <w:rPr>
          <w:spacing w:val="-53"/>
        </w:rPr>
        <w:t>处，</w:t>
      </w:r>
      <w:r>
        <w:rPr>
          <w:rFonts w:ascii="Times New Roman" w:eastAsia="Times New Roman"/>
          <w:spacing w:val="21"/>
        </w:rPr>
        <w:t>TSP</w:t>
      </w:r>
      <w:r>
        <w:rPr>
          <w:rFonts w:ascii="Times New Roman" w:eastAsia="Times New Roman"/>
          <w:spacing w:val="-7"/>
        </w:rPr>
        <w:t xml:space="preserve"> </w:t>
      </w:r>
      <w:r>
        <w:rPr>
          <w:spacing w:val="-12"/>
        </w:rPr>
        <w:t xml:space="preserve">浓度为 </w:t>
      </w:r>
      <w:r>
        <w:rPr>
          <w:rFonts w:ascii="Times New Roman" w:eastAsia="Times New Roman"/>
          <w:spacing w:val="2"/>
        </w:rPr>
        <w:t>5.093mg/</w:t>
      </w:r>
      <w:r>
        <w:rPr>
          <w:rFonts w:ascii="Times New Roman" w:eastAsia="Times New Roman"/>
          <w:spacing w:val="1"/>
        </w:rPr>
        <w:t>m</w:t>
      </w:r>
      <w:r>
        <w:rPr>
          <w:rFonts w:ascii="Times New Roman" w:eastAsia="Times New Roman"/>
          <w:spacing w:val="2"/>
          <w:position w:val="7"/>
          <w:sz w:val="16"/>
        </w:rPr>
        <w:t>3</w:t>
      </w:r>
      <w:r>
        <w:rPr>
          <w:spacing w:val="-53"/>
        </w:rPr>
        <w:t>，超过《环</w:t>
      </w:r>
      <w:r>
        <w:rPr>
          <w:spacing w:val="-2"/>
        </w:rPr>
        <w:t>境空气质量标准》（</w:t>
      </w:r>
      <w:r>
        <w:rPr>
          <w:rFonts w:ascii="Times New Roman" w:eastAsia="Times New Roman"/>
          <w:spacing w:val="-2"/>
        </w:rPr>
        <w:t>GB3095-1996</w:t>
      </w:r>
      <w:r>
        <w:rPr>
          <w:spacing w:val="-2"/>
        </w:rPr>
        <w:t>）</w:t>
      </w:r>
      <w:r>
        <w:rPr>
          <w:spacing w:val="-8"/>
        </w:rPr>
        <w:t xml:space="preserve">二级标准 </w:t>
      </w:r>
      <w:r>
        <w:rPr>
          <w:rFonts w:ascii="Times New Roman" w:eastAsia="Times New Roman"/>
          <w:spacing w:val="-2"/>
        </w:rPr>
        <w:t>0.3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  <w:spacing w:val="-2"/>
        </w:rPr>
        <w:t>mg/m</w:t>
      </w:r>
      <w:r>
        <w:rPr>
          <w:rFonts w:ascii="Times New Roman" w:eastAsia="Times New Roman"/>
          <w:spacing w:val="-2"/>
          <w:position w:val="7"/>
          <w:sz w:val="16"/>
        </w:rPr>
        <w:t>3</w:t>
      </w:r>
      <w:r>
        <w:rPr>
          <w:rFonts w:ascii="Times New Roman" w:eastAsia="Times New Roman"/>
          <w:spacing w:val="-8"/>
          <w:position w:val="7"/>
          <w:sz w:val="16"/>
        </w:rPr>
        <w:t xml:space="preserve"> </w:t>
      </w:r>
      <w:r>
        <w:rPr>
          <w:spacing w:val="-15"/>
        </w:rPr>
        <w:t xml:space="preserve">的 </w:t>
      </w:r>
      <w:r>
        <w:rPr>
          <w:rFonts w:ascii="Times New Roman" w:eastAsia="Times New Roman"/>
          <w:spacing w:val="-2"/>
        </w:rPr>
        <w:t>16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2"/>
        </w:rPr>
        <w:t>倍。施工期车辆扬</w:t>
      </w:r>
      <w:r>
        <w:rPr>
          <w:spacing w:val="-2"/>
        </w:rPr>
        <w:t>尘在施工沿线地区所造成的污染较重。</w:t>
      </w:r>
    </w:p>
    <w:p>
      <w:pPr>
        <w:pStyle w:val="BodyText"/>
        <w:spacing w:line="364" w:lineRule="auto"/>
        <w:ind w:right="838"/>
        <w:jc w:val="both"/>
      </w:pPr>
      <w:r>
        <w:rPr>
          <w:spacing w:val="-4"/>
        </w:rPr>
        <w:t>如果施工阶段对汽车行驶路面勤洒水（</w:t>
      </w:r>
      <w:r>
        <w:rPr>
          <w:spacing w:val="-12"/>
        </w:rPr>
        <w:t xml:space="preserve">每天 </w:t>
      </w:r>
      <w:r>
        <w:rPr>
          <w:rFonts w:ascii="Times New Roman" w:eastAsia="Times New Roman"/>
          <w:spacing w:val="-4"/>
        </w:rPr>
        <w:t>4~5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4"/>
        </w:rPr>
        <w:t>次），可以使空气中粉尘量</w:t>
      </w:r>
      <w:r>
        <w:rPr>
          <w:spacing w:val="-10"/>
        </w:rPr>
        <w:t xml:space="preserve">减少 </w:t>
      </w:r>
      <w:r>
        <w:rPr>
          <w:rFonts w:ascii="Times New Roman" w:eastAsia="Times New Roman"/>
          <w:spacing w:val="-2"/>
        </w:rPr>
        <w:t>70%</w:t>
      </w:r>
      <w:r>
        <w:rPr>
          <w:spacing w:val="-3"/>
        </w:rPr>
        <w:t xml:space="preserve">左右，可以收到很好的降尘效果，洒水降尘的试验资料见表 </w:t>
      </w:r>
      <w:r>
        <w:rPr>
          <w:rFonts w:ascii="Times New Roman" w:eastAsia="Times New Roman"/>
          <w:spacing w:val="-2"/>
        </w:rPr>
        <w:t>3-1-3</w:t>
      </w:r>
      <w:r>
        <w:rPr>
          <w:spacing w:val="-2"/>
        </w:rPr>
        <w:t>。当</w:t>
      </w:r>
      <w:r>
        <w:rPr>
          <w:spacing w:val="-2"/>
        </w:rPr>
        <w:t xml:space="preserve">施工场地洒水频率为 </w:t>
      </w:r>
      <w:r>
        <w:rPr>
          <w:rFonts w:ascii="Times New Roman" w:eastAsia="Times New Roman"/>
        </w:rPr>
        <w:t>4~5</w:t>
      </w:r>
      <w:r>
        <w:rPr>
          <w:rFonts w:ascii="Times New Roman" w:eastAsia="Times New Roman"/>
          <w:spacing w:val="40"/>
        </w:rPr>
        <w:t xml:space="preserve"> </w:t>
      </w:r>
      <w:r>
        <w:t>次</w:t>
      </w:r>
      <w:r>
        <w:rPr>
          <w:rFonts w:ascii="Times New Roman" w:eastAsia="Times New Roman"/>
        </w:rPr>
        <w:t>/</w:t>
      </w:r>
      <w:r>
        <w:rPr>
          <w:spacing w:val="-1"/>
        </w:rPr>
        <w:t xml:space="preserve">天时，扬尘造成的粉尘污染距离可缩小到 </w:t>
      </w:r>
      <w:r>
        <w:rPr>
          <w:rFonts w:ascii="Times New Roman" w:eastAsia="Times New Roman"/>
        </w:rPr>
        <w:t>20~50m</w:t>
      </w:r>
      <w:r>
        <w:rPr>
          <w:spacing w:val="-3"/>
        </w:rPr>
        <w:t xml:space="preserve">范围内，扬尘量可降低 </w:t>
      </w:r>
      <w:r>
        <w:rPr>
          <w:rFonts w:ascii="Times New Roman" w:eastAsia="Times New Roman"/>
        </w:rPr>
        <w:t>30%~80%</w:t>
      </w:r>
      <w:r>
        <w:t>。因此，限制车辆行驶速度及保持路面清洁是</w:t>
      </w:r>
      <w:r>
        <w:rPr>
          <w:spacing w:val="-2"/>
        </w:rPr>
        <w:t>减少汽车行驶道路扬尘的最有效手段。</w:t>
      </w:r>
    </w:p>
    <w:p>
      <w:pPr>
        <w:spacing w:after="0" w:line="364" w:lineRule="auto"/>
        <w:jc w:val="both"/>
        <w:sectPr>
          <w:footerReference w:type="default" r:id="rId15"/>
          <w:pgSz w:w="11910" w:h="16840"/>
          <w:pgMar w:top="1380" w:right="960" w:bottom="1180" w:left="1360" w:header="0" w:footer="990"/>
          <w:pgNumType w:start="11"/>
          <w:cols w:space="708"/>
        </w:sectPr>
      </w:pPr>
    </w:p>
    <w:p>
      <w:pPr>
        <w:pStyle w:val="Heading4"/>
        <w:tabs>
          <w:tab w:val="left" w:pos="1139"/>
        </w:tabs>
        <w:spacing w:line="408" w:lineRule="exact"/>
        <w:ind w:left="79"/>
        <w:jc w:val="center"/>
      </w:pPr>
      <w:r>
        <w:pict>
          <v:line id="_x0000_s1027" style="mso-position-horizontal-relative:page;position:absolute;z-index:-251657216" from="93.45pt,25.95pt" to="171.4pt,66.8pt" stroked="t" strokecolor="black" strokeweight="0.5pt">
            <v:stroke dashstyle="solid"/>
          </v:line>
        </w:pict>
      </w:r>
      <w:r>
        <w:t xml:space="preserve">表 </w:t>
      </w:r>
      <w:r>
        <w:rPr>
          <w:rFonts w:ascii="Times New Roman" w:eastAsia="Times New Roman"/>
        </w:rPr>
        <w:t>3-1-</w:t>
      </w:r>
      <w:r>
        <w:rPr>
          <w:rFonts w:ascii="Times New Roman" w:eastAsia="Times New Roman"/>
          <w:spacing w:val="-10"/>
        </w:rPr>
        <w:t>3</w:t>
      </w:r>
      <w:r>
        <w:rPr>
          <w:rFonts w:ascii="Times New Roman" w:eastAsia="Times New Roman"/>
        </w:rPr>
        <w:tab/>
      </w:r>
      <w:r>
        <w:t>洒水抑尘效果一览</w:t>
      </w:r>
      <w:r>
        <w:rPr>
          <w:spacing w:val="-10"/>
        </w:rPr>
        <w:t>表</w:t>
      </w:r>
    </w:p>
    <w:p>
      <w:pPr>
        <w:pStyle w:val="BodyText"/>
        <w:spacing w:before="9"/>
        <w:ind w:left="0" w:firstLine="0"/>
        <w:rPr>
          <w:rFonts w:ascii="Microsoft JhengHei"/>
          <w:b/>
          <w:sz w:val="5"/>
        </w:rPr>
      </w:pPr>
    </w:p>
    <w:tbl>
      <w:tblPr>
        <w:tblStyle w:val="TableNormal4"/>
        <w:tblW w:w="0" w:type="auto"/>
        <w:jc w:val="left"/>
        <w:tblInd w:w="5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061"/>
        <w:gridCol w:w="1205"/>
        <w:gridCol w:w="1125"/>
        <w:gridCol w:w="1103"/>
        <w:gridCol w:w="1115"/>
      </w:tblGrid>
      <w:tr>
        <w:tblPrEx>
          <w:tblW w:w="0" w:type="auto"/>
          <w:jc w:val="left"/>
          <w:tblInd w:w="514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6"/>
          <w:jc w:val="left"/>
        </w:trPr>
        <w:tc>
          <w:tcPr>
            <w:tcW w:w="1558" w:type="dxa"/>
          </w:tcPr>
          <w:p>
            <w:pPr>
              <w:pStyle w:val="TableParagraph"/>
              <w:spacing w:before="3"/>
              <w:ind w:left="1030"/>
              <w:rPr>
                <w:sz w:val="21"/>
              </w:rPr>
            </w:pPr>
            <w:r>
              <w:rPr>
                <w:spacing w:val="-5"/>
                <w:sz w:val="21"/>
              </w:rPr>
              <w:t>距离</w:t>
            </w:r>
          </w:p>
          <w:p>
            <w:pPr>
              <w:pStyle w:val="TableParagraph"/>
              <w:spacing w:before="139"/>
              <w:ind w:left="14" w:right="8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浓度</w:t>
            </w:r>
          </w:p>
        </w:tc>
        <w:tc>
          <w:tcPr>
            <w:tcW w:w="20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spacing w:before="6"/>
              <w:rPr>
                <w:rFonts w:ascii="Microsoft JhengHei"/>
                <w:b/>
                <w:sz w:val="12"/>
              </w:rPr>
            </w:pPr>
          </w:p>
          <w:p>
            <w:pPr>
              <w:pStyle w:val="TableParagraph"/>
              <w:ind w:right="24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5m</w:t>
            </w:r>
          </w:p>
        </w:tc>
        <w:tc>
          <w:tcPr>
            <w:tcW w:w="1125" w:type="dxa"/>
          </w:tcPr>
          <w:p>
            <w:pPr>
              <w:pStyle w:val="TableParagraph"/>
              <w:spacing w:before="6"/>
              <w:rPr>
                <w:rFonts w:ascii="Microsoft JhengHei"/>
                <w:b/>
                <w:sz w:val="12"/>
              </w:rPr>
            </w:pPr>
          </w:p>
          <w:p>
            <w:pPr>
              <w:pStyle w:val="TableParagraph"/>
              <w:ind w:right="15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20m</w:t>
            </w:r>
          </w:p>
        </w:tc>
        <w:tc>
          <w:tcPr>
            <w:tcW w:w="1103" w:type="dxa"/>
          </w:tcPr>
          <w:p>
            <w:pPr>
              <w:pStyle w:val="TableParagraph"/>
              <w:spacing w:before="6"/>
              <w:rPr>
                <w:rFonts w:ascii="Microsoft JhengHei"/>
                <w:b/>
                <w:sz w:val="12"/>
              </w:rPr>
            </w:pPr>
          </w:p>
          <w:p>
            <w:pPr>
              <w:pStyle w:val="TableParagraph"/>
              <w:ind w:right="14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50m</w:t>
            </w:r>
          </w:p>
        </w:tc>
        <w:tc>
          <w:tcPr>
            <w:tcW w:w="1115" w:type="dxa"/>
          </w:tcPr>
          <w:p>
            <w:pPr>
              <w:pStyle w:val="TableParagraph"/>
              <w:spacing w:before="6"/>
              <w:rPr>
                <w:rFonts w:ascii="Microsoft JhengHei"/>
                <w:b/>
                <w:sz w:val="12"/>
              </w:rPr>
            </w:pPr>
          </w:p>
          <w:p>
            <w:pPr>
              <w:pStyle w:val="TableParagraph"/>
              <w:ind w:right="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100m</w:t>
            </w:r>
          </w:p>
        </w:tc>
      </w:tr>
      <w:tr>
        <w:tblPrEx>
          <w:tblW w:w="0" w:type="auto"/>
          <w:jc w:val="left"/>
          <w:tblInd w:w="51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558" w:type="dxa"/>
            <w:vMerge w:val="restart"/>
          </w:tcPr>
          <w:p>
            <w:pPr>
              <w:pStyle w:val="TableParagraph"/>
              <w:spacing w:before="16"/>
              <w:rPr>
                <w:rFonts w:ascii="Microsoft JhengHei"/>
                <w:b/>
                <w:sz w:val="12"/>
              </w:rPr>
            </w:pPr>
          </w:p>
          <w:p>
            <w:pPr>
              <w:pStyle w:val="TableParagraph"/>
              <w:ind w:left="513" w:right="8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TSP</w:t>
            </w:r>
          </w:p>
          <w:p>
            <w:pPr>
              <w:pStyle w:val="TableParagraph"/>
              <w:spacing w:before="124"/>
              <w:ind w:left="513" w:right="8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（</w:t>
            </w:r>
            <w:r>
              <w:rPr>
                <w:rFonts w:ascii="Times New Roman" w:eastAsia="Times New Roman"/>
                <w:spacing w:val="-2"/>
                <w:sz w:val="21"/>
              </w:rPr>
              <w:t>kg/m</w:t>
            </w:r>
            <w:r>
              <w:rPr>
                <w:rFonts w:ascii="Times New Roman" w:eastAsia="Times New Roman"/>
                <w:spacing w:val="-2"/>
                <w:position w:val="6"/>
                <w:sz w:val="14"/>
              </w:rPr>
              <w:t>2</w:t>
            </w:r>
            <w:r>
              <w:rPr>
                <w:spacing w:val="-2"/>
                <w:sz w:val="21"/>
              </w:rPr>
              <w:t>）</w:t>
            </w:r>
          </w:p>
        </w:tc>
        <w:tc>
          <w:tcPr>
            <w:tcW w:w="2061" w:type="dxa"/>
          </w:tcPr>
          <w:p>
            <w:pPr>
              <w:pStyle w:val="TableParagraph"/>
              <w:spacing w:before="3"/>
              <w:ind w:left="506" w:right="7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不洒水</w:t>
            </w:r>
          </w:p>
        </w:tc>
        <w:tc>
          <w:tcPr>
            <w:tcW w:w="1205" w:type="dxa"/>
          </w:tcPr>
          <w:p>
            <w:pPr>
              <w:pStyle w:val="TableParagraph"/>
              <w:spacing w:before="23"/>
              <w:ind w:right="14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10.14</w:t>
            </w:r>
          </w:p>
        </w:tc>
        <w:tc>
          <w:tcPr>
            <w:tcW w:w="1125" w:type="dxa"/>
          </w:tcPr>
          <w:p>
            <w:pPr>
              <w:pStyle w:val="TableParagraph"/>
              <w:spacing w:before="23"/>
              <w:ind w:right="15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2.81</w:t>
            </w:r>
          </w:p>
        </w:tc>
        <w:tc>
          <w:tcPr>
            <w:tcW w:w="1103" w:type="dxa"/>
          </w:tcPr>
          <w:p>
            <w:pPr>
              <w:pStyle w:val="TableParagraph"/>
              <w:spacing w:before="23"/>
              <w:ind w:right="14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1.15</w:t>
            </w:r>
          </w:p>
        </w:tc>
        <w:tc>
          <w:tcPr>
            <w:tcW w:w="1115" w:type="dxa"/>
          </w:tcPr>
          <w:p>
            <w:pPr>
              <w:pStyle w:val="TableParagraph"/>
              <w:spacing w:before="23"/>
              <w:ind w:right="15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0.86</w:t>
            </w:r>
          </w:p>
        </w:tc>
      </w:tr>
      <w:tr>
        <w:tblPrEx>
          <w:tblW w:w="0" w:type="auto"/>
          <w:jc w:val="left"/>
          <w:tblInd w:w="51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61" w:type="dxa"/>
          </w:tcPr>
          <w:p>
            <w:pPr>
              <w:pStyle w:val="TableParagraph"/>
              <w:spacing w:before="3"/>
              <w:ind w:left="506" w:right="7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洒水</w:t>
            </w:r>
          </w:p>
        </w:tc>
        <w:tc>
          <w:tcPr>
            <w:tcW w:w="1205" w:type="dxa"/>
          </w:tcPr>
          <w:p>
            <w:pPr>
              <w:pStyle w:val="TableParagraph"/>
              <w:spacing w:before="23"/>
              <w:ind w:right="1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2.01</w:t>
            </w:r>
          </w:p>
        </w:tc>
        <w:tc>
          <w:tcPr>
            <w:tcW w:w="1125" w:type="dxa"/>
          </w:tcPr>
          <w:p>
            <w:pPr>
              <w:pStyle w:val="TableParagraph"/>
              <w:spacing w:before="23"/>
              <w:ind w:right="20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1.4</w:t>
            </w:r>
          </w:p>
        </w:tc>
        <w:tc>
          <w:tcPr>
            <w:tcW w:w="1103" w:type="dxa"/>
          </w:tcPr>
          <w:p>
            <w:pPr>
              <w:pStyle w:val="TableParagraph"/>
              <w:spacing w:before="23"/>
              <w:ind w:right="14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0.68</w:t>
            </w:r>
          </w:p>
        </w:tc>
        <w:tc>
          <w:tcPr>
            <w:tcW w:w="1115" w:type="dxa"/>
          </w:tcPr>
          <w:p>
            <w:pPr>
              <w:pStyle w:val="TableParagraph"/>
              <w:spacing w:before="23"/>
              <w:ind w:right="15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0.60</w:t>
            </w:r>
          </w:p>
        </w:tc>
      </w:tr>
      <w:tr>
        <w:tblPrEx>
          <w:tblW w:w="0" w:type="auto"/>
          <w:jc w:val="left"/>
          <w:tblInd w:w="51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61" w:type="dxa"/>
          </w:tcPr>
          <w:p>
            <w:pPr>
              <w:pStyle w:val="TableParagraph"/>
              <w:spacing w:before="3"/>
              <w:ind w:left="515" w:right="76"/>
              <w:jc w:val="center"/>
              <w:rPr>
                <w:sz w:val="21"/>
              </w:rPr>
            </w:pPr>
            <w:r>
              <w:rPr>
                <w:sz w:val="21"/>
              </w:rPr>
              <w:t>抑尘效果</w:t>
            </w:r>
            <w:r>
              <w:rPr>
                <w:spacing w:val="-5"/>
                <w:sz w:val="21"/>
              </w:rPr>
              <w:t>（</w:t>
            </w:r>
            <w:r>
              <w:rPr>
                <w:rFonts w:ascii="Times New Roman" w:eastAsia="Times New Roman"/>
                <w:spacing w:val="-5"/>
                <w:sz w:val="21"/>
              </w:rPr>
              <w:t>%</w:t>
            </w:r>
            <w:r>
              <w:rPr>
                <w:spacing w:val="-5"/>
                <w:sz w:val="21"/>
              </w:rPr>
              <w:t>）</w:t>
            </w:r>
          </w:p>
        </w:tc>
        <w:tc>
          <w:tcPr>
            <w:tcW w:w="1205" w:type="dxa"/>
          </w:tcPr>
          <w:p>
            <w:pPr>
              <w:pStyle w:val="TableParagraph"/>
              <w:spacing w:before="23"/>
              <w:ind w:right="1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80.2</w:t>
            </w:r>
          </w:p>
        </w:tc>
        <w:tc>
          <w:tcPr>
            <w:tcW w:w="1125" w:type="dxa"/>
          </w:tcPr>
          <w:p>
            <w:pPr>
              <w:pStyle w:val="TableParagraph"/>
              <w:spacing w:before="23"/>
              <w:ind w:right="15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50.2</w:t>
            </w:r>
          </w:p>
        </w:tc>
        <w:tc>
          <w:tcPr>
            <w:tcW w:w="1103" w:type="dxa"/>
          </w:tcPr>
          <w:p>
            <w:pPr>
              <w:pStyle w:val="TableParagraph"/>
              <w:spacing w:before="23"/>
              <w:ind w:right="14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40.9</w:t>
            </w:r>
          </w:p>
        </w:tc>
        <w:tc>
          <w:tcPr>
            <w:tcW w:w="1115" w:type="dxa"/>
          </w:tcPr>
          <w:p>
            <w:pPr>
              <w:pStyle w:val="TableParagraph"/>
              <w:spacing w:before="23"/>
              <w:ind w:right="15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30.2</w:t>
            </w:r>
          </w:p>
        </w:tc>
      </w:tr>
    </w:tbl>
    <w:p>
      <w:pPr>
        <w:pStyle w:val="ListParagraph"/>
        <w:numPr>
          <w:ilvl w:val="0"/>
          <w:numId w:val="28"/>
        </w:numPr>
        <w:tabs>
          <w:tab w:val="left" w:pos="1521"/>
        </w:tabs>
        <w:spacing w:before="6" w:after="0" w:line="240" w:lineRule="auto"/>
        <w:ind w:left="1521" w:right="0" w:hanging="601"/>
        <w:jc w:val="left"/>
        <w:rPr>
          <w:sz w:val="24"/>
        </w:rPr>
      </w:pPr>
      <w:r>
        <w:rPr>
          <w:spacing w:val="-1"/>
          <w:sz w:val="24"/>
        </w:rPr>
        <w:t>汽车及施工机械设备尾气</w:t>
      </w:r>
    </w:p>
    <w:p>
      <w:pPr>
        <w:pStyle w:val="BodyText"/>
        <w:spacing w:before="159" w:line="364" w:lineRule="auto"/>
        <w:ind w:right="838"/>
        <w:jc w:val="both"/>
      </w:pPr>
      <w:r>
        <w:rPr>
          <w:spacing w:val="-3"/>
        </w:rPr>
        <w:t xml:space="preserve">汽车及施工机械设备产生的尾气，主要污染物是 </w:t>
      </w:r>
      <w:r>
        <w:rPr>
          <w:rFonts w:ascii="Times New Roman" w:eastAsia="Times New Roman"/>
          <w:spacing w:val="-2"/>
        </w:rPr>
        <w:t>NOx</w:t>
      </w:r>
      <w:r>
        <w:rPr>
          <w:spacing w:val="-2"/>
        </w:rPr>
        <w:t>、</w:t>
      </w:r>
      <w:r>
        <w:rPr>
          <w:rFonts w:ascii="Times New Roman" w:eastAsia="Times New Roman"/>
          <w:spacing w:val="-2"/>
        </w:rPr>
        <w:t>CO</w:t>
      </w:r>
      <w:r>
        <w:rPr>
          <w:spacing w:val="-2"/>
        </w:rPr>
        <w:t>、</w:t>
      </w:r>
      <w:r>
        <w:rPr>
          <w:rFonts w:ascii="Times New Roman" w:eastAsia="Times New Roman"/>
          <w:spacing w:val="-2"/>
        </w:rPr>
        <w:t>THC</w:t>
      </w:r>
      <w:r>
        <w:rPr>
          <w:spacing w:val="-2"/>
        </w:rPr>
        <w:t>，这类尾</w:t>
      </w:r>
      <w:r>
        <w:rPr>
          <w:spacing w:val="-4"/>
        </w:rPr>
        <w:t>气不可避免并且无法收集。建议施工单位尽量选择空气气压较高，流动性较好天</w:t>
      </w:r>
      <w:r>
        <w:rPr>
          <w:spacing w:val="-4"/>
        </w:rPr>
        <w:t>气施工，增加尾气的扩散速度，建设对周边环境的影响。本项目大部分路段的空</w:t>
      </w:r>
      <w:r>
        <w:rPr>
          <w:spacing w:val="-2"/>
        </w:rPr>
        <w:t>气流动性较好，尾气的影响相对较小。</w:t>
      </w:r>
    </w:p>
    <w:p>
      <w:pPr>
        <w:pStyle w:val="ListParagraph"/>
        <w:numPr>
          <w:ilvl w:val="0"/>
          <w:numId w:val="28"/>
        </w:numPr>
        <w:tabs>
          <w:tab w:val="left" w:pos="1521"/>
        </w:tabs>
        <w:spacing w:before="0" w:after="0" w:line="305" w:lineRule="exact"/>
        <w:ind w:left="1521" w:right="0" w:hanging="601"/>
        <w:jc w:val="left"/>
        <w:rPr>
          <w:sz w:val="24"/>
        </w:rPr>
      </w:pPr>
      <w:r>
        <w:rPr>
          <w:spacing w:val="-2"/>
          <w:sz w:val="24"/>
        </w:rPr>
        <w:t>施工沥清烟影响分析</w:t>
      </w:r>
    </w:p>
    <w:p>
      <w:pPr>
        <w:pStyle w:val="BodyText"/>
        <w:spacing w:before="160" w:line="364" w:lineRule="auto"/>
        <w:ind w:right="838"/>
      </w:pPr>
      <w:r>
        <w:rPr>
          <w:spacing w:val="-4"/>
        </w:rPr>
        <w:t>道路建设过程中，沥清摊铺过程会产生沥清烟。随着公路施工技术的不断发展，目前公路建设均采用无热源或高温容器将沥清运至铺浇工地，沥清的使用已</w:t>
      </w:r>
      <w:r>
        <w:rPr>
          <w:spacing w:val="-4"/>
        </w:rPr>
        <w:t>采取全封闭沥清摊铺车进行作业，避免了过去的敞开式熬炼的工作方式，可以从</w:t>
      </w:r>
      <w:r>
        <w:rPr>
          <w:spacing w:val="-4"/>
        </w:rPr>
        <w:t>根本上解决沥清烟污染的问题。沥清烟气的排放浓度较低，可以满足《大气污染</w:t>
      </w:r>
      <w:r>
        <w:rPr>
          <w:spacing w:val="-2"/>
        </w:rPr>
        <w:t>综合排放标准》（</w:t>
      </w:r>
      <w:r>
        <w:rPr>
          <w:rFonts w:ascii="Times New Roman" w:eastAsia="Times New Roman"/>
          <w:spacing w:val="-2"/>
        </w:rPr>
        <w:t>GB16297-1996</w:t>
      </w:r>
      <w:r>
        <w:rPr>
          <w:spacing w:val="-2"/>
        </w:rPr>
        <w:t>）中的沥清烟气最高允许排放浓度，对周围环</w:t>
      </w:r>
      <w:r>
        <w:rPr>
          <w:spacing w:val="-2"/>
        </w:rPr>
        <w:t>境影响较小。</w:t>
      </w:r>
    </w:p>
    <w:p>
      <w:pPr>
        <w:pStyle w:val="BodyText"/>
        <w:spacing w:line="364" w:lineRule="auto"/>
        <w:ind w:right="838"/>
        <w:jc w:val="both"/>
      </w:pPr>
      <w:r>
        <w:rPr>
          <w:spacing w:val="-4"/>
        </w:rPr>
        <w:t>纬七路、和平路三期及桥梁、经十一路、纬六路、纬八路、纬九路、纬十一路、团结西路及桥梁、爱民路跨无量溪河桥梁两侧分布着少量的散户居民，道路</w:t>
      </w:r>
      <w:r>
        <w:rPr>
          <w:spacing w:val="-4"/>
        </w:rPr>
        <w:t>在施工过程中产生的扬尘和沥清烟对散户居民会有一定的影响，结合《防治城市</w:t>
      </w:r>
      <w:r>
        <w:rPr>
          <w:spacing w:val="-4"/>
        </w:rPr>
        <w:t>扬尘污染技术规范》和《安徽省大气污染防治行动计划实施方案》的要求，为减</w:t>
      </w:r>
      <w:r>
        <w:rPr>
          <w:spacing w:val="-2"/>
        </w:rPr>
        <w:t>少对散户居民造成的不良影响，道路在施工过程中采取以下措施：</w:t>
      </w:r>
    </w:p>
    <w:p>
      <w:pPr>
        <w:pStyle w:val="BodyText"/>
        <w:spacing w:line="305" w:lineRule="exact"/>
        <w:ind w:left="920" w:firstLine="0"/>
        <w:jc w:val="both"/>
      </w:pPr>
      <w:r>
        <w:rPr>
          <w:rFonts w:ascii="Cambria Math" w:eastAsia="Cambria Math" w:hAnsi="Cambria Math"/>
        </w:rPr>
        <w:t>①</w:t>
      </w:r>
      <w:r>
        <w:rPr>
          <w:spacing w:val="-5"/>
        </w:rPr>
        <w:t xml:space="preserve">工地现场周边应当设置不低于 </w:t>
      </w:r>
      <w:r>
        <w:rPr>
          <w:rFonts w:ascii="Times New Roman" w:eastAsia="Times New Roman" w:hAnsi="Times New Roman"/>
        </w:rPr>
        <w:t xml:space="preserve">1.8m </w:t>
      </w:r>
      <w:r>
        <w:rPr>
          <w:spacing w:val="-1"/>
        </w:rPr>
        <w:t>的围挡，防止物料渣土外泄；</w:t>
      </w:r>
    </w:p>
    <w:p>
      <w:pPr>
        <w:pStyle w:val="BodyText"/>
        <w:spacing w:before="156"/>
        <w:ind w:left="920" w:firstLine="0"/>
      </w:pPr>
      <w:r>
        <w:rPr>
          <w:rFonts w:ascii="Cambria Math" w:eastAsia="Cambria Math" w:hAnsi="Cambria Math"/>
          <w:spacing w:val="-2"/>
        </w:rPr>
        <w:t>②</w:t>
      </w:r>
      <w:r>
        <w:rPr>
          <w:spacing w:val="-3"/>
        </w:rPr>
        <w:t>施工场地的出入口道路硬化，并采取措施防止车辆将泥沙带出施工现场；</w:t>
      </w:r>
    </w:p>
    <w:p>
      <w:pPr>
        <w:pStyle w:val="BodyText"/>
        <w:spacing w:before="159"/>
        <w:ind w:left="920" w:firstLine="0"/>
      </w:pPr>
      <w:r>
        <w:rPr>
          <w:rFonts w:ascii="Cambria Math" w:eastAsia="Cambria Math" w:hAnsi="Cambria Math"/>
        </w:rPr>
        <w:t>③</w:t>
      </w:r>
      <w:r>
        <w:rPr>
          <w:spacing w:val="-1"/>
        </w:rPr>
        <w:t>按规定使用预拌成品沥清；</w:t>
      </w:r>
    </w:p>
    <w:p>
      <w:pPr>
        <w:pStyle w:val="BodyText"/>
        <w:spacing w:before="160"/>
        <w:ind w:left="920" w:firstLine="0"/>
      </w:pPr>
      <w:r>
        <w:rPr>
          <w:rFonts w:ascii="Cambria Math" w:eastAsia="Cambria Math" w:hAnsi="Cambria Math"/>
        </w:rPr>
        <w:t>④</w:t>
      </w:r>
      <w:r>
        <w:rPr>
          <w:spacing w:val="-1"/>
        </w:rPr>
        <w:t>装卸和贮存物料采取防止遗撒或者扬尘的措施；</w:t>
      </w:r>
    </w:p>
    <w:p>
      <w:pPr>
        <w:pStyle w:val="BodyText"/>
        <w:spacing w:before="159"/>
        <w:ind w:left="920" w:firstLine="0"/>
      </w:pPr>
      <w:r>
        <w:rPr>
          <w:rFonts w:ascii="Cambria Math" w:eastAsia="Cambria Math" w:hAnsi="Cambria Math"/>
        </w:rPr>
        <w:t>⑤</w:t>
      </w:r>
      <w:r>
        <w:rPr>
          <w:spacing w:val="-2"/>
        </w:rPr>
        <w:t>建筑垃圾密封运输；</w:t>
      </w:r>
    </w:p>
    <w:p>
      <w:pPr>
        <w:pStyle w:val="BodyText"/>
        <w:spacing w:before="159"/>
        <w:ind w:left="920" w:firstLine="0"/>
      </w:pPr>
      <w:r>
        <w:rPr>
          <w:rFonts w:ascii="Cambria Math" w:eastAsia="Cambria Math" w:hAnsi="Cambria Math"/>
        </w:rPr>
        <w:t>⑥</w:t>
      </w:r>
      <w:r>
        <w:rPr>
          <w:spacing w:val="-1"/>
        </w:rPr>
        <w:t>对进场道路适时洒水抑尘；</w:t>
      </w:r>
    </w:p>
    <w:p>
      <w:pPr>
        <w:spacing w:after="0"/>
        <w:sectPr>
          <w:footerReference w:type="default" r:id="rId16"/>
          <w:pgSz w:w="11910" w:h="16840"/>
          <w:pgMar w:top="1380" w:right="960" w:bottom="1180" w:left="1360" w:header="0" w:footer="990"/>
          <w:pgNumType w:start="12"/>
          <w:cols w:space="708"/>
        </w:sectPr>
      </w:pPr>
    </w:p>
    <w:p>
      <w:pPr>
        <w:pStyle w:val="BodyText"/>
        <w:spacing w:before="45" w:line="364" w:lineRule="auto"/>
        <w:ind w:right="935"/>
      </w:pPr>
      <w:r>
        <w:rPr>
          <w:rFonts w:ascii="Cambria Math" w:eastAsia="Cambria Math" w:hAnsi="Cambria Math"/>
          <w:spacing w:val="-2"/>
        </w:rPr>
        <w:t>⑦</w:t>
      </w:r>
      <w:r>
        <w:rPr>
          <w:spacing w:val="-2"/>
        </w:rPr>
        <w:t>装卸物料时尽量降低高度以减少冲击扬尘污染，对散装物料设置简易材</w:t>
      </w:r>
      <w:r>
        <w:rPr>
          <w:spacing w:val="-2"/>
        </w:rPr>
        <w:t>料棚，以免露天堆放造成的风蚀扬尘。</w:t>
      </w:r>
    </w:p>
    <w:p>
      <w:pPr>
        <w:pStyle w:val="BodyText"/>
        <w:spacing w:line="306" w:lineRule="exact"/>
        <w:ind w:left="920" w:firstLine="0"/>
      </w:pPr>
      <w:r>
        <w:rPr>
          <w:spacing w:val="-1"/>
        </w:rPr>
        <w:t>⑧遇到四级以上的大风，应停止土方作业，同时作业处赋以防尘网。</w:t>
      </w:r>
    </w:p>
    <w:p>
      <w:pPr>
        <w:pStyle w:val="BodyText"/>
        <w:spacing w:before="160" w:line="364" w:lineRule="auto"/>
        <w:ind w:right="838"/>
        <w:jc w:val="both"/>
      </w:pPr>
      <w:r>
        <w:rPr>
          <w:spacing w:val="-6"/>
        </w:rPr>
        <w:t>太极大道改造路段两侧布满了居民且在道路的北侧有广德中学，横山北路两</w:t>
      </w:r>
      <w:r>
        <w:rPr>
          <w:spacing w:val="-8"/>
        </w:rPr>
        <w:t>侧布满居民且在道路的东侧有桃州中学，绥安路两侧布满居民且在道路南侧有广</w:t>
      </w:r>
      <w:r>
        <w:rPr>
          <w:spacing w:val="-4"/>
        </w:rPr>
        <w:t>德县医院，万桂山路北侧、经四路四期两侧布满了居民，结合《防治城市扬尘污</w:t>
      </w:r>
      <w:r>
        <w:rPr>
          <w:spacing w:val="-4"/>
        </w:rPr>
        <w:t>染技术规范》和《安徽省大气污染防治行动计划实施方案》的要求，为减少道路</w:t>
      </w:r>
      <w:r>
        <w:rPr>
          <w:spacing w:val="-4"/>
        </w:rPr>
        <w:t>施工的烟尘和沥清烟对道路两侧的居民及学校、医院造成的不良影响，道路在施</w:t>
      </w:r>
      <w:r>
        <w:rPr>
          <w:spacing w:val="-2"/>
        </w:rPr>
        <w:t>工过程中采取以下措施：</w:t>
      </w:r>
    </w:p>
    <w:p>
      <w:pPr>
        <w:pStyle w:val="BodyText"/>
        <w:spacing w:line="304" w:lineRule="exact"/>
        <w:ind w:left="920" w:firstLine="0"/>
        <w:jc w:val="both"/>
      </w:pPr>
      <w:r>
        <w:rPr>
          <w:rFonts w:ascii="Cambria Math" w:eastAsia="Cambria Math" w:hAnsi="Cambria Math"/>
        </w:rPr>
        <w:t>①</w:t>
      </w:r>
      <w:r>
        <w:rPr>
          <w:spacing w:val="-5"/>
        </w:rPr>
        <w:t xml:space="preserve">工地现场周边应当设置不低于 </w:t>
      </w:r>
      <w:r>
        <w:rPr>
          <w:rFonts w:ascii="Times New Roman" w:eastAsia="Times New Roman" w:hAnsi="Times New Roman"/>
        </w:rPr>
        <w:t xml:space="preserve">2.5m </w:t>
      </w:r>
      <w:r>
        <w:rPr>
          <w:spacing w:val="-1"/>
        </w:rPr>
        <w:t>的围挡，防止物料渣土外泄；</w:t>
      </w:r>
    </w:p>
    <w:p>
      <w:pPr>
        <w:pStyle w:val="BodyText"/>
        <w:spacing w:before="159"/>
        <w:ind w:left="920" w:firstLine="0"/>
      </w:pPr>
      <w:r>
        <w:rPr>
          <w:rFonts w:ascii="Cambria Math" w:eastAsia="Cambria Math" w:hAnsi="Cambria Math"/>
          <w:spacing w:val="-2"/>
        </w:rPr>
        <w:t>②</w:t>
      </w:r>
      <w:r>
        <w:rPr>
          <w:spacing w:val="-3"/>
        </w:rPr>
        <w:t>施工场地的出入口道路硬化，并采取措施防止车辆将泥沙带出施工现场；</w:t>
      </w:r>
    </w:p>
    <w:p>
      <w:pPr>
        <w:pStyle w:val="BodyText"/>
        <w:spacing w:before="160"/>
        <w:ind w:left="920" w:firstLine="0"/>
      </w:pPr>
      <w:r>
        <w:rPr>
          <w:rFonts w:ascii="Cambria Math" w:eastAsia="Cambria Math" w:hAnsi="Cambria Math"/>
        </w:rPr>
        <w:t>③</w:t>
      </w:r>
      <w:r>
        <w:rPr>
          <w:spacing w:val="-1"/>
        </w:rPr>
        <w:t>按规定使用预拌成品沥清；</w:t>
      </w:r>
    </w:p>
    <w:p>
      <w:pPr>
        <w:pStyle w:val="BodyText"/>
        <w:spacing w:before="159"/>
        <w:ind w:left="920" w:firstLine="0"/>
      </w:pPr>
      <w:r>
        <w:rPr>
          <w:rFonts w:ascii="Cambria Math" w:eastAsia="Cambria Math" w:hAnsi="Cambria Math"/>
        </w:rPr>
        <w:t>④</w:t>
      </w:r>
      <w:r>
        <w:rPr>
          <w:spacing w:val="-1"/>
        </w:rPr>
        <w:t>装卸和贮存物料采取防止遗撒或者扬尘的措施；</w:t>
      </w:r>
    </w:p>
    <w:p>
      <w:pPr>
        <w:pStyle w:val="BodyText"/>
        <w:spacing w:before="159"/>
        <w:ind w:left="920" w:firstLine="0"/>
      </w:pPr>
      <w:r>
        <w:rPr>
          <w:rFonts w:ascii="Cambria Math" w:eastAsia="Cambria Math" w:hAnsi="Cambria Math"/>
        </w:rPr>
        <w:t>⑤</w:t>
      </w:r>
      <w:r>
        <w:rPr>
          <w:spacing w:val="-2"/>
        </w:rPr>
        <w:t>建筑垃圾密封运输；</w:t>
      </w:r>
    </w:p>
    <w:p>
      <w:pPr>
        <w:pStyle w:val="BodyText"/>
        <w:spacing w:before="160"/>
        <w:ind w:left="920" w:firstLine="0"/>
      </w:pPr>
      <w:r>
        <w:rPr>
          <w:rFonts w:ascii="Cambria Math" w:eastAsia="Cambria Math" w:hAnsi="Cambria Math"/>
        </w:rPr>
        <w:t>⑥</w:t>
      </w:r>
      <w:r>
        <w:rPr>
          <w:spacing w:val="-1"/>
        </w:rPr>
        <w:t>对进场道路适时洒水抑尘；</w:t>
      </w:r>
    </w:p>
    <w:p>
      <w:pPr>
        <w:pStyle w:val="BodyText"/>
        <w:spacing w:before="159" w:line="364" w:lineRule="auto"/>
        <w:ind w:right="935"/>
      </w:pPr>
      <w:r>
        <w:rPr>
          <w:rFonts w:ascii="Cambria Math" w:eastAsia="Cambria Math" w:hAnsi="Cambria Math"/>
          <w:spacing w:val="-2"/>
        </w:rPr>
        <w:t>⑦</w:t>
      </w:r>
      <w:r>
        <w:rPr>
          <w:spacing w:val="-2"/>
        </w:rPr>
        <w:t>装卸物料时尽量降低高度以减少冲击扬尘污染，对散装物料设置简易材</w:t>
      </w:r>
      <w:r>
        <w:rPr>
          <w:spacing w:val="-2"/>
        </w:rPr>
        <w:t>料棚，以免露天堆放造成的风蚀扬尘。</w:t>
      </w:r>
    </w:p>
    <w:p>
      <w:pPr>
        <w:pStyle w:val="BodyText"/>
        <w:spacing w:line="306" w:lineRule="exact"/>
        <w:ind w:left="920" w:firstLine="0"/>
      </w:pPr>
      <w:r>
        <w:rPr>
          <w:spacing w:val="-1"/>
        </w:rPr>
        <w:t>⑧在上述施工路段应沿线设置屏障，降低扬尘对沿线居民的影响。</w:t>
      </w:r>
    </w:p>
    <w:p>
      <w:pPr>
        <w:pStyle w:val="BodyText"/>
        <w:spacing w:before="159"/>
        <w:ind w:left="920" w:firstLine="0"/>
      </w:pPr>
      <w:r>
        <w:rPr>
          <w:spacing w:val="-1"/>
        </w:rPr>
        <w:t>⑨遇到四级以上的大风，应停止土方作业，同时作业处赋以防尘网。</w:t>
      </w:r>
    </w:p>
    <w:p>
      <w:pPr>
        <w:pStyle w:val="BodyText"/>
        <w:spacing w:before="160" w:line="364" w:lineRule="auto"/>
        <w:ind w:right="745"/>
      </w:pPr>
      <w:r>
        <w:rPr>
          <w:spacing w:val="-2"/>
        </w:rPr>
        <w:t xml:space="preserve">⑩在县医院和学校的一侧应设置 </w:t>
      </w:r>
      <w:r>
        <w:rPr>
          <w:rFonts w:ascii="Times New Roman" w:eastAsia="Times New Roman" w:hAnsi="Times New Roman"/>
        </w:rPr>
        <w:t>2.</w:t>
      </w:r>
      <w:r>
        <w:t>5</w:t>
      </w:r>
      <w:r>
        <w:rPr>
          <w:rFonts w:ascii="Times New Roman" w:eastAsia="Times New Roman" w:hAnsi="Times New Roman"/>
        </w:rPr>
        <w:t xml:space="preserve">m </w:t>
      </w:r>
      <w:r>
        <w:t>的防治施工扬尘的屏障，建设施工扬</w:t>
      </w:r>
      <w:r>
        <w:rPr>
          <w:spacing w:val="-2"/>
        </w:rPr>
        <w:t>尘对医院和学校的影响；浇铸沥清应选择在天气晴朗和空气气压的较高的时段，</w:t>
      </w:r>
      <w:r>
        <w:rPr>
          <w:spacing w:val="-2"/>
        </w:rPr>
        <w:t>减少沥清烟对医院和学校的影响。</w:t>
      </w:r>
    </w:p>
    <w:p>
      <w:pPr>
        <w:pStyle w:val="Heading3"/>
        <w:numPr>
          <w:ilvl w:val="2"/>
          <w:numId w:val="18"/>
        </w:numPr>
        <w:tabs>
          <w:tab w:val="left" w:pos="1070"/>
        </w:tabs>
        <w:spacing w:before="0" w:after="0" w:line="421" w:lineRule="exact"/>
        <w:ind w:left="1070" w:right="0" w:hanging="630"/>
        <w:jc w:val="left"/>
        <w:rPr>
          <w:rFonts w:ascii="Times New Roman" w:eastAsia="Times New Roman"/>
        </w:rPr>
      </w:pPr>
      <w:bookmarkStart w:id="21" w:name="_TOC_250039"/>
      <w:bookmarkEnd w:id="21"/>
      <w:r>
        <w:rPr>
          <w:spacing w:val="-2"/>
        </w:rPr>
        <w:t>声环境影响分析</w:t>
      </w:r>
    </w:p>
    <w:p>
      <w:pPr>
        <w:pStyle w:val="Heading4"/>
        <w:numPr>
          <w:ilvl w:val="3"/>
          <w:numId w:val="18"/>
        </w:numPr>
        <w:tabs>
          <w:tab w:val="left" w:pos="1586"/>
        </w:tabs>
        <w:spacing w:before="162" w:after="0" w:line="240" w:lineRule="auto"/>
        <w:ind w:left="1586" w:right="0" w:hanging="721"/>
        <w:jc w:val="left"/>
        <w:rPr>
          <w:rFonts w:ascii="Times New Roman" w:eastAsia="Times New Roman"/>
        </w:rPr>
      </w:pPr>
      <w:bookmarkStart w:id="22" w:name="_TOC_250038"/>
      <w:bookmarkEnd w:id="22"/>
      <w:r>
        <w:rPr>
          <w:spacing w:val="-2"/>
        </w:rPr>
        <w:t>主要噪声污染源</w:t>
      </w:r>
    </w:p>
    <w:p>
      <w:pPr>
        <w:pStyle w:val="BodyText"/>
        <w:spacing w:before="105" w:line="364" w:lineRule="auto"/>
        <w:ind w:right="838"/>
        <w:jc w:val="both"/>
      </w:pPr>
      <w:r>
        <w:rPr>
          <w:spacing w:val="-6"/>
        </w:rPr>
        <w:t>施工期主要噪声源为建筑工地机械设备噪声和运输卡车的交通噪声。建筑工</w:t>
      </w:r>
      <w:r>
        <w:rPr>
          <w:spacing w:val="-4"/>
        </w:rPr>
        <w:t>地噪声主要来自土地平整、地基加固和施工等活动。土地平整的噪声主要来源于</w:t>
      </w:r>
      <w:r>
        <w:rPr>
          <w:spacing w:val="-4"/>
        </w:rPr>
        <w:t>推土机、铲车、大卡车；地基加固的噪声来源于运输车辆、压路机等。各种施工</w:t>
      </w:r>
      <w:r>
        <w:rPr>
          <w:spacing w:val="-7"/>
        </w:rPr>
        <w:t>机械中对环境影响较大的噪声设备主要是挖掘机等，主要施工机械的最大噪声级</w:t>
      </w:r>
      <w:r>
        <w:rPr>
          <w:spacing w:val="-4"/>
        </w:rPr>
        <w:t>见下表：</w:t>
      </w:r>
    </w:p>
    <w:p>
      <w:pPr>
        <w:spacing w:after="0" w:line="364" w:lineRule="auto"/>
        <w:jc w:val="both"/>
        <w:sectPr>
          <w:footerReference w:type="default" r:id="rId17"/>
          <w:pgSz w:w="11910" w:h="16840"/>
          <w:pgMar w:top="1380" w:right="960" w:bottom="1180" w:left="1360" w:header="0" w:footer="990"/>
          <w:pgNumType w:start="13"/>
          <w:cols w:space="708"/>
        </w:sectPr>
      </w:pPr>
    </w:p>
    <w:p>
      <w:pPr>
        <w:pStyle w:val="Heading4"/>
        <w:spacing w:line="408" w:lineRule="exact"/>
        <w:ind w:left="79"/>
        <w:jc w:val="center"/>
      </w:pPr>
      <w:r>
        <w:t xml:space="preserve">表 </w:t>
      </w:r>
      <w:r>
        <w:rPr>
          <w:rFonts w:ascii="Times New Roman" w:eastAsia="Times New Roman"/>
        </w:rPr>
        <w:t>3-1-4</w:t>
      </w:r>
      <w:r>
        <w:rPr>
          <w:rFonts w:ascii="Times New Roman" w:eastAsia="Times New Roman"/>
          <w:spacing w:val="60"/>
        </w:rPr>
        <w:t xml:space="preserve"> </w:t>
      </w:r>
      <w:r>
        <w:rPr>
          <w:spacing w:val="-1"/>
        </w:rPr>
        <w:t>主要施工机械噪声源强</w:t>
      </w:r>
    </w:p>
    <w:p>
      <w:pPr>
        <w:pStyle w:val="BodyText"/>
        <w:spacing w:before="9"/>
        <w:ind w:left="0" w:firstLine="0"/>
        <w:rPr>
          <w:rFonts w:ascii="Microsoft JhengHei"/>
          <w:b/>
          <w:sz w:val="5"/>
        </w:rPr>
      </w:pPr>
    </w:p>
    <w:tbl>
      <w:tblPr>
        <w:tblStyle w:val="TableNormal5"/>
        <w:tblW w:w="0" w:type="auto"/>
        <w:jc w:val="left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6"/>
        <w:gridCol w:w="1921"/>
        <w:gridCol w:w="3233"/>
        <w:gridCol w:w="2522"/>
      </w:tblGrid>
      <w:tr>
        <w:tblPrEx>
          <w:tblW w:w="0" w:type="auto"/>
          <w:jc w:val="left"/>
          <w:tblInd w:w="3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6"/>
          <w:jc w:val="left"/>
        </w:trPr>
        <w:tc>
          <w:tcPr>
            <w:tcW w:w="846" w:type="dxa"/>
          </w:tcPr>
          <w:p>
            <w:pPr>
              <w:pStyle w:val="TableParagraph"/>
              <w:spacing w:before="3"/>
              <w:ind w:left="527"/>
              <w:rPr>
                <w:sz w:val="21"/>
              </w:rPr>
            </w:pPr>
            <w:r>
              <w:rPr>
                <w:sz w:val="21"/>
              </w:rPr>
              <w:t>序</w:t>
            </w:r>
          </w:p>
          <w:p>
            <w:pPr>
              <w:pStyle w:val="TableParagraph"/>
              <w:spacing w:before="139"/>
              <w:ind w:left="9"/>
              <w:jc w:val="center"/>
              <w:rPr>
                <w:sz w:val="21"/>
              </w:rPr>
            </w:pPr>
            <w:r>
              <w:rPr>
                <w:sz w:val="21"/>
              </w:rPr>
              <w:t>号</w:t>
            </w:r>
          </w:p>
        </w:tc>
        <w:tc>
          <w:tcPr>
            <w:tcW w:w="1921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11"/>
              </w:rPr>
            </w:pPr>
          </w:p>
          <w:p>
            <w:pPr>
              <w:pStyle w:val="TableParagraph"/>
              <w:ind w:left="736" w:right="307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设备名称</w:t>
            </w:r>
          </w:p>
        </w:tc>
        <w:tc>
          <w:tcPr>
            <w:tcW w:w="3233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11"/>
              </w:rPr>
            </w:pPr>
          </w:p>
          <w:p>
            <w:pPr>
              <w:pStyle w:val="TableParagraph"/>
              <w:ind w:left="787" w:right="357"/>
              <w:jc w:val="center"/>
              <w:rPr>
                <w:sz w:val="21"/>
              </w:rPr>
            </w:pPr>
            <w:r>
              <w:rPr>
                <w:sz w:val="21"/>
              </w:rPr>
              <w:t>测点与声源距离</w:t>
            </w:r>
            <w:r>
              <w:rPr>
                <w:spacing w:val="-5"/>
                <w:sz w:val="21"/>
              </w:rPr>
              <w:t>（</w:t>
            </w:r>
            <w:r>
              <w:rPr>
                <w:rFonts w:ascii="Times New Roman" w:eastAsia="Times New Roman"/>
                <w:spacing w:val="-5"/>
                <w:sz w:val="21"/>
              </w:rPr>
              <w:t>m</w:t>
            </w:r>
            <w:r>
              <w:rPr>
                <w:spacing w:val="-5"/>
                <w:sz w:val="21"/>
              </w:rPr>
              <w:t>）</w:t>
            </w:r>
          </w:p>
        </w:tc>
        <w:tc>
          <w:tcPr>
            <w:tcW w:w="2522" w:type="dxa"/>
          </w:tcPr>
          <w:p>
            <w:pPr>
              <w:pStyle w:val="TableParagraph"/>
              <w:spacing w:before="5"/>
              <w:rPr>
                <w:rFonts w:ascii="Microsoft JhengHei"/>
                <w:b/>
                <w:sz w:val="11"/>
              </w:rPr>
            </w:pPr>
          </w:p>
          <w:p>
            <w:pPr>
              <w:pStyle w:val="TableParagraph"/>
              <w:ind w:left="699" w:right="270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最大声级</w:t>
            </w:r>
            <w:r>
              <w:rPr>
                <w:rFonts w:ascii="Times New Roman" w:eastAsia="Times New Roman"/>
                <w:spacing w:val="-2"/>
                <w:sz w:val="21"/>
              </w:rPr>
              <w:t>(dB(A))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846" w:type="dxa"/>
          </w:tcPr>
          <w:p>
            <w:pPr>
              <w:pStyle w:val="TableParagraph"/>
              <w:spacing w:before="23"/>
              <w:ind w:right="14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</w:t>
            </w:r>
          </w:p>
        </w:tc>
        <w:tc>
          <w:tcPr>
            <w:tcW w:w="1921" w:type="dxa"/>
          </w:tcPr>
          <w:p>
            <w:pPr>
              <w:pStyle w:val="TableParagraph"/>
              <w:spacing w:before="3"/>
              <w:ind w:left="736" w:right="30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推土机</w:t>
            </w:r>
          </w:p>
        </w:tc>
        <w:tc>
          <w:tcPr>
            <w:tcW w:w="3233" w:type="dxa"/>
          </w:tcPr>
          <w:p>
            <w:pPr>
              <w:pStyle w:val="TableParagraph"/>
              <w:spacing w:before="23"/>
              <w:ind w:left="4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2522" w:type="dxa"/>
          </w:tcPr>
          <w:p>
            <w:pPr>
              <w:pStyle w:val="TableParagraph"/>
              <w:spacing w:before="23"/>
              <w:ind w:left="699" w:right="26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90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846" w:type="dxa"/>
          </w:tcPr>
          <w:p>
            <w:pPr>
              <w:pStyle w:val="TableParagraph"/>
              <w:spacing w:before="23"/>
              <w:ind w:right="14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</w:t>
            </w:r>
          </w:p>
        </w:tc>
        <w:tc>
          <w:tcPr>
            <w:tcW w:w="1921" w:type="dxa"/>
          </w:tcPr>
          <w:p>
            <w:pPr>
              <w:pStyle w:val="TableParagraph"/>
              <w:spacing w:before="3"/>
              <w:ind w:left="736" w:right="30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铲车</w:t>
            </w:r>
          </w:p>
        </w:tc>
        <w:tc>
          <w:tcPr>
            <w:tcW w:w="3233" w:type="dxa"/>
          </w:tcPr>
          <w:p>
            <w:pPr>
              <w:pStyle w:val="TableParagraph"/>
              <w:spacing w:before="23"/>
              <w:ind w:left="4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2522" w:type="dxa"/>
          </w:tcPr>
          <w:p>
            <w:pPr>
              <w:pStyle w:val="TableParagraph"/>
              <w:spacing w:before="23"/>
              <w:ind w:left="699" w:right="26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88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846" w:type="dxa"/>
          </w:tcPr>
          <w:p>
            <w:pPr>
              <w:pStyle w:val="TableParagraph"/>
              <w:spacing w:before="23"/>
              <w:ind w:right="14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3</w:t>
            </w:r>
          </w:p>
        </w:tc>
        <w:tc>
          <w:tcPr>
            <w:tcW w:w="1921" w:type="dxa"/>
          </w:tcPr>
          <w:p>
            <w:pPr>
              <w:pStyle w:val="TableParagraph"/>
              <w:spacing w:before="3"/>
              <w:ind w:left="736" w:right="30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装载机</w:t>
            </w:r>
          </w:p>
        </w:tc>
        <w:tc>
          <w:tcPr>
            <w:tcW w:w="3233" w:type="dxa"/>
          </w:tcPr>
          <w:p>
            <w:pPr>
              <w:pStyle w:val="TableParagraph"/>
              <w:spacing w:before="23"/>
              <w:ind w:left="4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2522" w:type="dxa"/>
          </w:tcPr>
          <w:p>
            <w:pPr>
              <w:pStyle w:val="TableParagraph"/>
              <w:spacing w:before="23"/>
              <w:ind w:left="699" w:right="26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84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846" w:type="dxa"/>
          </w:tcPr>
          <w:p>
            <w:pPr>
              <w:pStyle w:val="TableParagraph"/>
              <w:spacing w:before="23"/>
              <w:ind w:right="14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4</w:t>
            </w:r>
          </w:p>
        </w:tc>
        <w:tc>
          <w:tcPr>
            <w:tcW w:w="1921" w:type="dxa"/>
          </w:tcPr>
          <w:p>
            <w:pPr>
              <w:pStyle w:val="TableParagraph"/>
              <w:spacing w:before="3"/>
              <w:ind w:left="736" w:right="30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挖掘机</w:t>
            </w:r>
          </w:p>
        </w:tc>
        <w:tc>
          <w:tcPr>
            <w:tcW w:w="3233" w:type="dxa"/>
          </w:tcPr>
          <w:p>
            <w:pPr>
              <w:pStyle w:val="TableParagraph"/>
              <w:spacing w:before="23"/>
              <w:ind w:left="4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2522" w:type="dxa"/>
          </w:tcPr>
          <w:p>
            <w:pPr>
              <w:pStyle w:val="TableParagraph"/>
              <w:spacing w:before="23"/>
              <w:ind w:left="699" w:right="26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84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846" w:type="dxa"/>
          </w:tcPr>
          <w:p>
            <w:pPr>
              <w:pStyle w:val="TableParagraph"/>
              <w:spacing w:before="23"/>
              <w:ind w:right="14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1921" w:type="dxa"/>
          </w:tcPr>
          <w:p>
            <w:pPr>
              <w:pStyle w:val="TableParagraph"/>
              <w:spacing w:before="3"/>
              <w:ind w:left="736" w:right="30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压路机</w:t>
            </w:r>
          </w:p>
        </w:tc>
        <w:tc>
          <w:tcPr>
            <w:tcW w:w="3233" w:type="dxa"/>
          </w:tcPr>
          <w:p>
            <w:pPr>
              <w:pStyle w:val="TableParagraph"/>
              <w:spacing w:before="23"/>
              <w:ind w:left="4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2522" w:type="dxa"/>
          </w:tcPr>
          <w:p>
            <w:pPr>
              <w:pStyle w:val="TableParagraph"/>
              <w:spacing w:before="23"/>
              <w:ind w:left="699" w:right="26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86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846" w:type="dxa"/>
          </w:tcPr>
          <w:p>
            <w:pPr>
              <w:pStyle w:val="TableParagraph"/>
              <w:spacing w:before="23"/>
              <w:ind w:right="14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6</w:t>
            </w:r>
          </w:p>
        </w:tc>
        <w:tc>
          <w:tcPr>
            <w:tcW w:w="1921" w:type="dxa"/>
          </w:tcPr>
          <w:p>
            <w:pPr>
              <w:pStyle w:val="TableParagraph"/>
              <w:spacing w:before="3"/>
              <w:ind w:left="736" w:right="30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摊铺机</w:t>
            </w:r>
          </w:p>
        </w:tc>
        <w:tc>
          <w:tcPr>
            <w:tcW w:w="3233" w:type="dxa"/>
          </w:tcPr>
          <w:p>
            <w:pPr>
              <w:pStyle w:val="TableParagraph"/>
              <w:spacing w:before="23"/>
              <w:ind w:left="4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2522" w:type="dxa"/>
          </w:tcPr>
          <w:p>
            <w:pPr>
              <w:pStyle w:val="TableParagraph"/>
              <w:spacing w:before="23"/>
              <w:ind w:left="699" w:right="26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87</w:t>
            </w:r>
          </w:p>
        </w:tc>
      </w:tr>
      <w:tr>
        <w:tblPrEx>
          <w:tblW w:w="0" w:type="auto"/>
          <w:jc w:val="left"/>
          <w:tblInd w:w="3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846" w:type="dxa"/>
          </w:tcPr>
          <w:p>
            <w:pPr>
              <w:pStyle w:val="TableParagraph"/>
              <w:spacing w:before="23"/>
              <w:ind w:right="14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7</w:t>
            </w:r>
          </w:p>
        </w:tc>
        <w:tc>
          <w:tcPr>
            <w:tcW w:w="1921" w:type="dxa"/>
          </w:tcPr>
          <w:p>
            <w:pPr>
              <w:pStyle w:val="TableParagraph"/>
              <w:spacing w:before="3"/>
              <w:ind w:left="736" w:right="30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大卡车</w:t>
            </w:r>
          </w:p>
        </w:tc>
        <w:tc>
          <w:tcPr>
            <w:tcW w:w="3233" w:type="dxa"/>
          </w:tcPr>
          <w:p>
            <w:pPr>
              <w:pStyle w:val="TableParagraph"/>
              <w:spacing w:before="23"/>
              <w:ind w:left="43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5</w:t>
            </w:r>
          </w:p>
        </w:tc>
        <w:tc>
          <w:tcPr>
            <w:tcW w:w="2522" w:type="dxa"/>
          </w:tcPr>
          <w:p>
            <w:pPr>
              <w:pStyle w:val="TableParagraph"/>
              <w:spacing w:before="23"/>
              <w:ind w:left="699" w:right="26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83</w:t>
            </w:r>
          </w:p>
        </w:tc>
      </w:tr>
    </w:tbl>
    <w:p>
      <w:pPr>
        <w:pStyle w:val="BodyText"/>
        <w:spacing w:before="11"/>
        <w:ind w:left="0" w:firstLine="0"/>
        <w:rPr>
          <w:rFonts w:ascii="Microsoft JhengHei"/>
          <w:b/>
          <w:sz w:val="18"/>
        </w:rPr>
      </w:pPr>
    </w:p>
    <w:p>
      <w:pPr>
        <w:pStyle w:val="Heading4"/>
        <w:numPr>
          <w:ilvl w:val="3"/>
          <w:numId w:val="29"/>
        </w:numPr>
        <w:tabs>
          <w:tab w:val="left" w:pos="1586"/>
        </w:tabs>
        <w:spacing w:before="1" w:after="0" w:line="240" w:lineRule="auto"/>
        <w:ind w:left="1586" w:right="0" w:hanging="721"/>
        <w:jc w:val="left"/>
        <w:rPr>
          <w:rFonts w:ascii="Times New Roman" w:eastAsia="Times New Roman"/>
        </w:rPr>
      </w:pPr>
      <w:bookmarkStart w:id="23" w:name="_TOC_250037"/>
      <w:bookmarkEnd w:id="23"/>
      <w:r>
        <w:rPr>
          <w:spacing w:val="-2"/>
        </w:rPr>
        <w:t>噪声影响分析</w:t>
      </w:r>
    </w:p>
    <w:p>
      <w:pPr>
        <w:pStyle w:val="ListParagraph"/>
        <w:numPr>
          <w:ilvl w:val="0"/>
          <w:numId w:val="14"/>
        </w:numPr>
        <w:tabs>
          <w:tab w:val="left" w:pos="1521"/>
        </w:tabs>
        <w:spacing w:before="104" w:after="0" w:line="240" w:lineRule="auto"/>
        <w:ind w:left="1521" w:right="0" w:hanging="601"/>
        <w:jc w:val="left"/>
        <w:rPr>
          <w:sz w:val="24"/>
        </w:rPr>
      </w:pPr>
      <w:r>
        <w:rPr>
          <w:spacing w:val="-3"/>
          <w:sz w:val="24"/>
        </w:rPr>
        <w:t>预测模式</w:t>
      </w:r>
    </w:p>
    <w:p>
      <w:pPr>
        <w:pStyle w:val="BodyText"/>
        <w:spacing w:before="160" w:line="364" w:lineRule="auto"/>
        <w:ind w:right="838"/>
      </w:pPr>
      <w:r>
        <w:pict>
          <v:group id="_x0000_s1028" style="width:18.1pt;height:24.5pt;margin-top:55.81pt;margin-left:345.63pt;mso-position-horizontal-relative:page;position:absolute;z-index:-251656192" coordorigin="6913,1116" coordsize="362,490">
            <v:line id="_x0000_s1029" style="position:absolute" from="7226,1146" to="6919,1577" stroked="t" strokecolor="black" strokeweight="0.59pt">
              <v:stroke dashstyle="solid"/>
            </v:line>
            <v:shape id="_x0000_s1030" type="#_x0000_t202" style="width:114;height:266;left:6973;position:absolute;top:1116" filled="f" stroked="f">
              <v:textbox inset="0,0,0,0">
                <w:txbxContent>
                  <w:p>
                    <w:pPr>
                      <w:spacing w:before="0" w:line="266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4"/>
                      </w:rPr>
                    </w:pPr>
                    <w:r>
                      <w:rPr>
                        <w:rFonts w:ascii="Times New Roman"/>
                        <w:i/>
                        <w:sz w:val="24"/>
                      </w:rPr>
                      <w:t>r</w:t>
                    </w:r>
                  </w:p>
                </w:txbxContent>
              </v:textbox>
            </v:shape>
            <v:shape id="_x0000_s1031" type="#_x0000_t202" style="width:159;height:306;left:7116;position:absolute;top:1299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i/>
                        <w:spacing w:val="-9"/>
                        <w:sz w:val="24"/>
                      </w:rPr>
                      <w:t>r</w:t>
                    </w:r>
                    <w:r>
                      <w:rPr>
                        <w:rFonts w:ascii="Times New Roman"/>
                        <w:spacing w:val="-9"/>
                        <w:position w:val="-5"/>
                        <w:sz w:val="14"/>
                      </w:rPr>
                      <w:t>0</w:t>
                    </w:r>
                  </w:p>
                </w:txbxContent>
              </v:textbox>
            </v:shape>
          </v:group>
        </w:pict>
      </w:r>
      <w:r>
        <w:rPr>
          <w:spacing w:val="-4"/>
        </w:rPr>
        <w:t>施工机械可以看作是点声源，由于本工程施工现场地势平坦开阔，本评价采</w:t>
      </w:r>
      <w:r>
        <w:rPr>
          <w:spacing w:val="-2"/>
        </w:rPr>
        <w:t>用无指向性点声源几何发散衰减计算施工噪声对环境的影响，具体公式如下：</w:t>
      </w:r>
    </w:p>
    <w:p>
      <w:pPr>
        <w:pStyle w:val="BodyText"/>
        <w:tabs>
          <w:tab w:val="left" w:pos="2336"/>
        </w:tabs>
        <w:spacing w:before="54"/>
        <w:ind w:left="81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</w:rPr>
        <w:t>L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r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i/>
        </w:rPr>
        <w:t>L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r</w:t>
      </w:r>
      <w:r>
        <w:rPr>
          <w:rFonts w:ascii="Times New Roman" w:hAnsi="Times New Roman"/>
          <w:vertAlign w:val="subscript"/>
        </w:rPr>
        <w:t>0</w:t>
      </w:r>
      <w:r>
        <w:rPr>
          <w:rFonts w:ascii="Times New Roman" w:hAnsi="Times New Roman"/>
          <w:spacing w:val="-34"/>
          <w:vertAlign w:val="baseline"/>
        </w:rPr>
        <w:t xml:space="preserve"> </w:t>
      </w:r>
      <w:r>
        <w:rPr>
          <w:rFonts w:ascii="Times New Roman" w:hAnsi="Times New Roman"/>
          <w:vertAlign w:val="baseline"/>
        </w:rPr>
        <w:t>)</w:t>
      </w:r>
      <w:r>
        <w:rPr>
          <w:rFonts w:ascii="Times New Roman" w:hAnsi="Times New Roman"/>
          <w:spacing w:val="-20"/>
          <w:vertAlign w:val="baseline"/>
        </w:rPr>
        <w:t xml:space="preserve"> </w:t>
      </w:r>
      <w:r>
        <w:rPr>
          <w:rFonts w:ascii="Symbol" w:hAnsi="Symbol"/>
          <w:vertAlign w:val="baseline"/>
        </w:rPr>
        <w:sym w:font="Symbol" w:char="F02D"/>
      </w:r>
      <w:r>
        <w:rPr>
          <w:rFonts w:ascii="Times New Roman" w:hAnsi="Times New Roman"/>
          <w:spacing w:val="-20"/>
          <w:vertAlign w:val="baseline"/>
        </w:rPr>
        <w:t xml:space="preserve"> </w:t>
      </w:r>
      <w:r>
        <w:rPr>
          <w:rFonts w:ascii="Times New Roman" w:hAnsi="Times New Roman"/>
          <w:vertAlign w:val="baseline"/>
        </w:rPr>
        <w:t>20</w:t>
      </w:r>
      <w:r>
        <w:rPr>
          <w:rFonts w:ascii="Times New Roman" w:hAnsi="Times New Roman"/>
          <w:spacing w:val="-34"/>
          <w:vertAlign w:val="baseline"/>
        </w:rPr>
        <w:t xml:space="preserve"> </w:t>
      </w:r>
      <w:r>
        <w:rPr>
          <w:rFonts w:ascii="Times New Roman" w:hAnsi="Times New Roman"/>
          <w:spacing w:val="-5"/>
          <w:vertAlign w:val="baseline"/>
        </w:rPr>
        <w:t>lg(</w:t>
      </w:r>
      <w:r>
        <w:rPr>
          <w:rFonts w:ascii="Times New Roman" w:hAnsi="Times New Roman"/>
          <w:vertAlign w:val="baseline"/>
        </w:rPr>
        <w:tab/>
      </w:r>
      <w:r>
        <w:rPr>
          <w:rFonts w:ascii="Times New Roman" w:hAnsi="Times New Roman"/>
          <w:spacing w:val="-10"/>
          <w:vertAlign w:val="baseline"/>
        </w:rPr>
        <w:t>)</w:t>
      </w:r>
    </w:p>
    <w:p>
      <w:pPr>
        <w:pStyle w:val="BodyText"/>
        <w:spacing w:before="7"/>
        <w:ind w:left="0" w:firstLine="0"/>
        <w:rPr>
          <w:rFonts w:ascii="Times New Roman"/>
          <w:sz w:val="28"/>
        </w:rPr>
      </w:pPr>
    </w:p>
    <w:p>
      <w:pPr>
        <w:pStyle w:val="BodyText"/>
        <w:ind w:left="920" w:firstLine="0"/>
      </w:pPr>
      <w:r>
        <w:rPr>
          <w:spacing w:val="-17"/>
        </w:rPr>
        <w:t xml:space="preserve">式中： </w:t>
      </w:r>
      <w:r>
        <w:rPr>
          <w:rFonts w:ascii="Times New Roman" w:eastAsia="Times New Roman"/>
          <w:i/>
        </w:rPr>
        <w:t>L</w:t>
      </w:r>
      <w:r>
        <w:rPr>
          <w:rFonts w:ascii="Times New Roman" w:eastAsia="Times New Roman"/>
        </w:rPr>
        <w:t>(</w:t>
      </w:r>
      <w:r>
        <w:rPr>
          <w:rFonts w:ascii="Times New Roman" w:eastAsia="Times New Roman"/>
          <w:i/>
        </w:rPr>
        <w:t>r</w:t>
      </w:r>
      <w:r>
        <w:rPr>
          <w:rFonts w:ascii="Times New Roman" w:eastAsia="Times New Roman"/>
          <w:spacing w:val="-4"/>
        </w:rPr>
        <w:t xml:space="preserve">) </w:t>
      </w:r>
      <w:r>
        <w:rPr>
          <w:spacing w:val="-1"/>
        </w:rPr>
        <w:t>－受声点的噪声级，</w:t>
      </w:r>
      <w:r>
        <w:rPr>
          <w:rFonts w:ascii="Times New Roman" w:eastAsia="Times New Roman"/>
          <w:spacing w:val="-2"/>
        </w:rPr>
        <w:t>dB(A)</w:t>
      </w:r>
      <w:r>
        <w:rPr>
          <w:spacing w:val="-2"/>
        </w:rPr>
        <w:t>；</w:t>
      </w:r>
    </w:p>
    <w:p>
      <w:pPr>
        <w:spacing w:before="192"/>
        <w:ind w:left="1683" w:right="0" w:firstLine="0"/>
        <w:jc w:val="left"/>
        <w:rPr>
          <w:sz w:val="24"/>
        </w:rPr>
      </w:pPr>
      <w:r>
        <w:rPr>
          <w:rFonts w:ascii="Times New Roman" w:eastAsia="Times New Roman"/>
          <w:i/>
          <w:sz w:val="24"/>
        </w:rPr>
        <w:t>L</w:t>
      </w:r>
      <w:r>
        <w:rPr>
          <w:rFonts w:ascii="Times New Roman" w:eastAsia="Times New Roman"/>
          <w:sz w:val="24"/>
        </w:rPr>
        <w:t>(</w:t>
      </w:r>
      <w:r>
        <w:rPr>
          <w:rFonts w:ascii="Times New Roman" w:eastAsia="Times New Roman"/>
          <w:i/>
          <w:sz w:val="24"/>
        </w:rPr>
        <w:t>r</w:t>
      </w:r>
      <w:r>
        <w:rPr>
          <w:rFonts w:ascii="Times New Roman" w:eastAsia="Times New Roman"/>
          <w:position w:val="-5"/>
          <w:sz w:val="14"/>
        </w:rPr>
        <w:t>0</w:t>
      </w:r>
      <w:r>
        <w:rPr>
          <w:rFonts w:ascii="Times New Roman" w:eastAsia="Times New Roman"/>
          <w:spacing w:val="-9"/>
          <w:position w:val="-5"/>
          <w:sz w:val="14"/>
        </w:rPr>
        <w:t xml:space="preserve"> </w:t>
      </w:r>
      <w:r>
        <w:rPr>
          <w:rFonts w:ascii="Times New Roman" w:eastAsia="Times New Roman"/>
          <w:spacing w:val="-8"/>
          <w:sz w:val="24"/>
        </w:rPr>
        <w:t xml:space="preserve">) </w:t>
      </w:r>
      <w:r>
        <w:rPr>
          <w:spacing w:val="3"/>
          <w:sz w:val="24"/>
        </w:rPr>
        <w:t>－距声源</w:t>
      </w:r>
      <w:r>
        <w:rPr>
          <w:rFonts w:ascii="Times New Roman" w:eastAsia="Times New Roman"/>
          <w:i/>
          <w:sz w:val="24"/>
        </w:rPr>
        <w:t>r</w:t>
      </w:r>
      <w:r>
        <w:rPr>
          <w:rFonts w:ascii="Times New Roman" w:eastAsia="Times New Roman"/>
          <w:position w:val="-5"/>
          <w:sz w:val="14"/>
        </w:rPr>
        <w:t>0</w:t>
      </w:r>
      <w:r>
        <w:rPr>
          <w:rFonts w:ascii="Times New Roman" w:eastAsia="Times New Roman"/>
          <w:spacing w:val="-6"/>
          <w:position w:val="-5"/>
          <w:sz w:val="14"/>
        </w:rPr>
        <w:t xml:space="preserve"> </w:t>
      </w:r>
      <w:r>
        <w:rPr>
          <w:spacing w:val="-1"/>
          <w:sz w:val="24"/>
        </w:rPr>
        <w:t>处的参考噪声级，</w:t>
      </w:r>
      <w:r>
        <w:rPr>
          <w:rFonts w:ascii="Times New Roman" w:eastAsia="Times New Roman"/>
          <w:spacing w:val="-2"/>
          <w:sz w:val="24"/>
        </w:rPr>
        <w:t>dB(A)</w:t>
      </w:r>
      <w:r>
        <w:rPr>
          <w:spacing w:val="-2"/>
          <w:sz w:val="24"/>
        </w:rPr>
        <w:t>；</w:t>
      </w:r>
    </w:p>
    <w:p>
      <w:pPr>
        <w:pStyle w:val="BodyText"/>
        <w:spacing w:before="189" w:line="364" w:lineRule="auto"/>
        <w:ind w:left="1676" w:right="4552" w:firstLine="0"/>
      </w:pPr>
      <w:r>
        <w:rPr>
          <w:rFonts w:ascii="Times New Roman" w:eastAsia="Times New Roman"/>
          <w:i/>
        </w:rPr>
        <w:t>r</w:t>
      </w:r>
      <w:r>
        <w:rPr>
          <w:rFonts w:ascii="Times New Roman" w:eastAsia="Times New Roman"/>
          <w:i/>
          <w:spacing w:val="-4"/>
        </w:rPr>
        <w:t xml:space="preserve"> </w:t>
      </w:r>
      <w:r>
        <w:t>－受声点距声源的距离，</w:t>
      </w:r>
      <w:r>
        <w:rPr>
          <w:rFonts w:ascii="Times New Roman" w:eastAsia="Times New Roman"/>
        </w:rPr>
        <w:t>m</w:t>
      </w:r>
      <w:r>
        <w:t xml:space="preserve">； </w:t>
      </w:r>
      <w:r>
        <w:rPr>
          <w:rFonts w:ascii="Times New Roman" w:eastAsia="Times New Roman"/>
          <w:i/>
          <w:spacing w:val="-4"/>
        </w:rPr>
        <w:t>r</w:t>
      </w:r>
      <w:r>
        <w:rPr>
          <w:rFonts w:ascii="Times New Roman" w:eastAsia="Times New Roman"/>
          <w:spacing w:val="-4"/>
          <w:vertAlign w:val="subscript"/>
        </w:rPr>
        <w:t>0</w:t>
      </w:r>
      <w:r>
        <w:rPr>
          <w:rFonts w:ascii="Times New Roman" w:eastAsia="Times New Roman"/>
          <w:spacing w:val="-4"/>
          <w:vertAlign w:val="baseline"/>
        </w:rPr>
        <w:t xml:space="preserve"> </w:t>
      </w:r>
      <w:r>
        <w:rPr>
          <w:spacing w:val="-5"/>
          <w:vertAlign w:val="baseline"/>
        </w:rPr>
        <w:t>－参考点距声源的距离，</w:t>
      </w:r>
      <w:r>
        <w:rPr>
          <w:rFonts w:ascii="Times New Roman" w:eastAsia="Times New Roman"/>
          <w:spacing w:val="-5"/>
          <w:vertAlign w:val="baseline"/>
        </w:rPr>
        <w:t>m</w:t>
      </w:r>
      <w:r>
        <w:rPr>
          <w:spacing w:val="-5"/>
          <w:vertAlign w:val="baseline"/>
        </w:rPr>
        <w:t>；</w:t>
      </w:r>
    </w:p>
    <w:p>
      <w:pPr>
        <w:pStyle w:val="ListParagraph"/>
        <w:numPr>
          <w:ilvl w:val="0"/>
          <w:numId w:val="14"/>
        </w:numPr>
        <w:tabs>
          <w:tab w:val="left" w:pos="2001"/>
        </w:tabs>
        <w:spacing w:before="51" w:after="0" w:line="240" w:lineRule="auto"/>
        <w:ind w:left="2001" w:right="0" w:hanging="601"/>
        <w:jc w:val="left"/>
        <w:rPr>
          <w:sz w:val="24"/>
        </w:rPr>
      </w:pPr>
      <w:r>
        <w:rPr>
          <w:spacing w:val="-3"/>
          <w:sz w:val="24"/>
        </w:rPr>
        <w:t>预测结果</w:t>
      </w:r>
    </w:p>
    <w:p>
      <w:pPr>
        <w:pStyle w:val="Heading4"/>
        <w:spacing w:before="80"/>
        <w:ind w:left="79"/>
        <w:jc w:val="center"/>
      </w:pPr>
      <w:r>
        <w:pict>
          <v:line id="_x0000_s1032" style="mso-position-horizontal-relative:page;position:absolute;z-index:-251655168" from="73.7pt,32.1pt" to="126.95pt,94.15pt" stroked="t" strokecolor="black" strokeweight="0.5pt">
            <v:stroke dashstyle="solid"/>
          </v:line>
        </w:pict>
      </w:r>
      <w:r>
        <w:t xml:space="preserve">表 </w:t>
      </w:r>
      <w:r>
        <w:rPr>
          <w:rFonts w:ascii="Times New Roman" w:eastAsia="Times New Roman"/>
        </w:rPr>
        <w:t>3-1-5</w:t>
      </w:r>
      <w:r>
        <w:rPr>
          <w:rFonts w:ascii="Times New Roman" w:eastAsia="Times New Roman"/>
          <w:spacing w:val="60"/>
        </w:rPr>
        <w:t xml:space="preserve"> </w:t>
      </w:r>
      <w:r>
        <w:rPr>
          <w:spacing w:val="-1"/>
        </w:rPr>
        <w:t>施工机械噪声衰减一览表</w:t>
      </w:r>
    </w:p>
    <w:p>
      <w:pPr>
        <w:pStyle w:val="BodyText"/>
        <w:spacing w:before="9"/>
        <w:ind w:left="0" w:firstLine="0"/>
        <w:rPr>
          <w:rFonts w:ascii="Microsoft JhengHei"/>
          <w:b/>
          <w:sz w:val="5"/>
        </w:rPr>
      </w:pPr>
    </w:p>
    <w:tbl>
      <w:tblPr>
        <w:tblStyle w:val="TableNormal5"/>
        <w:tblW w:w="0" w:type="auto"/>
        <w:jc w:val="left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5"/>
        <w:gridCol w:w="619"/>
        <w:gridCol w:w="619"/>
        <w:gridCol w:w="619"/>
        <w:gridCol w:w="619"/>
        <w:gridCol w:w="619"/>
        <w:gridCol w:w="693"/>
        <w:gridCol w:w="663"/>
        <w:gridCol w:w="841"/>
        <w:gridCol w:w="883"/>
        <w:gridCol w:w="806"/>
        <w:gridCol w:w="913"/>
      </w:tblGrid>
      <w:tr>
        <w:tblPrEx>
          <w:tblW w:w="0" w:type="auto"/>
          <w:jc w:val="left"/>
          <w:tblInd w:w="123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6"/>
          <w:jc w:val="left"/>
        </w:trPr>
        <w:tc>
          <w:tcPr>
            <w:tcW w:w="1065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Microsoft JhengHei"/>
                <w:b/>
                <w:sz w:val="21"/>
              </w:rPr>
            </w:pPr>
          </w:p>
          <w:p>
            <w:pPr>
              <w:pStyle w:val="TableParagraph"/>
              <w:spacing w:before="1" w:line="364" w:lineRule="auto"/>
              <w:ind w:left="108" w:right="300" w:firstLine="214"/>
              <w:rPr>
                <w:sz w:val="21"/>
              </w:rPr>
            </w:pPr>
            <w:r>
              <w:rPr>
                <w:spacing w:val="-6"/>
                <w:sz w:val="21"/>
              </w:rPr>
              <w:t>声级</w:t>
            </w:r>
            <w:r>
              <w:rPr>
                <w:spacing w:val="-6"/>
                <w:sz w:val="21"/>
              </w:rPr>
              <w:t>设备</w:t>
            </w:r>
          </w:p>
        </w:tc>
        <w:tc>
          <w:tcPr>
            <w:tcW w:w="4451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rFonts w:ascii="Microsoft JhengHei"/>
                <w:b/>
                <w:sz w:val="11"/>
              </w:rPr>
            </w:pPr>
          </w:p>
          <w:p>
            <w:pPr>
              <w:pStyle w:val="TableParagraph"/>
              <w:ind w:left="1411"/>
              <w:rPr>
                <w:sz w:val="21"/>
              </w:rPr>
            </w:pPr>
            <w:r>
              <w:rPr>
                <w:sz w:val="21"/>
              </w:rPr>
              <w:t>测点与声源距离</w:t>
            </w:r>
            <w:r>
              <w:rPr>
                <w:spacing w:val="-5"/>
                <w:sz w:val="21"/>
              </w:rPr>
              <w:t>（</w:t>
            </w:r>
            <w:r>
              <w:rPr>
                <w:rFonts w:ascii="Times New Roman" w:eastAsia="Times New Roman"/>
                <w:spacing w:val="-5"/>
                <w:sz w:val="21"/>
              </w:rPr>
              <w:t>m</w:t>
            </w:r>
            <w:r>
              <w:rPr>
                <w:spacing w:val="-5"/>
                <w:sz w:val="21"/>
              </w:rPr>
              <w:t>）</w:t>
            </w:r>
          </w:p>
        </w:tc>
        <w:tc>
          <w:tcPr>
            <w:tcW w:w="172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ind w:left="549"/>
              <w:rPr>
                <w:sz w:val="21"/>
              </w:rPr>
            </w:pPr>
            <w:r>
              <w:rPr>
                <w:spacing w:val="-2"/>
                <w:sz w:val="21"/>
              </w:rPr>
              <w:t>场界达标距</w:t>
            </w:r>
          </w:p>
          <w:p>
            <w:pPr>
              <w:pStyle w:val="TableParagraph"/>
              <w:spacing w:before="139"/>
              <w:ind w:left="467"/>
              <w:rPr>
                <w:sz w:val="21"/>
              </w:rPr>
            </w:pPr>
            <w:r>
              <w:rPr>
                <w:sz w:val="21"/>
              </w:rPr>
              <w:t>离</w:t>
            </w:r>
            <w:r>
              <w:rPr>
                <w:spacing w:val="-5"/>
                <w:sz w:val="21"/>
              </w:rPr>
              <w:t>（</w:t>
            </w:r>
            <w:r>
              <w:rPr>
                <w:rFonts w:ascii="Times New Roman" w:eastAsia="Times New Roman"/>
                <w:spacing w:val="-5"/>
                <w:sz w:val="21"/>
              </w:rPr>
              <w:t>m</w:t>
            </w:r>
            <w:r>
              <w:rPr>
                <w:spacing w:val="-5"/>
                <w:sz w:val="21"/>
              </w:rPr>
              <w:t>）</w:t>
            </w:r>
          </w:p>
        </w:tc>
        <w:tc>
          <w:tcPr>
            <w:tcW w:w="1719" w:type="dxa"/>
            <w:gridSpan w:val="2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"/>
              <w:ind w:left="544"/>
              <w:rPr>
                <w:sz w:val="21"/>
              </w:rPr>
            </w:pPr>
            <w:r>
              <w:rPr>
                <w:spacing w:val="-2"/>
                <w:sz w:val="21"/>
              </w:rPr>
              <w:t>敏感点达标</w:t>
            </w:r>
          </w:p>
          <w:p>
            <w:pPr>
              <w:pStyle w:val="TableParagraph"/>
              <w:spacing w:before="139"/>
              <w:ind w:left="357"/>
              <w:rPr>
                <w:sz w:val="21"/>
              </w:rPr>
            </w:pPr>
            <w:r>
              <w:rPr>
                <w:sz w:val="21"/>
              </w:rPr>
              <w:t>距离</w:t>
            </w:r>
            <w:r>
              <w:rPr>
                <w:spacing w:val="-5"/>
                <w:sz w:val="21"/>
              </w:rPr>
              <w:t>（</w:t>
            </w:r>
            <w:r>
              <w:rPr>
                <w:rFonts w:ascii="Times New Roman" w:eastAsia="Times New Roman"/>
                <w:spacing w:val="-5"/>
                <w:sz w:val="21"/>
              </w:rPr>
              <w:t>m</w:t>
            </w:r>
            <w:r>
              <w:rPr>
                <w:spacing w:val="-5"/>
                <w:sz w:val="21"/>
              </w:rPr>
              <w:t>）</w:t>
            </w:r>
          </w:p>
        </w:tc>
      </w:tr>
      <w:tr>
        <w:tblPrEx>
          <w:tblW w:w="0" w:type="auto"/>
          <w:jc w:val="left"/>
          <w:tblInd w:w="1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106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3"/>
              <w:ind w:left="99" w:right="7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3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20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3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40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3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60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3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80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3"/>
              <w:ind w:left="45" w:right="18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100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3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150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ind w:left="110"/>
              <w:rPr>
                <w:sz w:val="21"/>
              </w:rPr>
            </w:pPr>
            <w:r>
              <w:rPr>
                <w:sz w:val="21"/>
              </w:rPr>
              <w:t>昼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夜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ind w:right="52"/>
              <w:jc w:val="right"/>
              <w:rPr>
                <w:sz w:val="21"/>
              </w:rPr>
            </w:pPr>
            <w:r>
              <w:rPr>
                <w:sz w:val="21"/>
              </w:rPr>
              <w:t>昼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1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夜</w:t>
            </w:r>
          </w:p>
        </w:tc>
      </w:tr>
      <w:tr>
        <w:tblPrEx>
          <w:tblW w:w="0" w:type="auto"/>
          <w:jc w:val="left"/>
          <w:tblInd w:w="1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"/>
          <w:jc w:val="left"/>
        </w:trPr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99" w:right="7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推土机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99" w:right="8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80.0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28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74.0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28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68.0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28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64.4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28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62.0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98" w:right="7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60.0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5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56.5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right="2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18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86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177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5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100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6"/>
              <w:ind w:right="21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&gt;200</w:t>
            </w:r>
          </w:p>
        </w:tc>
      </w:tr>
      <w:tr>
        <w:tblPrEx>
          <w:tblW w:w="0" w:type="auto"/>
          <w:jc w:val="left"/>
          <w:tblInd w:w="1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5"/>
          <w:jc w:val="left"/>
        </w:trPr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99" w:right="7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装载机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99" w:right="8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84.0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28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78.0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28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72.0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28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68.4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28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66.0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98" w:right="7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64.0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5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60.5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right="2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28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2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&gt;200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5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158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6"/>
              <w:ind w:right="21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&gt;200</w:t>
            </w:r>
          </w:p>
        </w:tc>
      </w:tr>
      <w:tr>
        <w:tblPrEx>
          <w:tblW w:w="0" w:type="auto"/>
          <w:jc w:val="left"/>
          <w:tblInd w:w="1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5"/>
          <w:jc w:val="left"/>
        </w:trPr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99" w:right="7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挖掘机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83" w:right="9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78.0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72.0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62.0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62.4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60.0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98" w:right="1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58.0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54.5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right="2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14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140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113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80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6"/>
              <w:ind w:left="10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&gt;200</w:t>
            </w:r>
          </w:p>
        </w:tc>
      </w:tr>
      <w:tr>
        <w:tblPrEx>
          <w:tblW w:w="0" w:type="auto"/>
          <w:jc w:val="left"/>
          <w:tblInd w:w="1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5"/>
          <w:jc w:val="left"/>
        </w:trPr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99" w:right="79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自卸卡车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83" w:right="9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85.5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79.5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73.5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70.0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67.0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98" w:right="1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65.5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62.0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right="2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34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&gt;200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113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188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6"/>
              <w:ind w:left="107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&gt;200</w:t>
            </w:r>
          </w:p>
        </w:tc>
      </w:tr>
      <w:tr>
        <w:tblPrEx>
          <w:tblW w:w="0" w:type="auto"/>
          <w:jc w:val="left"/>
          <w:tblInd w:w="1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5"/>
          <w:jc w:val="left"/>
        </w:trPr>
        <w:tc>
          <w:tcPr>
            <w:tcW w:w="1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99" w:right="7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压路机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83" w:right="9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80.0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74.0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68.0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64.4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62.0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98" w:right="1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60.0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56.0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right="2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31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86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177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5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100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6"/>
              <w:ind w:right="21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&gt;200</w:t>
            </w:r>
          </w:p>
        </w:tc>
      </w:tr>
      <w:tr>
        <w:tblPrEx>
          <w:tblW w:w="0" w:type="auto"/>
          <w:jc w:val="left"/>
          <w:tblInd w:w="1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5"/>
          <w:jc w:val="left"/>
        </w:trPr>
        <w:tc>
          <w:tcPr>
            <w:tcW w:w="1065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99" w:right="7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摊铺机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83" w:right="9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81.0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75.0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69.0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65.4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63.0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98" w:right="18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61.0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11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57.5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right="2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35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86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199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250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sz w:val="21"/>
              </w:rPr>
              <w:t>112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4" w:space="0" w:color="000000"/>
            </w:tcBorders>
          </w:tcPr>
          <w:p>
            <w:pPr>
              <w:pStyle w:val="TableParagraph"/>
              <w:spacing w:before="66"/>
              <w:ind w:right="21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4"/>
                <w:sz w:val="21"/>
              </w:rPr>
              <w:t>&gt;200</w:t>
            </w:r>
          </w:p>
        </w:tc>
      </w:tr>
    </w:tbl>
    <w:p>
      <w:pPr>
        <w:spacing w:after="0"/>
        <w:jc w:val="right"/>
        <w:rPr>
          <w:rFonts w:ascii="Times New Roman"/>
          <w:sz w:val="21"/>
        </w:rPr>
      </w:pPr>
      <w:r>
        <w:rPr>
          <w:rFonts w:ascii="Times New Roman"/>
          <w:sz w:val="21"/>
        </w:rPr>
        <w:br/>
      </w:r>
      <w:r>
        <w:rPr>
          <w:rFonts w:ascii="Times New Roman"/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https://d.book118.com/718057061125006043</w:t>
        </w:r>
      </w:hyperlink>
    </w:p>
    <w:p>
      <w:pPr>
        <w:spacing w:after="0"/>
        <w:jc w:val="right"/>
        <w:rPr>
          <w:rFonts w:ascii="Times New Roman"/>
          <w:sz w:val="21"/>
        </w:rPr>
      </w:pPr>
    </w:p>
    <w:sectPr>
      <w:footerReference w:type="default" r:id="rId19"/>
      <w:pgSz w:w="11910" w:h="16840"/>
      <w:pgMar w:top="1380" w:right="960" w:bottom="1180" w:left="1360" w:header="0" w:footer="990"/>
      <w:pgNumType w:start="1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 Light">
    <w:altName w:val="微软雅黑 Light"/>
    <w:charset w:val="86"/>
    <w:family w:val="swiss"/>
    <w:pitch w:val="variable"/>
    <w:sig w:usb0="00000000" w:usb1="00000000" w:usb2="00000000" w:usb3="00000000" w:csb0="00040000" w:csb1="00000000"/>
  </w:font>
  <w:font w:name="Cambria Math">
    <w:altName w:val="Cambria Math"/>
    <w:charset w:val="00"/>
    <w:family w:val="roman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1.5pt;height:12pt;margin-top:781.38pt;margin-left:292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1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1.5pt;height:12pt;margin-top:781.38pt;margin-left:292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2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1.5pt;height:12pt;margin-top:781.38pt;margin-left:292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3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1.5pt;height:12pt;margin-top:781.38pt;margin-left:292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4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1.5pt;height:12pt;margin-top:781.38pt;margin-left:292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pt;height:12pt;margin-top:781.38pt;margin-left:290.1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pt;height:12pt;margin-top:781.38pt;margin-left:290.1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pt;height:12pt;margin-top:781.38pt;margin-left:290.1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pt;height:12pt;margin-top:781.38pt;margin-left:290.1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pt;height:12pt;margin-top:781.38pt;margin-left:290.1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pt;height:12pt;margin-top:781.38pt;margin-left:290.1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pt;height:12pt;margin-top:781.38pt;margin-left:290.1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6pt;height:12pt;margin-top:781.38pt;margin-left:290.15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6F1DF7"/>
    <w:multiLevelType w:val="hybridMultilevel"/>
    <w:tmpl w:val="00000000"/>
    <w:lvl w:ilvl="0">
      <w:start w:val="1"/>
      <w:numFmt w:val="decimal"/>
      <w:lvlText w:val="%1"/>
      <w:lvlJc w:val="left"/>
      <w:pPr>
        <w:ind w:left="480" w:hanging="361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w w:val="83"/>
        <w:sz w:val="24"/>
        <w:szCs w:val="24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960" w:hanging="557"/>
        <w:jc w:val="left"/>
      </w:pPr>
      <w:rPr>
        <w:rFonts w:ascii="微软雅黑 Light" w:eastAsia="微软雅黑 Light" w:hAnsi="微软雅黑 Light" w:cs="微软雅黑 Light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480" w:hanging="24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710" w:hanging="630"/>
        <w:jc w:val="left"/>
      </w:pPr>
      <w:rPr>
        <w:rFonts w:hint="default"/>
        <w:w w:val="100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20" w:hanging="63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060" w:hanging="63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80" w:hanging="63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821" w:hanging="63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163" w:hanging="630"/>
      </w:pPr>
      <w:rPr>
        <w:rFonts w:hint="default"/>
        <w:lang w:val="en-US" w:eastAsia="zh-CN" w:bidi="ar-SA"/>
      </w:rPr>
    </w:lvl>
  </w:abstractNum>
  <w:abstractNum w:abstractNumId="1">
    <w:nsid w:val="054303BA"/>
    <w:multiLevelType w:val="hybridMultilevel"/>
    <w:tmpl w:val="00000000"/>
    <w:lvl w:ilvl="0">
      <w:start w:val="1"/>
      <w:numFmt w:val="decimal"/>
      <w:lvlText w:val="（%1）"/>
      <w:lvlJc w:val="left"/>
      <w:pPr>
        <w:ind w:left="440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1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4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6" w:hanging="601"/>
      </w:pPr>
      <w:rPr>
        <w:rFonts w:hint="default"/>
        <w:lang w:val="en-US" w:eastAsia="zh-CN" w:bidi="ar-SA"/>
      </w:rPr>
    </w:lvl>
  </w:abstractNum>
  <w:abstractNum w:abstractNumId="2">
    <w:nsid w:val="1075C516"/>
    <w:multiLevelType w:val="hybridMultilevel"/>
    <w:tmpl w:val="00000000"/>
    <w:lvl w:ilvl="0">
      <w:start w:val="3"/>
      <w:numFmt w:val="decimal"/>
      <w:lvlText w:val="%1"/>
      <w:lvlJc w:val="left"/>
      <w:pPr>
        <w:ind w:left="1710" w:hanging="63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710" w:hanging="630"/>
        <w:jc w:val="left"/>
      </w:pPr>
      <w:rPr>
        <w:rFonts w:hint="default"/>
        <w:lang w:val="en-US" w:eastAsia="zh-CN" w:bidi="ar-SA"/>
      </w:rPr>
    </w:lvl>
    <w:lvl w:ilvl="2">
      <w:start w:val="4"/>
      <w:numFmt w:val="decimal"/>
      <w:lvlText w:val="%1.%2.%3"/>
      <w:lvlJc w:val="left"/>
      <w:pPr>
        <w:ind w:left="1710" w:hanging="630"/>
        <w:jc w:val="left"/>
      </w:pPr>
      <w:rPr>
        <w:rFonts w:hint="default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710" w:hanging="6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70" w:hanging="63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83" w:hanging="63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5" w:hanging="63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08" w:hanging="63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20" w:hanging="630"/>
      </w:pPr>
      <w:rPr>
        <w:rFonts w:hint="default"/>
        <w:lang w:val="en-US" w:eastAsia="zh-CN" w:bidi="ar-SA"/>
      </w:rPr>
    </w:lvl>
  </w:abstractNum>
  <w:abstractNum w:abstractNumId="3">
    <w:nsid w:val="174B713C"/>
    <w:multiLevelType w:val="hybridMultilevel"/>
    <w:tmpl w:val="00000000"/>
    <w:lvl w:ilvl="0">
      <w:start w:val="1"/>
      <w:numFmt w:val="decimal"/>
      <w:lvlText w:val="（%1）"/>
      <w:lvlJc w:val="left"/>
      <w:pPr>
        <w:ind w:left="440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1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4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6" w:hanging="601"/>
      </w:pPr>
      <w:rPr>
        <w:rFonts w:hint="default"/>
        <w:lang w:val="en-US" w:eastAsia="zh-CN" w:bidi="ar-SA"/>
      </w:rPr>
    </w:lvl>
  </w:abstractNum>
  <w:abstractNum w:abstractNumId="4">
    <w:nsid w:val="17B4576D"/>
    <w:multiLevelType w:val="hybridMultilevel"/>
    <w:tmpl w:val="00000000"/>
    <w:lvl w:ilvl="0">
      <w:start w:val="2"/>
      <w:numFmt w:val="decimal"/>
      <w:lvlText w:val="%1"/>
      <w:lvlJc w:val="left"/>
      <w:pPr>
        <w:ind w:left="539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699" w:hanging="660"/>
        <w:jc w:val="left"/>
      </w:pPr>
      <w:rPr>
        <w:rFonts w:hint="default"/>
        <w:w w:val="100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280" w:hanging="840"/>
        <w:jc w:val="left"/>
      </w:pPr>
      <w:rPr>
        <w:rFonts w:hint="default"/>
        <w:w w:val="100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586" w:hanging="840"/>
        <w:jc w:val="right"/>
      </w:pPr>
      <w:rPr>
        <w:rFonts w:hint="default"/>
        <w:w w:val="100"/>
        <w:lang w:val="en-US" w:eastAsia="zh-CN" w:bidi="ar-SA"/>
      </w:rPr>
    </w:lvl>
    <w:lvl w:ilvl="4">
      <w:start w:val="1"/>
      <w:numFmt w:val="decimal"/>
      <w:lvlText w:val="（%5）"/>
      <w:lvlJc w:val="left"/>
      <w:pPr>
        <w:ind w:left="440" w:hanging="8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5">
      <w:start w:val="3"/>
      <w:numFmt w:val="decimal"/>
      <w:lvlText w:val="%6."/>
      <w:lvlJc w:val="left"/>
      <w:pPr>
        <w:ind w:left="1251" w:hanging="8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6"/>
        <w:szCs w:val="26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380" w:hanging="8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580" w:hanging="8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700" w:hanging="840"/>
      </w:pPr>
      <w:rPr>
        <w:rFonts w:hint="default"/>
        <w:lang w:val="en-US" w:eastAsia="zh-CN" w:bidi="ar-SA"/>
      </w:rPr>
    </w:lvl>
  </w:abstractNum>
  <w:abstractNum w:abstractNumId="5">
    <w:nsid w:val="17D67768"/>
    <w:multiLevelType w:val="hybridMultilevel"/>
    <w:tmpl w:val="00000000"/>
    <w:lvl w:ilvl="0">
      <w:start w:val="1"/>
      <w:numFmt w:val="decimal"/>
      <w:lvlText w:val="(%1)"/>
      <w:lvlJc w:val="left"/>
      <w:pPr>
        <w:ind w:left="440" w:hanging="4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4" w:hanging="40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9" w:hanging="40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40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40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13" w:hanging="40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7" w:hanging="40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42" w:hanging="40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6" w:hanging="400"/>
      </w:pPr>
      <w:rPr>
        <w:rFonts w:hint="default"/>
        <w:lang w:val="en-US" w:eastAsia="zh-CN" w:bidi="ar-SA"/>
      </w:rPr>
    </w:lvl>
  </w:abstractNum>
  <w:abstractNum w:abstractNumId="6">
    <w:nsid w:val="1AAAF314"/>
    <w:multiLevelType w:val="hybridMultilevel"/>
    <w:tmpl w:val="00000000"/>
    <w:lvl w:ilvl="0">
      <w:start w:val="2"/>
      <w:numFmt w:val="decimal"/>
      <w:lvlText w:val="（%1）"/>
      <w:lvlJc w:val="left"/>
      <w:pPr>
        <w:ind w:left="108" w:hanging="529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24" w:hanging="52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49" w:hanging="52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74" w:hanging="52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98" w:hanging="52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23" w:hanging="52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048" w:hanging="52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872" w:hanging="52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697" w:hanging="529"/>
      </w:pPr>
      <w:rPr>
        <w:rFonts w:hint="default"/>
        <w:lang w:val="en-US" w:eastAsia="zh-CN" w:bidi="ar-SA"/>
      </w:rPr>
    </w:lvl>
  </w:abstractNum>
  <w:abstractNum w:abstractNumId="7">
    <w:nsid w:val="1E25DA50"/>
    <w:multiLevelType w:val="hybridMultilevel"/>
    <w:tmpl w:val="00000000"/>
    <w:lvl w:ilvl="0">
      <w:start w:val="1"/>
      <w:numFmt w:val="decimal"/>
      <w:lvlText w:val="（%1）"/>
      <w:lvlJc w:val="left"/>
      <w:pPr>
        <w:ind w:left="440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1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4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6" w:hanging="601"/>
      </w:pPr>
      <w:rPr>
        <w:rFonts w:hint="default"/>
        <w:lang w:val="en-US" w:eastAsia="zh-CN" w:bidi="ar-SA"/>
      </w:rPr>
    </w:lvl>
  </w:abstractNum>
  <w:abstractNum w:abstractNumId="8">
    <w:nsid w:val="21ECCFA4"/>
    <w:multiLevelType w:val="hybridMultilevel"/>
    <w:tmpl w:val="00000000"/>
    <w:lvl w:ilvl="0">
      <w:start w:val="1"/>
      <w:numFmt w:val="decimal"/>
      <w:lvlText w:val="（%1）"/>
      <w:lvlJc w:val="left"/>
      <w:pPr>
        <w:ind w:left="1521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26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33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39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46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5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59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66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72" w:hanging="601"/>
      </w:pPr>
      <w:rPr>
        <w:rFonts w:hint="default"/>
        <w:lang w:val="en-US" w:eastAsia="zh-CN" w:bidi="ar-SA"/>
      </w:rPr>
    </w:lvl>
  </w:abstractNum>
  <w:abstractNum w:abstractNumId="9">
    <w:nsid w:val="2AB6CB6C"/>
    <w:multiLevelType w:val="hybridMultilevel"/>
    <w:tmpl w:val="00000000"/>
    <w:lvl w:ilvl="0">
      <w:start w:val="1"/>
      <w:numFmt w:val="decimal"/>
      <w:lvlText w:val="(%1)"/>
      <w:lvlJc w:val="left"/>
      <w:pPr>
        <w:ind w:left="1319" w:hanging="4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46" w:hanging="40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73" w:hanging="40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99" w:hanging="40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26" w:hanging="40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53" w:hanging="40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79" w:hanging="40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06" w:hanging="40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32" w:hanging="400"/>
      </w:pPr>
      <w:rPr>
        <w:rFonts w:hint="default"/>
        <w:lang w:val="en-US" w:eastAsia="zh-CN" w:bidi="ar-SA"/>
      </w:rPr>
    </w:lvl>
  </w:abstractNum>
  <w:abstractNum w:abstractNumId="10">
    <w:nsid w:val="2D92E81B"/>
    <w:multiLevelType w:val="hybridMultilevel"/>
    <w:tmpl w:val="00000000"/>
    <w:lvl w:ilvl="0">
      <w:start w:val="3"/>
      <w:numFmt w:val="decimal"/>
      <w:lvlText w:val="%1."/>
      <w:lvlJc w:val="left"/>
      <w:pPr>
        <w:ind w:left="595" w:hanging="192"/>
        <w:jc w:val="left"/>
      </w:pPr>
      <w:rPr>
        <w:rFonts w:ascii="微软雅黑 Light" w:eastAsia="微软雅黑 Light" w:hAnsi="微软雅黑 Light" w:cs="微软雅黑 Ligh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4" w:hanging="19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9" w:hanging="19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3" w:hanging="19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98" w:hanging="19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23" w:hanging="19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47" w:hanging="19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72" w:hanging="19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96" w:hanging="192"/>
      </w:pPr>
      <w:rPr>
        <w:rFonts w:hint="default"/>
        <w:lang w:val="en-US" w:eastAsia="zh-CN" w:bidi="ar-SA"/>
      </w:rPr>
    </w:lvl>
  </w:abstractNum>
  <w:abstractNum w:abstractNumId="11">
    <w:nsid w:val="30D33A85"/>
    <w:multiLevelType w:val="hybridMultilevel"/>
    <w:tmpl w:val="00000000"/>
    <w:lvl w:ilvl="0">
      <w:start w:val="4"/>
      <w:numFmt w:val="decimal"/>
      <w:lvlText w:val="%1."/>
      <w:lvlJc w:val="left"/>
      <w:pPr>
        <w:ind w:left="1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9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6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3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1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8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5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2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00" w:hanging="361"/>
      </w:pPr>
      <w:rPr>
        <w:rFonts w:hint="default"/>
        <w:lang w:val="en-US" w:eastAsia="zh-CN" w:bidi="ar-SA"/>
      </w:rPr>
    </w:lvl>
  </w:abstractNum>
  <w:abstractNum w:abstractNumId="12">
    <w:nsid w:val="33D76DF9"/>
    <w:multiLevelType w:val="hybridMultilevel"/>
    <w:tmpl w:val="00000000"/>
    <w:lvl w:ilvl="0">
      <w:start w:val="2"/>
      <w:numFmt w:val="decimal"/>
      <w:lvlText w:val="（%1）"/>
      <w:lvlJc w:val="left"/>
      <w:pPr>
        <w:ind w:left="1054" w:hanging="52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88" w:hanging="52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17" w:hanging="52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46" w:hanging="52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74" w:hanging="52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03" w:hanging="52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32" w:hanging="52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60" w:hanging="52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89" w:hanging="526"/>
      </w:pPr>
      <w:rPr>
        <w:rFonts w:hint="default"/>
        <w:lang w:val="en-US" w:eastAsia="zh-CN" w:bidi="ar-SA"/>
      </w:rPr>
    </w:lvl>
  </w:abstractNum>
  <w:abstractNum w:abstractNumId="13">
    <w:nsid w:val="367FB406"/>
    <w:multiLevelType w:val="hybridMultilevel"/>
    <w:tmpl w:val="00000000"/>
    <w:lvl w:ilvl="0">
      <w:start w:val="3"/>
      <w:numFmt w:val="decimal"/>
      <w:lvlText w:val="%1"/>
      <w:lvlJc w:val="left"/>
      <w:pPr>
        <w:ind w:left="3480" w:hanging="2401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3480" w:hanging="2401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480" w:hanging="2401"/>
        <w:jc w:val="left"/>
      </w:pPr>
      <w:rPr>
        <w:rFonts w:hint="default"/>
        <w:lang w:val="en-US" w:eastAsia="zh-CN" w:bidi="ar-SA"/>
      </w:rPr>
    </w:lvl>
    <w:lvl w:ilvl="3">
      <w:start w:val="2"/>
      <w:numFmt w:val="decimal"/>
      <w:lvlText w:val="%1.%2.%3.%4"/>
      <w:lvlJc w:val="left"/>
      <w:pPr>
        <w:ind w:left="3480" w:hanging="24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626" w:hanging="24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163" w:hanging="24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99" w:hanging="24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36" w:hanging="24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72" w:hanging="2401"/>
      </w:pPr>
      <w:rPr>
        <w:rFonts w:hint="default"/>
        <w:lang w:val="en-US" w:eastAsia="zh-CN" w:bidi="ar-SA"/>
      </w:rPr>
    </w:lvl>
  </w:abstractNum>
  <w:abstractNum w:abstractNumId="14">
    <w:nsid w:val="3A07B315"/>
    <w:multiLevelType w:val="hybridMultilevel"/>
    <w:tmpl w:val="00000000"/>
    <w:lvl w:ilvl="0">
      <w:start w:val="2"/>
      <w:numFmt w:val="decimal"/>
      <w:lvlText w:val="%1"/>
      <w:lvlJc w:val="left"/>
      <w:pPr>
        <w:ind w:left="539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699" w:hanging="660"/>
        <w:jc w:val="left"/>
      </w:pPr>
      <w:rPr>
        <w:rFonts w:hint="default"/>
        <w:w w:val="100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280" w:hanging="840"/>
        <w:jc w:val="left"/>
      </w:pPr>
      <w:rPr>
        <w:rFonts w:hint="default"/>
        <w:w w:val="100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586" w:hanging="840"/>
        <w:jc w:val="right"/>
      </w:pPr>
      <w:rPr>
        <w:rFonts w:hint="default"/>
        <w:w w:val="100"/>
        <w:lang w:val="en-US" w:eastAsia="zh-CN" w:bidi="ar-SA"/>
      </w:rPr>
    </w:lvl>
    <w:lvl w:ilvl="4">
      <w:start w:val="1"/>
      <w:numFmt w:val="decimal"/>
      <w:lvlText w:val="（%5）"/>
      <w:lvlJc w:val="left"/>
      <w:pPr>
        <w:ind w:left="440" w:hanging="84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5">
      <w:start w:val="3"/>
      <w:numFmt w:val="decimal"/>
      <w:lvlText w:val="%6."/>
      <w:lvlJc w:val="left"/>
      <w:pPr>
        <w:ind w:left="1251" w:hanging="8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6"/>
        <w:szCs w:val="26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380" w:hanging="8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580" w:hanging="8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700" w:hanging="840"/>
      </w:pPr>
      <w:rPr>
        <w:rFonts w:hint="default"/>
        <w:lang w:val="en-US" w:eastAsia="zh-CN" w:bidi="ar-SA"/>
      </w:rPr>
    </w:lvl>
  </w:abstractNum>
  <w:abstractNum w:abstractNumId="15">
    <w:nsid w:val="3C96B447"/>
    <w:multiLevelType w:val="hybridMultilevel"/>
    <w:tmpl w:val="00000000"/>
    <w:lvl w:ilvl="0">
      <w:start w:val="4"/>
      <w:numFmt w:val="decimal"/>
      <w:lvlText w:val="（%1）"/>
      <w:lvlJc w:val="left"/>
      <w:pPr>
        <w:ind w:left="440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1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4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6" w:hanging="601"/>
      </w:pPr>
      <w:rPr>
        <w:rFonts w:hint="default"/>
        <w:lang w:val="en-US" w:eastAsia="zh-CN" w:bidi="ar-SA"/>
      </w:rPr>
    </w:lvl>
  </w:abstractNum>
  <w:abstractNum w:abstractNumId="16">
    <w:nsid w:val="3E572FAD"/>
    <w:multiLevelType w:val="hybridMultilevel"/>
    <w:tmpl w:val="00000000"/>
    <w:lvl w:ilvl="0">
      <w:start w:val="1"/>
      <w:numFmt w:val="decimal"/>
      <w:lvlText w:val="（%1）"/>
      <w:lvlJc w:val="left"/>
      <w:pPr>
        <w:ind w:left="440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1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4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6" w:hanging="601"/>
      </w:pPr>
      <w:rPr>
        <w:rFonts w:hint="default"/>
        <w:lang w:val="en-US" w:eastAsia="zh-CN" w:bidi="ar-SA"/>
      </w:rPr>
    </w:lvl>
  </w:abstractNum>
  <w:abstractNum w:abstractNumId="17">
    <w:nsid w:val="3F3071FB"/>
    <w:multiLevelType w:val="hybridMultilevel"/>
    <w:tmpl w:val="00000000"/>
    <w:lvl w:ilvl="0">
      <w:start w:val="3"/>
      <w:numFmt w:val="decimal"/>
      <w:lvlText w:val="%1"/>
      <w:lvlJc w:val="left"/>
      <w:pPr>
        <w:ind w:left="972" w:hanging="57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972" w:hanging="570"/>
        <w:jc w:val="left"/>
      </w:pPr>
      <w:rPr>
        <w:rFonts w:hint="default"/>
        <w:lang w:val="en-US" w:eastAsia="zh-CN" w:bidi="ar-SA"/>
      </w:rPr>
    </w:lvl>
    <w:lvl w:ilvl="2">
      <w:start w:val="5"/>
      <w:numFmt w:val="decimal"/>
      <w:lvlText w:val="%1.%2.%3"/>
      <w:lvlJc w:val="left"/>
      <w:pPr>
        <w:ind w:left="972" w:hanging="570"/>
        <w:jc w:val="left"/>
      </w:pPr>
      <w:rPr>
        <w:rFonts w:ascii="微软雅黑 Light" w:eastAsia="微软雅黑 Light" w:hAnsi="微软雅黑 Light" w:cs="微软雅黑 Light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762" w:hanging="6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22" w:hanging="68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09" w:hanging="68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6" w:hanging="68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4" w:hanging="68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71" w:hanging="683"/>
      </w:pPr>
      <w:rPr>
        <w:rFonts w:hint="default"/>
        <w:lang w:val="en-US" w:eastAsia="zh-CN" w:bidi="ar-SA"/>
      </w:rPr>
    </w:lvl>
  </w:abstractNum>
  <w:abstractNum w:abstractNumId="18">
    <w:nsid w:val="3FB37CA3"/>
    <w:multiLevelType w:val="hybridMultilevel"/>
    <w:tmpl w:val="00000000"/>
    <w:lvl w:ilvl="0">
      <w:start w:val="1"/>
      <w:numFmt w:val="decimal"/>
      <w:lvlText w:val="（%1）"/>
      <w:lvlJc w:val="left"/>
      <w:pPr>
        <w:ind w:left="1521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26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33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39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46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5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59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66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72" w:hanging="601"/>
      </w:pPr>
      <w:rPr>
        <w:rFonts w:hint="default"/>
        <w:lang w:val="en-US" w:eastAsia="zh-CN" w:bidi="ar-SA"/>
      </w:rPr>
    </w:lvl>
  </w:abstractNum>
  <w:abstractNum w:abstractNumId="19">
    <w:nsid w:val="4015C713"/>
    <w:multiLevelType w:val="hybridMultilevel"/>
    <w:tmpl w:val="00000000"/>
    <w:lvl w:ilvl="0">
      <w:start w:val="1"/>
      <w:numFmt w:val="decimal"/>
      <w:lvlText w:val="（%1）"/>
      <w:lvlJc w:val="left"/>
      <w:pPr>
        <w:ind w:left="1521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26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33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39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46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5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59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66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72" w:hanging="601"/>
      </w:pPr>
      <w:rPr>
        <w:rFonts w:hint="default"/>
        <w:lang w:val="en-US" w:eastAsia="zh-CN" w:bidi="ar-SA"/>
      </w:rPr>
    </w:lvl>
  </w:abstractNum>
  <w:abstractNum w:abstractNumId="20">
    <w:nsid w:val="55CA5619"/>
    <w:multiLevelType w:val="hybridMultilevel"/>
    <w:tmpl w:val="00000000"/>
    <w:lvl w:ilvl="0">
      <w:start w:val="3"/>
      <w:numFmt w:val="decimal"/>
      <w:lvlText w:val="%1"/>
      <w:lvlJc w:val="left"/>
      <w:pPr>
        <w:ind w:left="1160" w:hanging="72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160" w:hanging="720"/>
        <w:jc w:val="left"/>
      </w:pPr>
      <w:rPr>
        <w:rFonts w:hint="default"/>
        <w:lang w:val="en-US" w:eastAsia="zh-CN" w:bidi="ar-SA"/>
      </w:rPr>
    </w:lvl>
    <w:lvl w:ilvl="2">
      <w:start w:val="4"/>
      <w:numFmt w:val="decimal"/>
      <w:lvlText w:val="%1.%2.%3"/>
      <w:lvlJc w:val="left"/>
      <w:pPr>
        <w:ind w:left="1160" w:hanging="720"/>
        <w:jc w:val="left"/>
      </w:pPr>
      <w:rPr>
        <w:rFonts w:hint="default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160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zh-CN" w:bidi="ar-SA"/>
      </w:rPr>
    </w:lvl>
    <w:lvl w:ilvl="4">
      <w:start w:val="1"/>
      <w:numFmt w:val="decimal"/>
      <w:lvlText w:val="(%5)"/>
      <w:lvlJc w:val="left"/>
      <w:pPr>
        <w:ind w:left="440" w:hanging="4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04" w:hanging="40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41" w:hanging="40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77" w:hanging="40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13" w:hanging="400"/>
      </w:pPr>
      <w:rPr>
        <w:rFonts w:hint="default"/>
        <w:lang w:val="en-US" w:eastAsia="zh-CN" w:bidi="ar-SA"/>
      </w:rPr>
    </w:lvl>
  </w:abstractNum>
  <w:abstractNum w:abstractNumId="21">
    <w:nsid w:val="55F58A86"/>
    <w:multiLevelType w:val="hybridMultilevel"/>
    <w:tmpl w:val="00000000"/>
    <w:lvl w:ilvl="0">
      <w:start w:val="1"/>
      <w:numFmt w:val="decimal"/>
      <w:lvlText w:val="%1"/>
      <w:lvlJc w:val="left"/>
      <w:pPr>
        <w:ind w:left="960" w:hanging="84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960" w:hanging="840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960" w:hanging="8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zh-CN" w:bidi="ar-SA"/>
      </w:rPr>
    </w:lvl>
    <w:lvl w:ilvl="3">
      <w:start w:val="1"/>
      <w:numFmt w:val="decimal"/>
      <w:lvlText w:val="%4."/>
      <w:lvlJc w:val="left"/>
      <w:pPr>
        <w:ind w:left="9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4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0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1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0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8" w:hanging="361"/>
      </w:pPr>
      <w:rPr>
        <w:rFonts w:hint="default"/>
        <w:lang w:val="en-US" w:eastAsia="zh-CN" w:bidi="ar-SA"/>
      </w:rPr>
    </w:lvl>
  </w:abstractNum>
  <w:abstractNum w:abstractNumId="22">
    <w:nsid w:val="561EB18A"/>
    <w:multiLevelType w:val="hybridMultilevel"/>
    <w:tmpl w:val="00000000"/>
    <w:lvl w:ilvl="0">
      <w:start w:val="1"/>
      <w:numFmt w:val="decimal"/>
      <w:lvlText w:val="（%1）"/>
      <w:lvlJc w:val="left"/>
      <w:pPr>
        <w:ind w:left="1521" w:hanging="6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26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33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39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46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5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59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66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72" w:hanging="601"/>
      </w:pPr>
      <w:rPr>
        <w:rFonts w:hint="default"/>
        <w:lang w:val="en-US" w:eastAsia="zh-CN" w:bidi="ar-SA"/>
      </w:rPr>
    </w:lvl>
  </w:abstractNum>
  <w:abstractNum w:abstractNumId="23">
    <w:nsid w:val="57444EB3"/>
    <w:multiLevelType w:val="hybridMultilevel"/>
    <w:tmpl w:val="00000000"/>
    <w:lvl w:ilvl="0">
      <w:start w:val="1"/>
      <w:numFmt w:val="decimal"/>
      <w:lvlText w:val="（%1）"/>
      <w:lvlJc w:val="left"/>
      <w:pPr>
        <w:ind w:left="440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6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1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2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4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6" w:hanging="601"/>
      </w:pPr>
      <w:rPr>
        <w:rFonts w:hint="default"/>
        <w:lang w:val="en-US" w:eastAsia="zh-CN" w:bidi="ar-SA"/>
      </w:rPr>
    </w:lvl>
  </w:abstractNum>
  <w:abstractNum w:abstractNumId="24">
    <w:nsid w:val="5F4713E6"/>
    <w:multiLevelType w:val="hybridMultilevel"/>
    <w:tmpl w:val="00000000"/>
    <w:lvl w:ilvl="0">
      <w:start w:val="3"/>
      <w:numFmt w:val="decimal"/>
      <w:lvlText w:val="%1"/>
      <w:lvlJc w:val="left"/>
      <w:pPr>
        <w:ind w:left="1700" w:hanging="834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700" w:hanging="834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700" w:hanging="834"/>
        <w:jc w:val="left"/>
      </w:pPr>
      <w:rPr>
        <w:rFonts w:hint="default"/>
        <w:lang w:val="en-US" w:eastAsia="zh-CN" w:bidi="ar-SA"/>
      </w:rPr>
    </w:lvl>
    <w:lvl w:ilvl="3">
      <w:start w:val="2"/>
      <w:numFmt w:val="decimal"/>
      <w:lvlText w:val="%1.%2.%3.%4"/>
      <w:lvlJc w:val="left"/>
      <w:pPr>
        <w:ind w:left="1700" w:hanging="83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54" w:hanging="83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43" w:hanging="83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31" w:hanging="83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20" w:hanging="83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08" w:hanging="834"/>
      </w:pPr>
      <w:rPr>
        <w:rFonts w:hint="default"/>
        <w:lang w:val="en-US" w:eastAsia="zh-CN" w:bidi="ar-SA"/>
      </w:rPr>
    </w:lvl>
  </w:abstractNum>
  <w:abstractNum w:abstractNumId="25">
    <w:nsid w:val="603E3731"/>
    <w:multiLevelType w:val="hybridMultilevel"/>
    <w:tmpl w:val="00000000"/>
    <w:lvl w:ilvl="0">
      <w:start w:val="1"/>
      <w:numFmt w:val="decimal"/>
      <w:lvlText w:val="%1"/>
      <w:lvlJc w:val="left"/>
      <w:pPr>
        <w:ind w:left="1379" w:hanging="660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379" w:hanging="6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73" w:hanging="6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19" w:hanging="6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66" w:hanging="6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6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59" w:hanging="6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6" w:hanging="6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52" w:hanging="660"/>
      </w:pPr>
      <w:rPr>
        <w:rFonts w:hint="default"/>
        <w:lang w:val="en-US" w:eastAsia="zh-CN" w:bidi="ar-SA"/>
      </w:rPr>
    </w:lvl>
  </w:abstractNum>
  <w:abstractNum w:abstractNumId="26">
    <w:nsid w:val="7131CAC6"/>
    <w:multiLevelType w:val="hybridMultilevel"/>
    <w:tmpl w:val="00000000"/>
    <w:lvl w:ilvl="0">
      <w:start w:val="3"/>
      <w:numFmt w:val="decimal"/>
      <w:lvlText w:val="%1"/>
      <w:lvlJc w:val="left"/>
      <w:pPr>
        <w:ind w:left="1740" w:hanging="70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740" w:hanging="700"/>
        <w:jc w:val="left"/>
      </w:pPr>
      <w:rPr>
        <w:rFonts w:hint="default"/>
        <w:lang w:val="en-US" w:eastAsia="zh-CN" w:bidi="ar-SA"/>
      </w:rPr>
    </w:lvl>
    <w:lvl w:ilvl="2">
      <w:start w:val="5"/>
      <w:numFmt w:val="decimal"/>
      <w:lvlText w:val="%1.%2.%3"/>
      <w:lvlJc w:val="left"/>
      <w:pPr>
        <w:ind w:left="1740" w:hanging="7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220" w:hanging="7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zh-CN" w:bidi="ar-SA"/>
      </w:rPr>
    </w:lvl>
    <w:lvl w:ilvl="4">
      <w:start w:val="1"/>
      <w:numFmt w:val="decimal"/>
      <w:lvlText w:val="（%5）"/>
      <w:lvlJc w:val="left"/>
      <w:pPr>
        <w:ind w:left="440" w:hanging="602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981" w:hanging="60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02" w:hanging="60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23" w:hanging="60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44" w:hanging="602"/>
      </w:pPr>
      <w:rPr>
        <w:rFonts w:hint="default"/>
        <w:lang w:val="en-US" w:eastAsia="zh-CN" w:bidi="ar-SA"/>
      </w:rPr>
    </w:lvl>
  </w:abstractNum>
  <w:abstractNum w:abstractNumId="27">
    <w:nsid w:val="7D6F5175"/>
    <w:multiLevelType w:val="hybridMultilevel"/>
    <w:tmpl w:val="00000000"/>
    <w:lvl w:ilvl="0">
      <w:start w:val="1"/>
      <w:numFmt w:val="decimal"/>
      <w:lvlText w:val="（%1）"/>
      <w:lvlJc w:val="left"/>
      <w:pPr>
        <w:ind w:left="1521" w:hanging="6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26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33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39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46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5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59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66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72" w:hanging="601"/>
      </w:pPr>
      <w:rPr>
        <w:rFonts w:hint="default"/>
        <w:lang w:val="en-US" w:eastAsia="zh-CN" w:bidi="ar-SA"/>
      </w:rPr>
    </w:lvl>
  </w:abstractNum>
  <w:abstractNum w:abstractNumId="28">
    <w:nsid w:val="7ED5BD65"/>
    <w:multiLevelType w:val="hybridMultilevel"/>
    <w:tmpl w:val="00000000"/>
    <w:lvl w:ilvl="0">
      <w:start w:val="4"/>
      <w:numFmt w:val="decimal"/>
      <w:lvlText w:val="（%1）"/>
      <w:lvlJc w:val="left"/>
      <w:pPr>
        <w:ind w:left="722" w:hanging="60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w w:val="83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32" w:hanging="60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45" w:hanging="60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7" w:hanging="60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70" w:hanging="60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3" w:hanging="60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95" w:hanging="60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08" w:hanging="60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20" w:hanging="603"/>
      </w:pPr>
      <w:rPr>
        <w:rFonts w:hint="default"/>
        <w:lang w:val="en-US" w:eastAsia="zh-CN" w:bidi="ar-SA"/>
      </w:rPr>
    </w:lvl>
  </w:abstractNum>
  <w:num w:numId="1">
    <w:abstractNumId w:val="15"/>
  </w:num>
  <w:num w:numId="2">
    <w:abstractNumId w:val="7"/>
  </w:num>
  <w:num w:numId="3">
    <w:abstractNumId w:val="12"/>
  </w:num>
  <w:num w:numId="4">
    <w:abstractNumId w:val="6"/>
  </w:num>
  <w:num w:numId="5">
    <w:abstractNumId w:val="1"/>
  </w:num>
  <w:num w:numId="6">
    <w:abstractNumId w:val="23"/>
  </w:num>
  <w:num w:numId="7">
    <w:abstractNumId w:val="16"/>
  </w:num>
  <w:num w:numId="8">
    <w:abstractNumId w:val="5"/>
  </w:num>
  <w:num w:numId="9">
    <w:abstractNumId w:val="9"/>
  </w:num>
  <w:num w:numId="10">
    <w:abstractNumId w:val="22"/>
  </w:num>
  <w:num w:numId="11">
    <w:abstractNumId w:val="3"/>
  </w:num>
  <w:num w:numId="12">
    <w:abstractNumId w:val="26"/>
  </w:num>
  <w:num w:numId="13">
    <w:abstractNumId w:val="20"/>
  </w:num>
  <w:num w:numId="14">
    <w:abstractNumId w:val="27"/>
  </w:num>
  <w:num w:numId="15">
    <w:abstractNumId w:val="19"/>
  </w:num>
  <w:num w:numId="16">
    <w:abstractNumId w:val="24"/>
  </w:num>
  <w:num w:numId="17">
    <w:abstractNumId w:val="18"/>
  </w:num>
  <w:num w:numId="18">
    <w:abstractNumId w:val="4"/>
  </w:num>
  <w:num w:numId="19">
    <w:abstractNumId w:val="25"/>
  </w:num>
  <w:num w:numId="20">
    <w:abstractNumId w:val="11"/>
  </w:num>
  <w:num w:numId="21">
    <w:abstractNumId w:val="21"/>
  </w:num>
  <w:num w:numId="22">
    <w:abstractNumId w:val="17"/>
  </w:num>
  <w:num w:numId="23">
    <w:abstractNumId w:val="2"/>
  </w:num>
  <w:num w:numId="24">
    <w:abstractNumId w:val="10"/>
  </w:num>
  <w:num w:numId="25">
    <w:abstractNumId w:val="28"/>
  </w:num>
  <w:num w:numId="26">
    <w:abstractNumId w:val="13"/>
  </w:num>
  <w:num w:numId="27">
    <w:abstractNumId w:val="0"/>
  </w:num>
  <w:num w:numId="28">
    <w:abstractNumId w:val="8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line="530" w:lineRule="exact"/>
      <w:ind w:left="859" w:hanging="4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1700" w:hanging="660"/>
      <w:outlineLvl w:val="1"/>
    </w:pPr>
    <w:rPr>
      <w:rFonts w:ascii="Microsoft JhengHei" w:eastAsia="Microsoft JhengHei" w:hAnsi="Microsoft JhengHei" w:cs="Microsoft JhengHei"/>
      <w:b/>
      <w:bCs/>
      <w:sz w:val="30"/>
      <w:szCs w:val="30"/>
      <w:lang w:val="en-US" w:eastAsia="zh-CN" w:bidi="ar-SA"/>
    </w:rPr>
  </w:style>
  <w:style w:type="paragraph" w:styleId="Heading3">
    <w:name w:val="heading 3"/>
    <w:basedOn w:val="Normal"/>
    <w:uiPriority w:val="1"/>
    <w:qFormat/>
    <w:pPr>
      <w:spacing w:line="421" w:lineRule="exact"/>
      <w:ind w:left="1699" w:hanging="660"/>
      <w:outlineLvl w:val="2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paragraph" w:styleId="Heading4">
    <w:name w:val="heading 4"/>
    <w:basedOn w:val="Normal"/>
    <w:uiPriority w:val="1"/>
    <w:qFormat/>
    <w:pPr>
      <w:ind w:left="1280"/>
      <w:outlineLvl w:val="3"/>
    </w:pPr>
    <w:rPr>
      <w:rFonts w:ascii="Microsoft JhengHei" w:eastAsia="Microsoft JhengHei" w:hAnsi="Microsoft JhengHei" w:cs="Microsoft JhengHei"/>
      <w:b/>
      <w:bCs/>
      <w:sz w:val="24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173"/>
      <w:ind w:left="750" w:hanging="630"/>
    </w:pPr>
    <w:rPr>
      <w:rFonts w:ascii="Microsoft JhengHei" w:eastAsia="Microsoft JhengHei" w:hAnsi="Microsoft JhengHei" w:cs="Microsoft JhengHei"/>
      <w:b/>
      <w:bCs/>
      <w:sz w:val="24"/>
      <w:szCs w:val="24"/>
      <w:lang w:val="en-US" w:eastAsia="zh-CN" w:bidi="ar-SA"/>
    </w:rPr>
  </w:style>
  <w:style w:type="paragraph" w:styleId="TOC2">
    <w:name w:val="toc 2"/>
    <w:basedOn w:val="Normal"/>
    <w:uiPriority w:val="1"/>
    <w:qFormat/>
    <w:pPr>
      <w:spacing w:before="15"/>
      <w:ind w:left="959" w:hanging="557"/>
    </w:pPr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TOC3">
    <w:name w:val="toc 3"/>
    <w:basedOn w:val="Normal"/>
    <w:uiPriority w:val="1"/>
    <w:qFormat/>
    <w:pPr>
      <w:spacing w:before="43"/>
      <w:ind w:left="3480" w:hanging="2401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440" w:firstLine="480"/>
    </w:pPr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1501" w:lineRule="exact"/>
      <w:ind w:left="273" w:right="574"/>
      <w:jc w:val="center"/>
    </w:pPr>
    <w:rPr>
      <w:rFonts w:ascii="Microsoft JhengHei" w:eastAsia="Microsoft JhengHei" w:hAnsi="Microsoft JhengHei" w:cs="Microsoft JhengHei"/>
      <w:b/>
      <w:bCs/>
      <w:sz w:val="84"/>
      <w:szCs w:val="84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440" w:firstLine="48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hyperlink" Target="https://d.book118.com/718057061125006043" TargetMode="External" /><Relationship Id="rId19" Type="http://schemas.openxmlformats.org/officeDocument/2006/relationships/footer" Target="footer14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2024-03-04T14:10:35Z</dcterms:created>
  <dcterms:modified xsi:type="dcterms:W3CDTF">2024-03-04T14:10:35Z</dcterms:modified>
</cp:coreProperties>
</file>