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造价工程师（建设部）：建设工程造价管理考试资料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1、单选 根据《中华人民共和国合同法》的规定，下列合同中属于无效合同的是（）。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A.无权处分人处分他人财产订立的合同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B.限制民事行为能力人订立的合同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C.当事人</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一方以欺诈手段订立的损害国家利益的合同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D.显失公平的合同</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中华人民共和国合同法》规定，有下列情形之一的，合同无效：（1）一方以欺诈、胁迫的手段订立合同，损害国家利益；（2）恶意串通，损害国家、集体或者第三人利益；（3）以合法形式掩盖非法目的；（4）损害社会公共利益；（5）违反法律、行政法规的强制性规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2、多选 与发行股票相比，债券融资的优点是（）。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A.利息允许在所得税后支付，债券成本一般低于股票成本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B.债券发行费用较低，其利息允许在所得税前支付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C.利息固定，降低融资企业的风险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D.更多的收益可用于分配给股东，同时分散股东对企业的控制权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E.便于调整资本结构</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债券筹资的优点：（1）筹资成本较低。发行债券筹资的成本要比股票筹资的成本低。这是因为债券发行费用较低，其利息允许在所得税前支付，可以享受扣减所得税的优惠，所以企业实际上负担的债券成本一般低于股票成本。（2）保障股东控制权。债券持有人无权干涉管理事务，因此发行企业债券不会像增发股票那样可能会分散股东对企业的控制权。（3）发挥财务杠杆作用。不论企业盈利水平如何，债券持有人只收取固定的利息，更多的收益可用于分配给股东，或留归企业以扩大经营。（4）便于调整资本结构。企业通过发行可转换债券，或在发行债券时规定可提前赎回债券，有利于企业主动地、合理地调整资本结构确定负债与资本的合理比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3、单选 成本分析、成本考核、成本核算是建设工程项目施工成本管理的重要环节，仅就此三项工作而言，其正确的工作流程是（）。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A.成本核算→成本分析→成本考核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B.成本分析→成本考核→成本核算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C.成本考核→成本核算→成本分析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D.成本分析→成本核算→成本考核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4、单选 某分部工程划分为4个施工，组织加快的成倍节拍流水施工，如果流水节拍分别为6、4、4、2天，则流水步距为（）天。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w w:val="100"/>
          <w:sz w:val="28"/>
          <w:szCs w:val="28"/>
          <w:u w:val="none"/>
        </w:rPr>
        <w:t>A.1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D.6</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等步距异节奏流水施工是指在组织异节奏流水施工时，按每个施工过程流水节拍之间的比例关系，成立相应数量的专业工作队而进行的流水施工，也称为成倍节拍流水施工。成倍节拍流水施工的特点如下：（1）同一施工过程在其各个施工段上的流水节拍均相等；不同施工过程的流水节拍不等，但其值为倍数关系。（2）相邻施工过程的流水步距相等，且等于流水节拍的最大公约数（K），6、4、4、2最大公约数是2。（3）专业工作队数大于施工过程数，即有的施工过程只成立一个专业工作队，而对于流水节拍大的施工过程，可按其倍数增加相应专业工作队数目。（4）各个专业工作队在施工段上能够连续作业，施工段之间没有空闲时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5、单选 美国建筑师学会的合同条件体系分为A、B、C、D、F、G系列，其中G系列是（）。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A.合同和办公管理表格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B.财务管理表格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C.发包人与承包人之间的合同文件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D.建筑师行业所用的文件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6、单选 建筑企业应在工程项目（）办理完投保手续。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A.竣工前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B.开工前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C.开工后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D.审批前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7、单选 设计概算的审查方法中，对审查中发现的问题和偏差，对照单项工程、单位工程的顺序目录分类整理，汇总核增或核减的项目及金额，最后汇总审核后的总投资及增减投资额的方法是（）。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A.对比分析法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B.主要问题复核法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C.查询核实法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D.分类整理法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分类整理法：对审查中发现的问题和偏差，对照单项工程、单位工程的顺序目录分类整理，汇总核增或核减的项目及金额，最后汇总审核后的总投资及增减投资额。审查方法包括对比分析法、主要问题复核法、查询核实法、分类整理法、联合会审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8、多选 按项目的经济效益和市场需求划分，工程项目可划分为（）。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A.商业建设项目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B.竞争性项目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C.更新改造项目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D.基础性项目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E.公益性项目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9</w:t>
      </w:r>
      <w:r>
        <w:rPr>
          <w:rFonts w:ascii="宋体" w:eastAsia="宋体" w:hAnsi="宋体" w:cs="宋体" w:hint="eastAsia"/>
          <w:outline w:val="0"/>
          <w:shadow w:val="0"/>
          <w:emboss w:val="0"/>
          <w:imprint w:val="0"/>
          <w:vanish w:val="0"/>
          <w:w w:val="100"/>
          <w:sz w:val="28"/>
          <w:szCs w:val="28"/>
          <w:u w:val="none"/>
          <w:lang w:eastAsia="zh-CN"/>
        </w:rPr>
        <w:t>、单选?</w:t>
      </w:r>
      <w:r>
        <w:rPr>
          <w:rFonts w:ascii="宋体" w:eastAsia="宋体" w:hAnsi="宋体" w:cs="宋体" w:hint="eastAsia"/>
          <w:outline w:val="0"/>
          <w:shadow w:val="0"/>
          <w:emboss w:val="0"/>
          <w:imprint w:val="0"/>
          <w:vanish w:val="0"/>
          <w:w w:val="100"/>
          <w:sz w:val="28"/>
          <w:szCs w:val="28"/>
          <w:u w:val="none"/>
        </w:rPr>
        <w:t>某分部工程双代号时标网络计划如下图所示，其中工作A的总时差和自由时差（）天。</w:t>
      </w:r>
      <w:r>
        <w:rPr>
          <w:rFonts w:ascii="宋体" w:eastAsia="宋体" w:hAnsi="宋体" w:cs="宋体"/>
          <w:outline w:val="0"/>
          <w:shadow w:val="0"/>
          <w:emboss w:val="0"/>
          <w:imprint w:val="0"/>
          <w:vanish w:val="0"/>
          <w:w w:val="100"/>
          <w:sz w:val="28"/>
          <w:szCs w:val="28"/>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1.25pt;height:126pt" coordsize="21600,21600" o:preferrelative="t" filled="f" stroked="f">
            <v:stroke joinstyle="miter"/>
            <v:imagedata r:id="rId4" r:href="rId5" o:title=""/>
            <o:lock v:ext="edit" aspectratio="t"/>
            <w10:anchorlock/>
          </v:shape>
        </w:pic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A.分别为1和0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B.均为1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C.分别为2和0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D.均为0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10、多选 线性盈亏平衡分析的前提条件包括（）。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A.生产量等于销售量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B.生产多种产品，且分别计算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C.只生产单一产品；或者生产多种产品，但可以换算为单一产品计算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D.生产量变化，销售单价不变，从而使销售收入成为销售量的线性函数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E.生产量变化，单位可变成本不变，从而使总生产成本成为生产量的线性函数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11、多选 按规模不同，投资方案可分为（）。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A.相同服务寿命的方案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B.不同规模的方案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C.不同服务寿命的方案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D.相同规模的方案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E.无限长寿命的方案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12、单选 根据我国《税收征收管理法》的规定，以下属于财产税的是（）。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A.营业税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B.印花税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C.契税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D.耕地占用税</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财产税以财产的价值额或租金额为征税对象，包括房产税、土地增值税、车船税、契税等；流转税是以商品流转额和非商品（劳务）流转额为征税对象的税，主要包括增值税、消费税、营业税、关税、城市维护建设税等；所得税以纳税人的收益额为征税对象，包括企业所得税和个人所得税；行为税以特定行为为征税对象，包括城镇土地使用税、固定资产投资方向调节税、耕地占用税、印花税、屠宰税、筵席税等；资源税是为了促进合理开发利用资源，调节资源级差收入而对资源产品征收的各种税的统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13、多选 根据《建设工程项目管理规范》的规定，项目管理规划大纲的编制依据包括（）。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A.可行性研究报告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B.项目进度计划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C.设计问价、标准与有关规定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D.相关市场信息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E.环境信息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14、单选 甲建筑公司以16000万元的总承包额中标为某房地产开发公司承建一幢写字楼，之后甲建筑公司又将该写字楼工程的装饰工程以7000万元分包给乙建筑公司，则甲建筑公司应缴建筑业营业税为（）万元。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B.270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C.480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D.690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15、单选 根据我国《合同法》的规定，构成违约责任的核心要件是（）。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A.违约方当事人客观上存在违约行为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B.违约当事人主观上有过错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C.守约方当事人客观上存在损失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D.由合同当事人在法定范围内自行约定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16、单选 某机器设备原始价值50万元，折旧年限8年。采用年数总和法计提折旧，则第4年的折旧率为（）。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B.4／8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C.4／36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D.5／36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17、单选 某工程计划砌筑砖基础工程量为150m，每m用砖523块，每块砖计划价格为0.2元。实际砌筑砖基础工程量为160m，每m用砖520块，每块砖实际价格为0.17元。则由于砖的单价变动使施工总成本节约（）元。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A.2340.0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B.2353.5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C.2496.0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D.2510.4</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outline w:val="0"/>
          <w:shadow w:val="0"/>
          <w:emboss w:val="0"/>
          <w:imprint w:val="0"/>
          <w:vanish w:val="0"/>
          <w:w w:val="100"/>
          <w:sz w:val="28"/>
          <w:szCs w:val="28"/>
          <w:u w:val="none"/>
        </w:rPr>
        <w:pict>
          <v:shape id="_x0000_i1026" type="#_x0000_t75" style="width:453.6pt;height:124.5pt" coordsize="21600,21600" o:preferrelative="t" filled="f" stroked="f">
            <v:imagedata r:id="rId6" r:href="rId7" o:title=""/>
            <o:lock v:ext="edit" aspectratio="t"/>
            <w10:anchorlock/>
          </v:shape>
        </w:pic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18、单选 经营成本不包括（）。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A.外购原材料费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B.生产工人工资及福利费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C.修理费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D.折旧费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19、单选 下列方法中，既可用于价值工程对象选择，又可用于确定功能重要性系数的是（）。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A.因素分析法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B.重点选择法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C.专家检查法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D.强制确定法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价值工程对象选择的方法包括因素分析法（又称经验分析法）、ABC分析法（又称重点选择法或不均匀分布定律法）、强制确定法、百分比分析法和价值指数法。价值工程确定功能重要性系数的方法包括强制确定法（0-1评分法或0-4评分法）、多比例评分法、逻辑评分法、环比评分法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20、单选 经营性建设项目都要实施建设项目法人责任制，如果由原有企业负责建设项目，需要设立子公司的，（）。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A.需要重新设立项目法人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B.原有企业法人就是项目法人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C.项目领导小组就是项目法人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D.不需设立项目法人，但是原有企业法人需向项目派遣专职管理人员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21、单选 交通建设项目属于（）建设项目。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A.工业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B.农业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C.基础设施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D.商业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22、多选 根据《政府采购法》的规定，集中采购机构进行政府采购活动，应符合的要求是（）。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A.采购量更大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B.采购质量优良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C.采购效率更高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D.服务良好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E.采购价格低于市场平均价格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23、多选 根据我国《合同法》的规定，致使合同无效的情形有（）。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A.以合法形式掩盖非法目的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B.一方以欺诈、胁迫的手段订立合同，损害国家利益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C.恶意串通，损害国家、集体或者第三人利益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D.损害社会公共利益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E.因重大误解订立合同</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内容和形式违反了法律、行政法规的强制性规定，或者损害了国家利益、集体利益、第三人利益和社会公共利益，因而不为法律所承认和保护、不具有法律效力的合同为无效合同。无效合同自始没有法律约束力。合同有下列情形之一的为合同无效：（1）一方以欺诈、胁迫的手段订立合同，损害国家利益；（2）恶意串通，损害国家、集体或第三人利益；（3）以合法形式掩盖非法目的；（4）损害社会公共利益；（5）违反法律、行政法规的强制性规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24、单选 在工程招投标阶段通过签订总承包合同、建筑安装工程承包合同、设备材料采购合同，以及技术和咨询服务合同所确定的价格称为（）。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A.决算价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B.合同价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C.预算造价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D.概算造价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25、单选 诉讼时效的期间从权利人知道或者应当知道其权利被侵害之日起开始计算，但从权利被侵害之日起，超过（）年的，人民法院不予保护。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26、单选 根据《注册造价工程师管理办法》的规定，对申请变更注册、延续注册的，注册初审机关应当自受理申请之日起（）d内审查完毕，并将申请材料和初审意见报注册机关。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27、单选 当项目的计算期为6年时，该项目的净现值为-215万元，当项目的计算期为7年时，该项目的净现值为15万元，则该项目的动态投资回收期为（）年。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A.6.93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B.6.07</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D.7</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28、单选 某企业于年初向银行借款1500万元，其年有效利率为10%，若按月计息，则该年第三季度末借款本利和为（）万元。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A.1611.1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B.1612.5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C.1616.3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D.1237.5</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设名义年利率为r，则每月的月利率为r／12根据名义利率与有效利率的关系</w:t>
      </w:r>
      <w:r>
        <w:rPr>
          <w:rFonts w:ascii="宋体" w:eastAsia="宋体" w:hAnsi="宋体" w:cs="宋体"/>
          <w:outline w:val="0"/>
          <w:shadow w:val="0"/>
          <w:emboss w:val="0"/>
          <w:imprint w:val="0"/>
          <w:vanish w:val="0"/>
          <w:w w:val="100"/>
          <w:sz w:val="28"/>
          <w:szCs w:val="28"/>
          <w:u w:val="none"/>
        </w:rPr>
        <w:pict>
          <v:shape id="_x0000_i1027" type="#_x0000_t75" style="width:57.75pt;height:33.75pt" coordsize="21600,21600" o:preferrelative="t" filled="f" stroked="f">
            <v:stroke joinstyle="miter"/>
            <v:imagedata r:id="rId8" r:href="rId9" o:title=""/>
            <o:lock v:ext="edit" aspectratio="t"/>
            <w10:anchorlock/>
          </v:shape>
        </w:pict>
      </w:r>
      <w:r>
        <w:rPr>
          <w:rFonts w:ascii="宋体" w:eastAsia="宋体" w:hAnsi="宋体" w:cs="宋体" w:hint="eastAsia"/>
          <w:outline w:val="0"/>
          <w:shadow w:val="0"/>
          <w:emboss w:val="0"/>
          <w:imprint w:val="0"/>
          <w:vanish w:val="0"/>
          <w:w w:val="100"/>
          <w:sz w:val="28"/>
          <w:szCs w:val="28"/>
          <w:u w:val="none"/>
        </w:rPr>
        <w:t>-1＝10%，</w:t>
      </w:r>
      <w:r>
        <w:rPr>
          <w:rFonts w:ascii="宋体" w:eastAsia="宋体" w:hAnsi="宋体" w:cs="宋体"/>
          <w:outline w:val="0"/>
          <w:shadow w:val="0"/>
          <w:emboss w:val="0"/>
          <w:imprint w:val="0"/>
          <w:vanish w:val="0"/>
          <w:w w:val="100"/>
          <w:sz w:val="28"/>
          <w:szCs w:val="28"/>
          <w:u w:val="none"/>
        </w:rPr>
        <w:pict>
          <v:shape id="_x0000_i1028" type="#_x0000_t75" style="width:102.75pt;height:30pt" coordsize="21600,21600" o:preferrelative="t" filled="f" stroked="f">
            <v:stroke joinstyle="miter"/>
            <v:imagedata r:id="rId10" r:href="rId11" o:title=""/>
            <o:lock v:ext="edit" aspectratio="t"/>
            <w10:anchorlock/>
          </v:shape>
        </w:pict>
      </w:r>
      <w:r>
        <w:rPr>
          <w:rFonts w:ascii="宋体" w:eastAsia="宋体" w:hAnsi="宋体" w:cs="宋体" w:hint="eastAsia"/>
          <w:outline w:val="0"/>
          <w:shadow w:val="0"/>
          <w:emboss w:val="0"/>
          <w:imprint w:val="0"/>
          <w:vanish w:val="0"/>
          <w:w w:val="100"/>
          <w:sz w:val="28"/>
          <w:szCs w:val="28"/>
          <w:u w:val="none"/>
        </w:rPr>
        <w:t>第三季度末本利和为：F＝1500（1＋r／12）＝1500×1.1＝1611.1万元。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根据我国《工程造价咨询单位管理办法》的规定，下列表述中正确的是（）。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A.工程造价咨询单位合并时，应交回原资质证书，重新申请资质等级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B.合并后的工程造价咨询单位只能申请乙级工程造价咨询单位资质等级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C.工程造价咨询单位合并时，合并后的企业可以承继合并前各方中较高的资质等级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D.对于年检不合格的工程造价咨询单位，其限期整改时间为1年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30、多选 根据《城市房地产管理法》的规定，土地使用权出让，可以采取（）的方式。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A.征收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B.拍卖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C.继承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D.招标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E.双方协议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31、单选 关于工程总费用中直接费和间接费的表述，正确的是（）。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A.直接费由人工费、材料费及企业经营管理的全部费用组成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B.施工方案不同，直接费相同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C.如果施工方案一定，工期不同，直接费相同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D.间接费一般会随着工期的缩短而减少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32、单选 投资回收期作为方案选择和项目排队的评价准则是（）。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A.不可靠的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B.动态性的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C.不可行的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D.客观性的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33、单选 与平行承包模式相比较，总分包模式的特点表现为（）。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A.业主组织管理和协调工作量大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B.有利于业主对工程质量实施控制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C.有利于吸引更多的投标人参与竞争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D.有利于控制工程造价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34</w:t>
      </w:r>
      <w:r>
        <w:rPr>
          <w:rFonts w:ascii="宋体" w:eastAsia="宋体" w:hAnsi="宋体" w:cs="宋体" w:hint="eastAsia"/>
          <w:outline w:val="0"/>
          <w:shadow w:val="0"/>
          <w:emboss w:val="0"/>
          <w:imprint w:val="0"/>
          <w:vanish w:val="0"/>
          <w:w w:val="100"/>
          <w:sz w:val="28"/>
          <w:szCs w:val="28"/>
          <w:u w:val="none"/>
          <w:lang w:eastAsia="zh-CN"/>
        </w:rPr>
        <w:t>、多选?</w:t>
      </w:r>
      <w:r>
        <w:rPr>
          <w:rFonts w:ascii="宋体" w:eastAsia="宋体" w:hAnsi="宋体" w:cs="宋体" w:hint="eastAsia"/>
          <w:outline w:val="0"/>
          <w:shadow w:val="0"/>
          <w:emboss w:val="0"/>
          <w:imprint w:val="0"/>
          <w:vanish w:val="0"/>
          <w:w w:val="100"/>
          <w:sz w:val="28"/>
          <w:szCs w:val="28"/>
          <w:u w:val="none"/>
        </w:rPr>
        <w:t>某分部工程双代号网络计划如下图所示，图中的错误有（）。</w:t>
      </w:r>
      <w:r>
        <w:rPr>
          <w:rFonts w:ascii="宋体" w:eastAsia="宋体" w:hAnsi="宋体" w:cs="宋体"/>
          <w:outline w:val="0"/>
          <w:shadow w:val="0"/>
          <w:emboss w:val="0"/>
          <w:imprint w:val="0"/>
          <w:vanish w:val="0"/>
          <w:w w:val="100"/>
          <w:sz w:val="28"/>
          <w:szCs w:val="28"/>
          <w:u w:val="none"/>
        </w:rPr>
        <w:pict>
          <v:shape id="_x0000_i1029" type="#_x0000_t75" style="width:252.75pt;height:94.5pt" coordsize="21600,21600" o:preferrelative="t" filled="f" stroked="f">
            <v:stroke joinstyle="miter"/>
            <v:imagedata r:id="rId12" r:href="rId13" o:title=""/>
            <o:lock v:ext="edit" aspectratio="t"/>
            <w10:anchorlock/>
          </v:shape>
        </w:pic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A.工作代号重复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B.节点编号有误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C.多个起点节点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D.多个终点节点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E.存在循环回路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35、单选 累加数列错位相减取大差法的基本步骤的第一步是（）。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A.求得各施工过程流水节拍的累加数列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B.将相邻施工过程流水节拍累加数列中的后者错后一位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C.计算相邻施工过程之间的流水步距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D.计算最后一个施工过程在各施工段流水节拍之和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36、单选 项目成本比率法分析中，（）是将同类指标不同时期的数值进行对比，求出比率，以分析该项指标的发展方向和发展速度的方法。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A.构成比率法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B.相关比率法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C.动态比率法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D.差额比率法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37、单选 某施工企业既从事建筑安装，又销售建筑材料，则（）。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A.应该分别核算、分别申报和缴纳营业税和增值税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B.对企业的收入征收增值税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C.对企业的收入既征收增值税，又增收营业税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D.对企业的收入征收营业税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38、多选 按股东承担风险和享有权益的大小，股票可分为（）。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A.优先股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B.普通股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C.公募股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D.私募股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E.弹性股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39</w:t>
      </w:r>
      <w:r>
        <w:rPr>
          <w:rFonts w:ascii="宋体" w:eastAsia="宋体" w:hAnsi="宋体" w:cs="宋体" w:hint="eastAsia"/>
          <w:outline w:val="0"/>
          <w:shadow w:val="0"/>
          <w:emboss w:val="0"/>
          <w:imprint w:val="0"/>
          <w:vanish w:val="0"/>
          <w:w w:val="100"/>
          <w:sz w:val="28"/>
          <w:szCs w:val="28"/>
          <w:u w:val="none"/>
          <w:lang w:eastAsia="zh-CN"/>
        </w:rPr>
        <w:t>、多选?</w:t>
      </w:r>
      <w:r>
        <w:rPr>
          <w:rFonts w:ascii="宋体" w:eastAsia="宋体" w:hAnsi="宋体" w:cs="宋体" w:hint="eastAsia"/>
          <w:outline w:val="0"/>
          <w:shadow w:val="0"/>
          <w:emboss w:val="0"/>
          <w:imprint w:val="0"/>
          <w:vanish w:val="0"/>
          <w:w w:val="100"/>
          <w:sz w:val="28"/>
          <w:szCs w:val="28"/>
          <w:u w:val="none"/>
        </w:rPr>
        <w:t>某项目的现金流量如图4-2所示，则下列等式正确的有（）。</w:t>
      </w:r>
      <w:r>
        <w:rPr>
          <w:rFonts w:ascii="宋体" w:eastAsia="宋体" w:hAnsi="宋体" w:cs="宋体"/>
          <w:outline w:val="0"/>
          <w:shadow w:val="0"/>
          <w:emboss w:val="0"/>
          <w:imprint w:val="0"/>
          <w:vanish w:val="0"/>
          <w:w w:val="100"/>
          <w:sz w:val="28"/>
          <w:szCs w:val="28"/>
          <w:u w:val="none"/>
        </w:rPr>
        <w:pict>
          <v:shape id="_x0000_i1030" type="#_x0000_t75" style="width:224.25pt;height:134.25pt" coordsize="21600,21600" o:preferrelative="t" filled="f" stroked="f">
            <v:stroke joinstyle="miter"/>
            <v:imagedata r:id="rId14" r:href="rId15" o:title=""/>
            <o:lock v:ext="edit" aspectratio="t"/>
            <w10:anchorlock/>
          </v:shape>
        </w:pic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A.P＝-30（P／A，i，3）＋40（P／F，i，4）＋60（P／A，i，5）（P／F，i，5）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B.P＝-30（P／A，i，4）（1＋i）＋40（P／F，i，4）＋60（P／A，i，6）（P／F，i，4）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C.P＝-30-30（P／A，i，3）＋40（P／F，i，4）＋60（P／A，i，10）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D.P＝-30-30（P／A，i，3）＋40（P／F，i，4）＋60（P／A，i，5）（P／F，i，5）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E.P＝-30-30（P／A，i，3）＋40（P／F，i，4）＋60（P／A，i，6）（P／F，i，4）</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本题关键是关于年金折算的问题，一个是关于年金折算点的确定，一个是关于折现公式中n的确定。年金折现一定要折到第一笔年金的前一年。比如本题中，0～3年的等额支出折现时只能折到0的前一年，而现值是在0那点的价值，因此可以有两种处理方法：一种是先整体折到-1年，再往0点折算，比如答案B；另一种处理方法是，将这笔等额支出分成两部分，在0点的不需折现，1～3年的再按年金现值折算，比如答案E；另一个问题是关于公式中n的确定，如果年金数量较少，可以数年金个数，即为n；当年金数量较多时，用最后一笔年金发生的时点减去第一笔年金的前一年，即为n。如本题中5～10年的年金60，折现时需先折算到第5年初（4年末），则年金个数为10-4＝6，然后再从第4年末一次折现到0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40、多选 工程项目可分为新建项目、（）。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A.扩建项目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B.改建项目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C.迁建项目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D.重置项目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E.恢复项目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41、多选 工程造价咨询单位的（）行为将处以1万以上3万元以下的罚款。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A.提供虚假材料申请工程造价咨询企业资质的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B.伪造、涂改《工程造价咨询单位资质证书》的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C.未取得《工程造价咨询单位资质证书》的单位从事工程造价咨询业务的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D.工程造价咨询单位主要技术负责人变更未办理变卖更手续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E.违反规定，新设立的分支机构不办理备案的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42、多选 下列指标中，取值越大说明项目的效益越好的是（）。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A.投资回收期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B.投资收益率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C.净现值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D.内部收益率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E.净年值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43、多选 关于工程项目经济评价应遵循的基本原则描述正确的有（）。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A.有无对比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B.效益与费用计算口径对应一致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C.收益与风险权衡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D.定量分析与定性分析相结合，以定性分析为主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E.动态分析与静态分析相结合，以静态分析为主</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工程项目经济评价应遵循的基本原则：（1）"有无对比"原则；（2）效益与费用计算口径对应一致的原则；（3）收益与风险权衡的原则；（4）定量分析与定性分析相结合，以定量分析为主的原则；（5）动态分析与静态分析相结合，以动态分析为主的原则。项目经济评价的核心是动态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44、单选 工程项目多方案比选不包括（）。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A.工艺方案比选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B.地域方案比选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C.规模方案比选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D.污染防治措施方案比选</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工程项目多方案比选主要包括工艺方案比选、规模方案比选、选址方案比选、污染防治措施方案比选。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45、单选 工程造价最高限额的合理确定要求在（）阶段，按照有关规定编制的投资估算，经有关部门批准，作为该项目的控制造价。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A.项目建议书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B.项目可行性研究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C.初步设计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D.施工图设计</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（1）在项目建议书阶段，按照有关规定编制的初步投资估算，经有关部门批准，作为拟建项目列入国家中长期计划和开展前期工作的控制造价。（2）在项目可行性研究阶段，按照有关规定编制的投 资估算，经有关部门批准，作为该项目的控制造价。（3）在初步设计阶段，按照有关规定编制的初步设计总概算，经有关部门批准，即作为拟建项目工程造价的最高限额。（4）在施工图设计阶段，按规定编制施工图预算，用以核实施工图阶段预算造价是否超过批准的初步设计概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46、多选 按功能的量化标准分类，产品的功能可分为（）。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A.过剩功能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B.不足功能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C.必要功能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D.不必要功能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E.辅助功能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47、单选 广义的财产保险包括财产损失保险、信用保证保险、责任保险。请根据财产保险的相关知识解答以下题： 下列关于代位求偿原则的说法不正确的是（）。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A.该原则适用于财产保险和人身保险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B.保险人不得向被保险人的家庭成员行使代位求偿权，除非他们故意造成保险事故的发生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C.保险代位求偿的目的在于既要防止被保险人也要防止保险人取得额外利益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D.保险人依法行使代位求偿权，不影响被保险人就未取得保险赔偿的部分向第三者请求赔偿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48、多选 工程设备租赁的不足体现在（）。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A.无法获得良好的技术服务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B.长年支付租金，形成长期负债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C.租赁合同规定严格。毁约要赔偿损失，罚款较多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D.在租赁期间承租人对租用设备无所有权，只有使用权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E.承租人在租赁期间所交的租金总额一般比直接购置设备的费用要高，即资金成本较高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49、单选 英国的工料测量师被认为是工程建设的（）。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A.造价师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B.积算师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C.经济师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D.估价师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50</w:t>
      </w:r>
      <w:r>
        <w:rPr>
          <w:rFonts w:ascii="宋体" w:eastAsia="宋体" w:hAnsi="宋体" w:cs="宋体" w:hint="eastAsia"/>
          <w:outline w:val="0"/>
          <w:shadow w:val="0"/>
          <w:emboss w:val="0"/>
          <w:imprint w:val="0"/>
          <w:vanish w:val="0"/>
          <w:w w:val="100"/>
          <w:sz w:val="28"/>
          <w:szCs w:val="28"/>
          <w:u w:val="none"/>
          <w:lang w:eastAsia="zh-CN"/>
        </w:rPr>
        <w:t>、单选?</w:t>
      </w:r>
      <w:r>
        <w:rPr>
          <w:rFonts w:ascii="宋体" w:eastAsia="宋体" w:hAnsi="宋体" w:cs="宋体" w:hint="eastAsia"/>
          <w:outline w:val="0"/>
          <w:shadow w:val="0"/>
          <w:emboss w:val="0"/>
          <w:imprint w:val="0"/>
          <w:vanish w:val="0"/>
          <w:w w:val="100"/>
          <w:sz w:val="28"/>
          <w:szCs w:val="28"/>
          <w:u w:val="none"/>
        </w:rPr>
        <w:t>工程项目承发包模式中，如下图所示的模式是（）。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outline w:val="0"/>
          <w:shadow w:val="0"/>
          <w:emboss w:val="0"/>
          <w:imprint w:val="0"/>
          <w:vanish w:val="0"/>
          <w:w w:val="100"/>
          <w:sz w:val="28"/>
          <w:szCs w:val="28"/>
          <w:u w:val="none"/>
        </w:rPr>
        <w:pict>
          <v:shape id="_x0000_i1031" type="#_x0000_t75" style="width:165pt;height:170.25pt" coordsize="21600,21600" o:preferrelative="t" filled="f" stroked="f">
            <v:stroke joinstyle="miter"/>
            <v:imagedata r:id="rId16" r:href="rId17" o:title=""/>
            <o:lock v:ext="edit" aspectratio="t"/>
            <w10:anchorlock/>
          </v:shape>
        </w:pic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A.总分包模式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B.平行承包模式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C.联合体承包模式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D.合作体承包模式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51、多选 净现值用于互斥方案评价时的方法有（）。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A.最小公倍数法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B.无限计算期法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C.最大公约数法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D.错位相减法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E.研究期法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52、单选 采用CM承包模式时，施工任务要进行多次分包，每次分包都通过招标展开竞争、谈判进行详细讨论，从而使各个分包合同价格汇总后形成的合同总价更具（）。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A.科学性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B.准确性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C.合理性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D.说服性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53、单选 现金流量图中整个横轴可看成是所考察的经济系统的（）。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A.现金流量发生的时点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B.现金流出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C.现金流量的数值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D.寿命期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54</w:t>
      </w:r>
      <w:r>
        <w:rPr>
          <w:rFonts w:ascii="宋体" w:eastAsia="宋体" w:hAnsi="宋体" w:cs="宋体" w:hint="eastAsia"/>
          <w:outline w:val="0"/>
          <w:shadow w:val="0"/>
          <w:emboss w:val="0"/>
          <w:imprint w:val="0"/>
          <w:vanish w:val="0"/>
          <w:w w:val="100"/>
          <w:sz w:val="28"/>
          <w:szCs w:val="28"/>
          <w:u w:val="none"/>
          <w:lang w:eastAsia="zh-CN"/>
        </w:rPr>
        <w:t>、多选?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某工程双代号网络计划中各个节点的最早时间和最迟时间如下图所示。该计划表明（）。</w:t>
      </w:r>
      <w:r>
        <w:rPr>
          <w:rFonts w:ascii="宋体" w:eastAsia="宋体" w:hAnsi="宋体" w:cs="宋体"/>
          <w:outline w:val="0"/>
          <w:shadow w:val="0"/>
          <w:emboss w:val="0"/>
          <w:imprint w:val="0"/>
          <w:vanish w:val="0"/>
          <w:w w:val="100"/>
          <w:sz w:val="28"/>
          <w:szCs w:val="28"/>
          <w:u w:val="none"/>
        </w:rPr>
        <w:pict>
          <v:shape id="_x0000_i1032" type="#_x0000_t75" style="width:334.5pt;height:116.25pt" coordsize="21600,21600" o:preferrelative="t" filled="f" stroked="f">
            <v:stroke joinstyle="miter"/>
            <v:imagedata r:id="rId18" r:href="rId19" o:title=""/>
            <o:lock v:ext="edit" aspectratio="t"/>
            <w10:anchorlock/>
          </v:shape>
        </w:pic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A.工作1-2和工作1-3同为关键工作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B.工作2-5的总时差与自由时差相等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C.工作3-5与工作4-7的自由时差相等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D.工作3-6的总时差与自由时差相等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E.工作5-7和工作6-7同为非关键工作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55、多选 按照项目经理的权限的不同，矩阵制组织可分为（）。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A.强矩阵组织形式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B.中矩阵组织形式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C.大矩阵组织形式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D.小矩阵组织形式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E.弱矩阵组织形式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56、多选 根据我国《合同法》，下列关于要约和承诺的说明，正确的是（）。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A.合同的成立，必须要经过要约邀请、要约和承诺三个阶段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B.要约达到受要约人时生效，承诺通知发出时生效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C.要约可以不具备合同的主要条款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D.要约可以撤回，也可以撤销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E.承诺可以撤回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57、单选 现金流量图是一种反映经济系统资金运动（）的图式。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A.方向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B.状态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C.速率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D.规律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58、多选 职能制组织机构 的主要优点是（）。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A.保持了统一指挥的特点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B.权力集中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C.结构简单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D.注意发挥各类专家在项目管理中的作用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E.强调管理业务的专门化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59、单选 当评价计算期不同的互斥方案的经济效果时，可采用的动态评价方法是（）。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A.年折算费用法和增量内部收益率法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B.综合总费用法和无限期计算法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C.研究期法和最小公倍数法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D.增量投资收益率法和年费用法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年折算费用法、综合总费用法和增量投资收益率法是静态的评价方法；增量内部收益率法、年费用法、无限期计算法、研究期法和最小公倍数法是动态的评价方法，它们都可以评价计算期不同的互斥方案。作为考题，经常是将各个方法进行组合后作为备选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60、多选 投资收益率指标的不足之处是（）。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A.经济意义不够明确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B.没有考虑投资收益的时间因素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C.计算复杂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D.忽视了资金具有时间价值的重要性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E.不能适用于各种投资规模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61、单选 施工成本管理中，成本控制的方法不包括（）。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A.成本分析表法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B.工期-成本同步分析法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C.会计核算法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D.价值工程法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62、多选 关于费用偏差分析的说法中，错误的是（）。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A.累计偏差分析需要以局部偏差分析结果为基础进行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B.进行费用偏差分析时，只能采用绝对偏差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C.绝对偏差与相对偏差既不受工程项目层次的限制，也不受工程项目实施时间的限制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D.造成局部偏差的原因一般较为明确，分析结果较为可靠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E.费用偏差既可用于工程项目内部的偏差分析，也可用于工程项目之间的偏差比较</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5"/>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B错误，在各种费用比较中绝对偏差与相对偏差均可采用。E错误，费用偏差或进度偏差主要适用于工程项目内部的偏差分析。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63、多选 下列关于资金成本的说法正确的有（）。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A.当总体经济环境比较繁荣的时候，资金成本一般比较高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B.证券市场越完善，资金成本越高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C.当企业所在的行业比较稳定，而且企业的经济效益较好时，筹资的资金成本较低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D.企业的融资规模越大，资金成本越高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E.预计的投资项目风险水平越低，筹资的资金成本越低</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当总体经济环境比较繁荣的时候，资金成本一般比较高。企业的融资规模越大，资金成本越高。当企业所在的行业比较稳定，而且企业的经济效益较好时，筹资的资金成本较低。预计的投资项目风险水平越低，筹资的资金成本越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64、单选 某企业年初向银行借款1000万元，年复利利率为8%。银行规定每半年计息一次，若企业向银行所借的本金和产生的利息均在第3年年末一次向银行支付，则支付额为（）万元。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A.1260.55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B.1265.32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C.1280.65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D.1360.49</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该题考核的是复利计算。第t年末复利本利和F的表达式如下：</w:t>
      </w:r>
      <w:r>
        <w:rPr>
          <w:rFonts w:ascii="宋体" w:eastAsia="宋体" w:hAnsi="宋体" w:cs="宋体"/>
          <w:outline w:val="0"/>
          <w:shadow w:val="0"/>
          <w:emboss w:val="0"/>
          <w:imprint w:val="0"/>
          <w:vanish w:val="0"/>
          <w:w w:val="100"/>
          <w:sz w:val="28"/>
          <w:szCs w:val="28"/>
          <w:u w:val="none"/>
        </w:rPr>
        <w:pict>
          <v:shape id="_x0000_i1033" type="#_x0000_t75" style="width:364.5pt;height:41.25pt" coordsize="21600,21600" o:preferrelative="t" filled="f" stroked="f">
            <v:stroke joinstyle="miter"/>
            <v:imagedata r:id="rId20" r:href="rId21" o:title=""/>
            <o:lock v:ext="edit" aspectratio="t"/>
            <w10:anchorlock/>
          </v:shape>
        </w:pic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65、单选 仲裁裁决具有法律（）。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A.执行力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B.公信力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C.约束力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D.强制力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66、多选 固定资产的折旧方法包括（）。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A.平均年限法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B.工作量法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C.双倍余额递减法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D.表格核算法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E.挣值分析法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67、单选 下列方法中，（）是质量控制的静态分析方法，反映的是质量在某一段时间里的静止状态。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A.排列图法、直方图法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B.因果分析图法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C.香蕉曲线法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D.S曲线法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68、单选 根据《招标投标法》的规定，依法必须进行招标的项目，自招标文件开始发出之日起至投标人提交投标文件截止之日止，最短不得少于（）d。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69、多选 美国工程造价咨询行业的特点是（）。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A.具有较完备的法律保障体系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B.具有较成熟的社会化管理体系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C.具有良好的信誉评价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D.具有广阔的发展前景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E.拥有现代化的管理手段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70、单选 契税实行（）的幅度税率。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D.3%～7%</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71、多选 在正常情况工程质量的最低保修期限为（）。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A.电气管道为2年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B.给排水管道为3年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C.屋面防水工程为3年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D.地基基础工程为100年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E.装修工程为3年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72、单选 某公司拟向租赁公司租赁一台设备，该设备的价格为80万元，租期为5年，每年年末支付租金，折现率为10%，附加率为4%，采用附加率法，该企业每年向租赁公司支付租赁费为（）万元。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A.20.80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B.22.8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7"/>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C.26.96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D.27.20</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本题考查设备租赁中租金计算的附加率法：</w:t>
      </w:r>
      <w:r>
        <w:rPr>
          <w:rFonts w:ascii="宋体" w:eastAsia="宋体" w:hAnsi="宋体" w:cs="宋体"/>
          <w:outline w:val="0"/>
          <w:shadow w:val="0"/>
          <w:emboss w:val="0"/>
          <w:imprint w:val="0"/>
          <w:vanish w:val="0"/>
          <w:w w:val="100"/>
          <w:sz w:val="28"/>
          <w:szCs w:val="28"/>
          <w:u w:val="none"/>
        </w:rPr>
        <w:pict>
          <v:shape id="_x0000_i1034" type="#_x0000_t75" style="width:183pt;height:35.25pt" coordsize="21600,21600" o:preferrelative="t" filled="f" stroked="f">
            <v:stroke joinstyle="miter"/>
            <v:imagedata r:id="rId22" r:href="rId23" o:title=""/>
            <o:lock v:ext="edit" aspectratio="t"/>
            <w10:anchorlock/>
          </v:shape>
        </w:pict>
      </w:r>
      <w:r>
        <w:rPr>
          <w:rFonts w:ascii="宋体" w:eastAsia="宋体" w:hAnsi="宋体" w:cs="宋体" w:hint="eastAsia"/>
          <w:outline w:val="0"/>
          <w:shadow w:val="0"/>
          <w:emboss w:val="0"/>
          <w:imprint w:val="0"/>
          <w:vanish w:val="0"/>
          <w:w w:val="100"/>
          <w:sz w:val="28"/>
          <w:szCs w:val="28"/>
          <w:u w:val="none"/>
        </w:rPr>
        <w:t>式中P-租赁资产的价格；N--出租人预定的总租期数，一般为设备的经济寿命，可按月、季、半年、年计；i--与总租期数对应的折现率；r--附加率，一般根据设备的技术经济性和租赁、付费的条件确定。即：</w:t>
      </w:r>
      <w:r>
        <w:rPr>
          <w:rFonts w:ascii="宋体" w:eastAsia="宋体" w:hAnsi="宋体" w:cs="宋体"/>
          <w:outline w:val="0"/>
          <w:shadow w:val="0"/>
          <w:emboss w:val="0"/>
          <w:imprint w:val="0"/>
          <w:vanish w:val="0"/>
          <w:w w:val="100"/>
          <w:sz w:val="28"/>
          <w:szCs w:val="28"/>
          <w:u w:val="none"/>
        </w:rPr>
        <w:pict>
          <v:shape id="_x0000_i1035" type="#_x0000_t75" style="width:221.25pt;height:34.5pt" coordsize="21600,21600" o:preferrelative="t" filled="f" stroked="f">
            <v:stroke joinstyle="miter"/>
            <v:imagedata r:id="rId24" r:href="rId25" o:title=""/>
            <o:lock v:ext="edit" aspectratio="t"/>
            <w10:anchorlock/>
          </v:shape>
        </w:pic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73、多选 下面关于功能分析说法正确的有（）。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A.功能分析是价值工程的核心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B.功能分析的目的是量化功能值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C.功能分析的目的是弄清功能之间的关系，调整功能间比重，使产品的功能结构更合理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D.功能分析只分析重要功能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E.功能分析的依据是功能系统图</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价值工程的核心是功能分析，功能分析的目的是使产品功能结构更合理，研究功能结构需借助功能系统图。价值工程中的功能是必要功能，而不仅仅是重要功能。另外．功能量化主要是功能评价的内容。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74、单选 诉讼时效的中止是指在诉讼时效期间的最后（）内，由于不可抗力或其他障碍，权利人不能行使请求权，诉讼时效期间暂停计算，从障碍消除之日起，诉讼时效期间继续计算。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A.1个月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B.3个月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C.6个月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75、单选 某公司发行优先股股票，票面额按正常市价计算为100万元，筹资费费率为3%，股息年利率为12%，则其资金成本率为（）。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A.11.32%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B.11.56%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C.12.40%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D.12.78%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76、单选 已知名义年利率为12%，一年计息12次，则半年的有效利率和 名义利率分别为（）。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8"/>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A.6.2%，6%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B.12.7%，12%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C.5.83%，6.2%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D.6.35%，6%</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i＝（1＋r／m）-1，其中r／m为计息周期利率，m为利率周期计息次数。在本题中，利率周期为半年，半年分为6个月，每月计息一次，共计息6次。每月的利率是12%÷12＝1%。因此半年的有效利率为（1＋1%）6-1＝6.2%，半年的名义利率为1%×6＝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77、单选 按（）分类，产品的功能一般可分为基本功能和辅助功能两类。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A.功能的性质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B.功能的重要程度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C.用户需求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D.功能的量化标准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78、单选 网络计划资源优化的前提条件是不包括（）。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A.在优化过程中，不改变网络计划中各项工作之间的逻辑关系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B.在优化过程中，可以改变网络计划中各项工作的持续时间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C.除规定可中断的工作外，一般不允许中断工作，应保持其连续性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D.网络计划中各项工作的资源强度（单位时间所需资源数量）为常数，而且是合理的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79、单选 投资者在进行投资方案的经济评价时要考虑诸多因素，为了限制对风险大、盈利低的项目进行投资，可以采取提高（）的办法。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A.内部收益率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B.基准收益率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C.投资收益率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D.投资报酬率</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考查基准收益率i的确定。基准收益率的确定一般以行业的平均收益率为基础，同时综合考虑资金成本、投资风险、通货膨胀以及资金限制等影响因素。为了限制对风险大、盈利低的项目进行投资，可以采取提高基准收益率的办法来进行投资方案的经济评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80、多选 评标中，下列情况评标委员会应当否决的是（）。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A.投标联合体没有提交共同投标协议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B.投标人有串通投标、弄虚作假、行贿等违法行为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C.投标人不符合国家或者招标文件规定的资格条件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D.投标报价低于成本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E.投标人之间约定中标人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81、单选 项目管理规划大纲应由（）编制。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A.企业管理层在投标之前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B.项目经理部在投标之前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C.企业管理层在开工之前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D.项目经理部在开工之前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82、多选 对于生产企业，应优先选择为价值工程的对象的情形有（）。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A.结构复杂或落后的产品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B.制造工序多或制造方法落后及手工劳动较多的产品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C.原材料种类繁多和互换材料较多的产品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D.在总成本中所占比重大的产品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E.废品率高的和关键性的产品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83、多选 根据《价格法》的规定，政府在必要时可以实行政府指导价或政府定价的商品或服务价格的有（）。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A.与国民经济发展和人民生活关系重大的极少数商品价格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B.资源稀缺的少数商品价格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C.自然垄断经营的商品价格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D.重要的公用事业价格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E.季节性、积压商品的价格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84、单选 工程竣工验收合格之后，发包人应在缺陷责任期届满（）日内，退还缺陷责任期保函。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85、单选 敏感性分析不仅可以使决策者了解不确定因素对评价指标的影响，从而提高决策的准确性，还可以启发评价者对那些较为敏感的因素重新进行分析研究，以提高预测的（）。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A.科学性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B.准确性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C.可靠性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D.敏感性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lang w:eastAsia="zh-CN"/>
        </w:rPr>
        <w:br/>
      </w:r>
      <w:r>
        <w:rPr>
          <w:rFonts w:ascii="宋体" w:eastAsia="宋体" w:hAnsi="宋体" w:cs="宋体" w:hint="eastAsia"/>
          <w:outline w:val="0"/>
          <w:shadow w:val="0"/>
          <w:emboss w:val="0"/>
          <w:imprint w:val="0"/>
          <w:vanish w:val="0"/>
          <w:w w:val="100"/>
          <w:sz w:val="28"/>
          <w:szCs w:val="28"/>
          <w:u w:val="none"/>
          <w:lang w:eastAsia="zh-CN"/>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https://d.book118.com/718113100065006041</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p>
    <w:sectPr>
      <w:type w:val="nextPage"/>
      <w:pgSz w:w="11906" w:h="16838"/>
      <w:pgMar w:top="1440" w:right="1080" w:bottom="1440" w:left="108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74B"/>
    <w:rsid w:val="002B1D86"/>
    <w:rsid w:val="008D374B"/>
    <w:rsid w:val="32D030C4"/>
    <w:rsid w:val="3F6232DF"/>
    <w:rsid w:val="75B174D8"/>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http://www.91exam.org/91files/2016072313/rajbdlqrivm.gif" TargetMode="External" /><Relationship Id="rId12" Type="http://schemas.openxmlformats.org/officeDocument/2006/relationships/image" Target="media/image5.png" /><Relationship Id="rId13" Type="http://schemas.openxmlformats.org/officeDocument/2006/relationships/image" Target="http://www.91exam.org/91files/2016072312/4bwipbrso4e.gif" TargetMode="External" /><Relationship Id="rId14" Type="http://schemas.openxmlformats.org/officeDocument/2006/relationships/image" Target="media/image6.png" /><Relationship Id="rId15" Type="http://schemas.openxmlformats.org/officeDocument/2006/relationships/image" Target="http://www.91exam.org/91files/2016072313/0qgvlpyxy5y.gif" TargetMode="External" /><Relationship Id="rId16" Type="http://schemas.openxmlformats.org/officeDocument/2006/relationships/image" Target="media/image7.png" /><Relationship Id="rId17" Type="http://schemas.openxmlformats.org/officeDocument/2006/relationships/image" Target="http://www.91exam.org/91files/2016072312/rufvywzsosn.gif" TargetMode="External" /><Relationship Id="rId18" Type="http://schemas.openxmlformats.org/officeDocument/2006/relationships/image" Target="media/image8.png" /><Relationship Id="rId19" Type="http://schemas.openxmlformats.org/officeDocument/2006/relationships/image" Target="http://www.91exam.org/91files/2016072313/y1bkwfvjrmz.gif" TargetMode="External" /><Relationship Id="rId2" Type="http://schemas.openxmlformats.org/officeDocument/2006/relationships/webSettings" Target="webSettings.xml" /><Relationship Id="rId20" Type="http://schemas.openxmlformats.org/officeDocument/2006/relationships/image" Target="media/image9.png" /><Relationship Id="rId21" Type="http://schemas.openxmlformats.org/officeDocument/2006/relationships/image" Target="http://www.91exam.org/91files/2016072314/m21nr3fkmdq.gif" TargetMode="External" /><Relationship Id="rId22" Type="http://schemas.openxmlformats.org/officeDocument/2006/relationships/image" Target="media/image10.png" /><Relationship Id="rId23" Type="http://schemas.openxmlformats.org/officeDocument/2006/relationships/image" Target="http://www.91exam.org/91files/2016072314/1vnot05avll.gif" TargetMode="External" /><Relationship Id="rId24" Type="http://schemas.openxmlformats.org/officeDocument/2006/relationships/image" Target="media/image11.png" /><Relationship Id="rId25" Type="http://schemas.openxmlformats.org/officeDocument/2006/relationships/image" Target="http://www.91exam.org/91files/2016072314/rh4g5qhhdn1.gif" TargetMode="External" /><Relationship Id="rId26" Type="http://schemas.openxmlformats.org/officeDocument/2006/relationships/hyperlink" Target="https://d.book118.com/718113100065006041" TargetMode="External" /><Relationship Id="rId27" Type="http://schemas.openxmlformats.org/officeDocument/2006/relationships/theme" Target="theme/theme1.xml" /><Relationship Id="rId28"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http://www.91exam.org/91files/2016072314/n3rxjfjs4zj.gif" TargetMode="External" /><Relationship Id="rId6" Type="http://schemas.openxmlformats.org/officeDocument/2006/relationships/image" Target="media/image2.png" /><Relationship Id="rId7" Type="http://schemas.openxmlformats.org/officeDocument/2006/relationships/image" Target="http://www.91exam.org/91files/2016072315/0bmjdcpd1i4.gif" TargetMode="External" /><Relationship Id="rId8" Type="http://schemas.openxmlformats.org/officeDocument/2006/relationships/image" Target="media/image3.png" /><Relationship Id="rId9" Type="http://schemas.openxmlformats.org/officeDocument/2006/relationships/image" Target="http://www.91exam.org/91files/2016072313/xhmtgi4nxgg.gif"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4811</Words>
  <Characters>27427</Characters>
  <Application>Microsoft Office Word</Application>
  <DocSecurity>0</DocSecurity>
  <Lines>228</Lines>
  <Paragraphs>64</Paragraphs>
  <ScaleCrop>false</ScaleCrop>
  <Company/>
  <LinksUpToDate>false</LinksUpToDate>
  <CharactersWithSpaces>32174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2024-02-05T17:55:00Z</dcterms:created>
  <dcterms:modified xsi:type="dcterms:W3CDTF">2024-03-01T01:25:25Z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531AAE0427C643D4ADD6DD6FDACF1A77_13</vt:lpwstr>
  </property>
  <property fmtid="{D5CDD505-2E9C-101B-9397-08002B2CF9AE}" pid="3" name="KSOProductBuildVer">
    <vt:lpwstr>2052-12.1.0.16399</vt:lpwstr>
  </property>
</Properties>
</file>