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colors2.xml" ContentType="application/vnd.ms-office.chartcolorstyle+xml"/>
  <Override PartName="/word/charts/chart/colors3.xml" ContentType="application/vnd.ms-office.chartcolorstyle+xml"/>
  <Override PartName="/word/charts/chart/style1.xml" ContentType="application/vnd.ms-office.chartstyle+xml"/>
  <Override PartName="/word/charts/chart/style2.xml" ContentType="application/vnd.ms-office.chartstyle+xml"/>
  <Override PartName="/word/charts/chart/style3.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keepNext/>
        <w:keepLines/>
        <w:tabs>
          <w:tab w:val="right" w:leader="dot" w:pos="7560"/>
          <w:tab w:val="center" w:leader="dot" w:pos="7980"/>
        </w:tabs>
        <w:snapToGrid w:val="0"/>
        <w:spacing w:before="156" w:beforeLines="50" w:line="300" w:lineRule="auto"/>
        <w:rPr>
          <w:rFonts w:ascii="宋体" w:eastAsia="宋体" w:hAnsi="宋体" w:cs="宋体" w:hint="eastAsia"/>
          <w:b w:val="0"/>
          <w:bCs w:val="0"/>
          <w:color w:val="000000"/>
          <w:sz w:val="28"/>
          <w:szCs w:val="28"/>
          <w:lang w:eastAsia="zh-CN"/>
        </w:rPr>
      </w:pPr>
      <w:r>
        <w:rPr>
          <w:rFonts w:ascii="宋体" w:hAnsi="宋体" w:hint="eastAsia"/>
          <w:sz w:val="32"/>
          <w:u w:val="single"/>
        </w:rPr>
        <w:t>新冠肺炎疫情对我国纺织服装贸易的影响</w:t>
      </w:r>
      <w:r>
        <w:rPr>
          <w:rFonts w:ascii="宋体" w:hAnsi="宋体" w:hint="eastAsia"/>
          <w:sz w:val="32"/>
          <w:u w:val="single"/>
          <w:lang w:eastAsia="zh-CN"/>
        </w:rPr>
        <w:t>研究</w:t>
      </w:r>
    </w:p>
    <w:p>
      <w:pPr>
        <w:pStyle w:val="Title"/>
        <w:keepNext/>
        <w:keepLines/>
        <w:numPr>
          <w:ilvl w:val="0"/>
          <w:numId w:val="1"/>
        </w:numPr>
        <w:tabs>
          <w:tab w:val="right" w:leader="dot" w:pos="7560"/>
          <w:tab w:val="center" w:leader="dot" w:pos="7980"/>
        </w:tabs>
        <w:snapToGrid w:val="0"/>
        <w:spacing w:before="156" w:beforeLines="50" w:line="300" w:lineRule="auto"/>
        <w:rPr>
          <w:rFonts w:ascii="宋体" w:hAnsi="宋体" w:cs="宋体"/>
          <w:color w:val="000000"/>
          <w:sz w:val="28"/>
          <w:szCs w:val="28"/>
        </w:rPr>
      </w:pPr>
      <w:r>
        <w:rPr>
          <w:rFonts w:ascii="宋体" w:hAnsi="宋体" w:cs="宋体" w:hint="eastAsia"/>
          <w:color w:val="000000"/>
          <w:sz w:val="28"/>
          <w:szCs w:val="28"/>
        </w:rPr>
        <w:t>绪论</w:t>
      </w:r>
      <w:r>
        <w:rPr>
          <w:rFonts w:ascii="宋体" w:hAnsi="宋体" w:cs="宋体" w:hint="eastAsia"/>
          <w:color w:val="000000"/>
          <w:sz w:val="28"/>
          <w:szCs w:val="28"/>
        </w:rPr>
        <w:tab/>
      </w:r>
      <w:r>
        <w:rPr>
          <w:rFonts w:ascii="宋体" w:hAnsi="宋体" w:cs="宋体" w:hint="eastAsia"/>
          <w:color w:val="000000"/>
          <w:sz w:val="28"/>
          <w:szCs w:val="28"/>
        </w:rPr>
        <w:t>1</w:t>
      </w:r>
    </w:p>
    <w:p>
      <w:pPr>
        <w:pStyle w:val="Title"/>
        <w:keepNext/>
        <w:keepLines/>
        <w:tabs>
          <w:tab w:val="right" w:leader="dot" w:pos="7560"/>
          <w:tab w:val="center" w:leader="dot" w:pos="7980"/>
        </w:tabs>
        <w:snapToGrid w:val="0"/>
        <w:spacing w:before="156" w:beforeLines="50" w:line="300" w:lineRule="auto"/>
        <w:rPr>
          <w:rFonts w:ascii="宋体" w:hAnsi="宋体" w:cs="宋体"/>
          <w:b w:val="0"/>
          <w:bCs w:val="0"/>
          <w:color w:val="000000"/>
          <w:spacing w:val="-2"/>
          <w:sz w:val="24"/>
        </w:rPr>
      </w:pPr>
      <w:r>
        <w:rPr>
          <w:rFonts w:ascii="宋体" w:hAnsi="宋体" w:cs="宋体" w:hint="eastAsia"/>
          <w:b w:val="0"/>
          <w:bCs w:val="0"/>
          <w:color w:val="000000"/>
          <w:sz w:val="24"/>
        </w:rPr>
        <w:t>1.1研究背景与意义</w:t>
      </w:r>
      <w:r>
        <w:rPr>
          <w:rFonts w:ascii="宋体" w:hAnsi="宋体" w:cs="宋体" w:hint="eastAsia"/>
          <w:b w:val="0"/>
          <w:bCs w:val="0"/>
          <w:color w:val="000000"/>
          <w:sz w:val="24"/>
        </w:rPr>
        <w:tab/>
      </w:r>
      <w:r>
        <w:rPr>
          <w:rFonts w:ascii="宋体" w:hAnsi="宋体" w:cs="宋体" w:hint="eastAsia"/>
          <w:b w:val="0"/>
          <w:bCs w:val="0"/>
          <w:color w:val="000000"/>
          <w:spacing w:val="-2"/>
          <w:sz w:val="24"/>
        </w:rPr>
        <w:t>1</w:t>
      </w:r>
    </w:p>
    <w:p>
      <w:pPr>
        <w:keepNext/>
        <w:keepLines/>
        <w:tabs>
          <w:tab w:val="right" w:leader="dot" w:pos="7560"/>
          <w:tab w:val="center" w:leader="dot" w:pos="7980"/>
        </w:tabs>
        <w:spacing w:line="300" w:lineRule="auto"/>
        <w:jc w:val="center"/>
        <w:rPr>
          <w:rFonts w:ascii="宋体" w:hAnsi="宋体" w:cs="宋体"/>
          <w:color w:val="000000"/>
          <w:spacing w:val="2"/>
          <w:sz w:val="24"/>
        </w:rPr>
      </w:pPr>
      <w:r>
        <w:rPr>
          <w:rFonts w:ascii="宋体" w:hAnsi="宋体" w:cs="宋体" w:hint="eastAsia"/>
          <w:color w:val="000000"/>
          <w:sz w:val="24"/>
        </w:rPr>
        <w:t>1.2文献综述</w:t>
      </w:r>
      <w:r>
        <w:rPr>
          <w:rFonts w:ascii="宋体" w:hAnsi="宋体" w:cs="宋体" w:hint="eastAsia"/>
          <w:color w:val="000000"/>
          <w:sz w:val="24"/>
        </w:rPr>
        <w:tab/>
      </w:r>
      <w:r>
        <w:rPr>
          <w:rFonts w:ascii="宋体" w:hAnsi="宋体" w:cs="宋体" w:hint="eastAsia"/>
          <w:color w:val="000000"/>
          <w:spacing w:val="2"/>
          <w:sz w:val="24"/>
        </w:rPr>
        <w:t>2</w:t>
      </w:r>
    </w:p>
    <w:p>
      <w:pPr>
        <w:keepNext/>
        <w:keepLines/>
        <w:tabs>
          <w:tab w:val="right" w:leader="dot" w:pos="7560"/>
          <w:tab w:val="center" w:leader="dot" w:pos="7980"/>
        </w:tabs>
        <w:spacing w:line="300" w:lineRule="auto"/>
        <w:jc w:val="center"/>
        <w:rPr>
          <w:rFonts w:ascii="宋体" w:hAnsi="宋体" w:cs="宋体"/>
          <w:color w:val="000000"/>
          <w:spacing w:val="2"/>
          <w:sz w:val="24"/>
        </w:rPr>
      </w:pPr>
      <w:r>
        <w:rPr>
          <w:rFonts w:ascii="宋体" w:hAnsi="宋体" w:cs="宋体" w:hint="eastAsia"/>
          <w:color w:val="000000"/>
          <w:sz w:val="24"/>
        </w:rPr>
        <w:t>1.3研究内容与方法</w:t>
      </w:r>
      <w:r>
        <w:rPr>
          <w:rFonts w:ascii="宋体" w:hAnsi="宋体" w:cs="宋体" w:hint="eastAsia"/>
          <w:color w:val="000000"/>
          <w:sz w:val="24"/>
        </w:rPr>
        <w:tab/>
      </w:r>
      <w:r>
        <w:rPr>
          <w:rFonts w:ascii="宋体" w:hAnsi="宋体" w:cs="宋体" w:hint="eastAsia"/>
          <w:color w:val="000000"/>
          <w:sz w:val="24"/>
        </w:rPr>
        <w:t>5</w:t>
      </w:r>
    </w:p>
    <w:p>
      <w:pPr>
        <w:keepNext/>
        <w:keepLines/>
        <w:tabs>
          <w:tab w:val="right" w:leader="dot" w:pos="7560"/>
          <w:tab w:val="center" w:leader="dot" w:pos="7980"/>
        </w:tabs>
        <w:spacing w:line="300" w:lineRule="auto"/>
        <w:jc w:val="center"/>
        <w:rPr>
          <w:rFonts w:ascii="宋体" w:hAnsi="宋体" w:cs="宋体"/>
          <w:color w:val="000000"/>
          <w:spacing w:val="2"/>
          <w:sz w:val="24"/>
        </w:rPr>
      </w:pPr>
      <w:r>
        <w:rPr>
          <w:rFonts w:ascii="宋体" w:hAnsi="宋体" w:cs="宋体" w:hint="eastAsia"/>
          <w:color w:val="000000"/>
          <w:sz w:val="24"/>
        </w:rPr>
        <w:t>1.4研究的技术路线</w:t>
      </w:r>
      <w:r>
        <w:rPr>
          <w:rFonts w:ascii="宋体" w:hAnsi="宋体" w:cs="宋体" w:hint="eastAsia"/>
          <w:color w:val="000000"/>
          <w:sz w:val="24"/>
        </w:rPr>
        <w:tab/>
      </w:r>
      <w:r>
        <w:rPr>
          <w:rFonts w:ascii="宋体" w:hAnsi="宋体" w:cs="宋体" w:hint="eastAsia"/>
          <w:color w:val="000000"/>
          <w:sz w:val="24"/>
        </w:rPr>
        <w:t>7</w:t>
      </w:r>
    </w:p>
    <w:p>
      <w:pPr>
        <w:pStyle w:val="Title"/>
        <w:keepNext/>
        <w:keepLines/>
        <w:tabs>
          <w:tab w:val="right" w:leader="dot" w:pos="7560"/>
          <w:tab w:val="center" w:leader="dot" w:pos="7980"/>
        </w:tabs>
        <w:snapToGrid w:val="0"/>
        <w:spacing w:before="156" w:beforeLines="50" w:line="300" w:lineRule="auto"/>
        <w:rPr>
          <w:rFonts w:ascii="宋体" w:hAnsi="宋体" w:cs="宋体"/>
          <w:color w:val="000000"/>
          <w:sz w:val="28"/>
          <w:szCs w:val="28"/>
        </w:rPr>
      </w:pPr>
      <w:r>
        <w:rPr>
          <w:rFonts w:ascii="宋体" w:hAnsi="宋体" w:cs="宋体" w:hint="eastAsia"/>
          <w:color w:val="000000"/>
          <w:sz w:val="28"/>
          <w:szCs w:val="28"/>
        </w:rPr>
        <w:t>第二章  我国纺织服装贸易发展现状分析</w:t>
      </w:r>
      <w:r>
        <w:rPr>
          <w:rFonts w:ascii="宋体" w:hAnsi="宋体" w:cs="宋体" w:hint="eastAsia"/>
          <w:color w:val="000000"/>
          <w:sz w:val="28"/>
          <w:szCs w:val="28"/>
        </w:rPr>
        <w:tab/>
      </w:r>
      <w:r>
        <w:rPr>
          <w:rFonts w:ascii="宋体" w:hAnsi="宋体" w:cs="宋体" w:hint="eastAsia"/>
          <w:color w:val="000000"/>
          <w:sz w:val="28"/>
          <w:szCs w:val="28"/>
        </w:rPr>
        <w:t>8</w:t>
      </w:r>
    </w:p>
    <w:p>
      <w:pPr>
        <w:pStyle w:val="Title"/>
        <w:keepNext/>
        <w:keepLines/>
        <w:tabs>
          <w:tab w:val="right" w:leader="dot" w:pos="7560"/>
          <w:tab w:val="center" w:leader="dot" w:pos="7980"/>
        </w:tabs>
        <w:snapToGrid w:val="0"/>
        <w:spacing w:before="156" w:beforeLines="50" w:line="300" w:lineRule="auto"/>
        <w:rPr>
          <w:rFonts w:ascii="宋体" w:hAnsi="宋体" w:cs="宋体"/>
          <w:b w:val="0"/>
          <w:bCs w:val="0"/>
          <w:color w:val="000000"/>
          <w:spacing w:val="-2"/>
          <w:sz w:val="24"/>
        </w:rPr>
      </w:pPr>
      <w:r>
        <w:rPr>
          <w:rFonts w:ascii="宋体" w:hAnsi="宋体" w:cs="宋体" w:hint="eastAsia"/>
          <w:b w:val="0"/>
          <w:bCs w:val="0"/>
          <w:color w:val="000000"/>
          <w:sz w:val="24"/>
        </w:rPr>
        <w:t>2.1我国纺织服装产品出口现状</w:t>
      </w:r>
      <w:r>
        <w:rPr>
          <w:rFonts w:ascii="宋体" w:hAnsi="宋体" w:cs="宋体" w:hint="eastAsia"/>
          <w:b w:val="0"/>
          <w:bCs w:val="0"/>
          <w:color w:val="000000"/>
          <w:sz w:val="24"/>
        </w:rPr>
        <w:tab/>
      </w:r>
      <w:r>
        <w:rPr>
          <w:rFonts w:ascii="宋体" w:hAnsi="宋体" w:cs="宋体" w:hint="eastAsia"/>
          <w:b w:val="0"/>
          <w:bCs w:val="0"/>
          <w:color w:val="000000"/>
          <w:sz w:val="24"/>
        </w:rPr>
        <w:t>8</w:t>
      </w:r>
    </w:p>
    <w:p>
      <w:pPr>
        <w:pStyle w:val="Title"/>
        <w:keepNext/>
        <w:keepLines/>
        <w:tabs>
          <w:tab w:val="right" w:leader="dot" w:pos="7560"/>
          <w:tab w:val="center" w:leader="dot" w:pos="7980"/>
        </w:tabs>
        <w:snapToGrid w:val="0"/>
        <w:spacing w:before="156" w:beforeLines="50" w:line="300" w:lineRule="auto"/>
        <w:rPr>
          <w:rFonts w:ascii="宋体" w:hAnsi="宋体" w:cs="宋体"/>
          <w:b w:val="0"/>
          <w:bCs w:val="0"/>
          <w:color w:val="000000"/>
          <w:spacing w:val="-2"/>
          <w:sz w:val="24"/>
        </w:rPr>
      </w:pPr>
      <w:r>
        <w:rPr>
          <w:rFonts w:ascii="宋体" w:hAnsi="宋体" w:cs="宋体" w:hint="eastAsia"/>
          <w:b w:val="0"/>
          <w:bCs w:val="0"/>
          <w:color w:val="000000"/>
          <w:spacing w:val="-2"/>
          <w:sz w:val="24"/>
        </w:rPr>
        <w:t>2.2我国纺织产品出口主要种类</w:t>
      </w:r>
      <w:r>
        <w:rPr>
          <w:rFonts w:ascii="宋体" w:hAnsi="宋体" w:cs="宋体" w:hint="eastAsia"/>
          <w:b w:val="0"/>
          <w:bCs w:val="0"/>
          <w:color w:val="000000"/>
          <w:spacing w:val="-2"/>
          <w:sz w:val="24"/>
        </w:rPr>
        <w:tab/>
      </w:r>
      <w:r>
        <w:rPr>
          <w:rFonts w:ascii="宋体" w:hAnsi="宋体" w:cs="宋体" w:hint="eastAsia"/>
          <w:b w:val="0"/>
          <w:bCs w:val="0"/>
          <w:color w:val="000000"/>
          <w:spacing w:val="-2"/>
          <w:sz w:val="24"/>
        </w:rPr>
        <w:t>10</w:t>
      </w:r>
    </w:p>
    <w:p>
      <w:pPr>
        <w:pStyle w:val="Title"/>
        <w:keepNext/>
        <w:keepLines/>
        <w:tabs>
          <w:tab w:val="right" w:leader="dot" w:pos="7560"/>
          <w:tab w:val="center" w:leader="dot" w:pos="7980"/>
        </w:tabs>
        <w:snapToGrid w:val="0"/>
        <w:spacing w:before="156" w:beforeLines="50" w:line="300" w:lineRule="auto"/>
        <w:rPr>
          <w:rFonts w:ascii="宋体" w:hAnsi="宋体" w:cs="宋体"/>
          <w:b w:val="0"/>
          <w:bCs w:val="0"/>
          <w:color w:val="000000"/>
          <w:spacing w:val="-2"/>
          <w:sz w:val="24"/>
        </w:rPr>
      </w:pPr>
      <w:r>
        <w:rPr>
          <w:rFonts w:ascii="宋体" w:hAnsi="宋体" w:cs="宋体" w:hint="eastAsia"/>
          <w:b w:val="0"/>
          <w:bCs w:val="0"/>
          <w:color w:val="000000"/>
          <w:spacing w:val="-2"/>
          <w:sz w:val="24"/>
        </w:rPr>
        <w:t>2.3我国纺织品主要出口市场及国际市场占有率</w:t>
      </w:r>
      <w:r>
        <w:rPr>
          <w:rFonts w:ascii="宋体" w:hAnsi="宋体" w:cs="宋体" w:hint="eastAsia"/>
          <w:b w:val="0"/>
          <w:bCs w:val="0"/>
          <w:color w:val="000000"/>
          <w:spacing w:val="-2"/>
          <w:sz w:val="24"/>
        </w:rPr>
        <w:tab/>
      </w:r>
      <w:r>
        <w:rPr>
          <w:rFonts w:ascii="宋体" w:hAnsi="宋体" w:cs="宋体" w:hint="eastAsia"/>
          <w:b w:val="0"/>
          <w:bCs w:val="0"/>
          <w:color w:val="000000"/>
          <w:spacing w:val="-2"/>
          <w:sz w:val="24"/>
        </w:rPr>
        <w:t>11</w:t>
      </w:r>
    </w:p>
    <w:p>
      <w:pPr>
        <w:pStyle w:val="Title"/>
        <w:keepNext/>
        <w:keepLines/>
        <w:tabs>
          <w:tab w:val="right" w:leader="dot" w:pos="7560"/>
          <w:tab w:val="center" w:leader="dot" w:pos="7980"/>
        </w:tabs>
        <w:snapToGrid w:val="0"/>
        <w:spacing w:before="156" w:beforeLines="50" w:line="300" w:lineRule="auto"/>
        <w:rPr>
          <w:rFonts w:ascii="宋体" w:hAnsi="宋体" w:cs="宋体"/>
          <w:b w:val="0"/>
          <w:bCs w:val="0"/>
          <w:color w:val="000000"/>
          <w:spacing w:val="-2"/>
          <w:sz w:val="24"/>
        </w:rPr>
      </w:pPr>
      <w:r>
        <w:rPr>
          <w:rFonts w:ascii="宋体" w:hAnsi="宋体" w:cs="宋体" w:hint="eastAsia"/>
          <w:b w:val="0"/>
          <w:bCs w:val="0"/>
          <w:color w:val="000000"/>
          <w:spacing w:val="-2"/>
          <w:sz w:val="24"/>
        </w:rPr>
        <w:t>2.4我国纺织服装行业国际竞争力简析</w:t>
      </w:r>
      <w:r>
        <w:rPr>
          <w:rFonts w:ascii="宋体" w:hAnsi="宋体" w:cs="宋体" w:hint="eastAsia"/>
          <w:b w:val="0"/>
          <w:bCs w:val="0"/>
          <w:color w:val="000000"/>
          <w:spacing w:val="-2"/>
          <w:sz w:val="24"/>
        </w:rPr>
        <w:tab/>
      </w:r>
      <w:r>
        <w:rPr>
          <w:rFonts w:ascii="宋体" w:hAnsi="宋体" w:cs="宋体" w:hint="eastAsia"/>
          <w:b w:val="0"/>
          <w:bCs w:val="0"/>
          <w:color w:val="000000"/>
          <w:spacing w:val="-2"/>
          <w:sz w:val="24"/>
        </w:rPr>
        <w:t>13</w:t>
      </w:r>
    </w:p>
    <w:p>
      <w:pPr>
        <w:pStyle w:val="Title"/>
        <w:keepNext/>
        <w:keepLines/>
        <w:tabs>
          <w:tab w:val="right" w:leader="dot" w:pos="7560"/>
          <w:tab w:val="center" w:leader="dot" w:pos="7980"/>
        </w:tabs>
        <w:snapToGrid w:val="0"/>
        <w:spacing w:before="156" w:beforeLines="50" w:line="300" w:lineRule="auto"/>
        <w:rPr>
          <w:rFonts w:ascii="宋体" w:hAnsi="宋体" w:cs="宋体"/>
          <w:color w:val="000000"/>
          <w:spacing w:val="-2"/>
          <w:sz w:val="24"/>
        </w:rPr>
      </w:pPr>
      <w:r>
        <w:rPr>
          <w:rFonts w:ascii="宋体" w:hAnsi="宋体" w:cs="宋体" w:hint="eastAsia"/>
          <w:color w:val="000000"/>
          <w:sz w:val="28"/>
          <w:szCs w:val="28"/>
        </w:rPr>
        <w:t>第三章  新冠肺炎疫情对我国纺织服装贸易的影响分析</w:t>
      </w:r>
      <w:r>
        <w:rPr>
          <w:rFonts w:ascii="宋体" w:hAnsi="宋体" w:cs="宋体" w:hint="eastAsia"/>
          <w:color w:val="000000"/>
          <w:sz w:val="28"/>
          <w:szCs w:val="28"/>
        </w:rPr>
        <w:tab/>
      </w:r>
      <w:r>
        <w:rPr>
          <w:rFonts w:ascii="宋体" w:hAnsi="宋体" w:cs="宋体" w:hint="eastAsia"/>
          <w:color w:val="000000"/>
          <w:spacing w:val="-2"/>
          <w:sz w:val="24"/>
        </w:rPr>
        <w:t>15</w:t>
      </w:r>
    </w:p>
    <w:p>
      <w:pPr>
        <w:pStyle w:val="Title"/>
        <w:keepNext/>
        <w:keepLines/>
        <w:tabs>
          <w:tab w:val="right" w:leader="dot" w:pos="7560"/>
          <w:tab w:val="center" w:leader="dot" w:pos="7980"/>
        </w:tabs>
        <w:snapToGrid w:val="0"/>
        <w:spacing w:before="156" w:beforeLines="50" w:line="300" w:lineRule="auto"/>
        <w:rPr>
          <w:rFonts w:ascii="宋体" w:hAnsi="宋体" w:cs="宋体"/>
          <w:b w:val="0"/>
          <w:bCs w:val="0"/>
          <w:color w:val="000000"/>
          <w:spacing w:val="-2"/>
          <w:sz w:val="24"/>
        </w:rPr>
      </w:pPr>
      <w:r>
        <w:rPr>
          <w:rFonts w:ascii="宋体" w:hAnsi="宋体" w:cs="宋体" w:hint="eastAsia"/>
          <w:b w:val="0"/>
          <w:bCs w:val="0"/>
          <w:color w:val="000000"/>
          <w:spacing w:val="-2"/>
          <w:sz w:val="24"/>
        </w:rPr>
        <w:t>3.1新冠肺炎疫情对我国纺织服装贸易的消极影响</w:t>
      </w:r>
      <w:r>
        <w:rPr>
          <w:rFonts w:ascii="宋体" w:hAnsi="宋体" w:cs="宋体" w:hint="eastAsia"/>
          <w:b w:val="0"/>
          <w:bCs w:val="0"/>
          <w:color w:val="000000"/>
          <w:spacing w:val="-2"/>
          <w:sz w:val="24"/>
        </w:rPr>
        <w:tab/>
      </w:r>
      <w:r>
        <w:rPr>
          <w:rFonts w:ascii="宋体" w:hAnsi="宋体" w:cs="宋体" w:hint="eastAsia"/>
          <w:b w:val="0"/>
          <w:bCs w:val="0"/>
          <w:color w:val="000000"/>
          <w:spacing w:val="-2"/>
          <w:sz w:val="24"/>
        </w:rPr>
        <w:t>15</w:t>
      </w:r>
    </w:p>
    <w:p>
      <w:pPr>
        <w:pStyle w:val="Title"/>
        <w:keepNext/>
        <w:keepLines/>
        <w:tabs>
          <w:tab w:val="right" w:leader="dot" w:pos="7560"/>
          <w:tab w:val="center" w:leader="dot" w:pos="7980"/>
        </w:tabs>
        <w:snapToGrid w:val="0"/>
        <w:spacing w:before="156" w:beforeLines="50" w:line="300" w:lineRule="auto"/>
        <w:rPr>
          <w:rFonts w:ascii="宋体" w:hAnsi="宋体" w:cs="宋体"/>
          <w:b w:val="0"/>
          <w:bCs w:val="0"/>
          <w:color w:val="000000"/>
          <w:spacing w:val="-2"/>
          <w:sz w:val="24"/>
        </w:rPr>
      </w:pPr>
      <w:r>
        <w:rPr>
          <w:rFonts w:ascii="宋体" w:hAnsi="宋体" w:cs="宋体" w:hint="eastAsia"/>
          <w:b w:val="0"/>
          <w:bCs w:val="0"/>
          <w:color w:val="000000"/>
          <w:spacing w:val="-2"/>
          <w:sz w:val="24"/>
        </w:rPr>
        <w:t>3.2新冠肺炎疫情对我国纺织服装贸易的积极影响</w:t>
      </w:r>
      <w:r>
        <w:rPr>
          <w:rFonts w:ascii="宋体" w:hAnsi="宋体" w:cs="宋体" w:hint="eastAsia"/>
          <w:b w:val="0"/>
          <w:bCs w:val="0"/>
          <w:color w:val="000000"/>
          <w:spacing w:val="-2"/>
          <w:sz w:val="24"/>
        </w:rPr>
        <w:tab/>
      </w:r>
      <w:r>
        <w:rPr>
          <w:rFonts w:ascii="宋体" w:hAnsi="宋体" w:cs="宋体" w:hint="eastAsia"/>
          <w:b w:val="0"/>
          <w:bCs w:val="0"/>
          <w:color w:val="000000"/>
          <w:spacing w:val="-2"/>
          <w:sz w:val="24"/>
        </w:rPr>
        <w:t>17</w:t>
      </w:r>
    </w:p>
    <w:p>
      <w:pPr>
        <w:pStyle w:val="Title"/>
        <w:keepNext/>
        <w:keepLines/>
        <w:tabs>
          <w:tab w:val="right" w:leader="dot" w:pos="7560"/>
          <w:tab w:val="center" w:leader="dot" w:pos="7980"/>
        </w:tabs>
        <w:snapToGrid w:val="0"/>
        <w:spacing w:before="156" w:beforeLines="50" w:line="300" w:lineRule="auto"/>
        <w:rPr>
          <w:rFonts w:ascii="宋体" w:hAnsi="宋体" w:cs="宋体"/>
          <w:color w:val="000000"/>
          <w:spacing w:val="-2"/>
          <w:sz w:val="24"/>
        </w:rPr>
      </w:pPr>
      <w:r>
        <w:rPr>
          <w:rFonts w:ascii="宋体" w:hAnsi="宋体" w:cs="宋体" w:hint="eastAsia"/>
          <w:color w:val="000000"/>
          <w:spacing w:val="-2"/>
          <w:sz w:val="28"/>
          <w:szCs w:val="28"/>
        </w:rPr>
        <w:t>第四章  应对新冠疫情对我国纺织服装贸易消极影响的措施</w:t>
      </w:r>
      <w:r>
        <w:rPr>
          <w:rFonts w:ascii="宋体" w:hAnsi="宋体" w:cs="宋体" w:hint="eastAsia"/>
          <w:color w:val="000000"/>
          <w:spacing w:val="-2"/>
          <w:sz w:val="28"/>
          <w:szCs w:val="28"/>
        </w:rPr>
        <w:tab/>
      </w:r>
      <w:r>
        <w:rPr>
          <w:rFonts w:ascii="宋体" w:hAnsi="宋体" w:cs="宋体" w:hint="eastAsia"/>
          <w:color w:val="000000"/>
          <w:spacing w:val="-2"/>
          <w:sz w:val="28"/>
          <w:szCs w:val="28"/>
        </w:rPr>
        <w:t>19</w:t>
      </w:r>
    </w:p>
    <w:p>
      <w:pPr>
        <w:pStyle w:val="Title"/>
        <w:keepNext/>
        <w:keepLines/>
        <w:tabs>
          <w:tab w:val="right" w:leader="dot" w:pos="7560"/>
          <w:tab w:val="center" w:leader="dot" w:pos="7980"/>
        </w:tabs>
        <w:snapToGrid w:val="0"/>
        <w:spacing w:before="156" w:beforeLines="50" w:line="300" w:lineRule="auto"/>
        <w:rPr>
          <w:rFonts w:ascii="宋体" w:hAnsi="宋体" w:cs="宋体"/>
          <w:b w:val="0"/>
          <w:bCs w:val="0"/>
          <w:color w:val="000000"/>
          <w:spacing w:val="-2"/>
          <w:sz w:val="24"/>
        </w:rPr>
      </w:pPr>
      <w:r>
        <w:rPr>
          <w:rFonts w:ascii="宋体" w:hAnsi="宋体" w:cs="宋体" w:hint="eastAsia"/>
          <w:b w:val="0"/>
          <w:bCs w:val="0"/>
          <w:color w:val="000000"/>
          <w:spacing w:val="-2"/>
          <w:sz w:val="24"/>
        </w:rPr>
        <w:t>4.1国家层面</w:t>
      </w:r>
      <w:r>
        <w:rPr>
          <w:rFonts w:ascii="宋体" w:hAnsi="宋体" w:cs="宋体" w:hint="eastAsia"/>
          <w:b w:val="0"/>
          <w:bCs w:val="0"/>
          <w:color w:val="000000"/>
          <w:spacing w:val="-2"/>
          <w:sz w:val="24"/>
        </w:rPr>
        <w:tab/>
      </w:r>
      <w:r>
        <w:rPr>
          <w:rFonts w:ascii="宋体" w:hAnsi="宋体" w:cs="宋体" w:hint="eastAsia"/>
          <w:b w:val="0"/>
          <w:bCs w:val="0"/>
          <w:color w:val="000000"/>
          <w:spacing w:val="-2"/>
          <w:sz w:val="24"/>
        </w:rPr>
        <w:t>19</w:t>
      </w:r>
    </w:p>
    <w:p>
      <w:pPr>
        <w:pStyle w:val="Title"/>
        <w:keepNext/>
        <w:keepLines/>
        <w:tabs>
          <w:tab w:val="right" w:leader="dot" w:pos="7560"/>
          <w:tab w:val="center" w:leader="dot" w:pos="7980"/>
        </w:tabs>
        <w:snapToGrid w:val="0"/>
        <w:spacing w:before="156" w:beforeLines="50" w:line="300" w:lineRule="auto"/>
        <w:rPr>
          <w:rFonts w:ascii="宋体" w:hAnsi="宋体" w:cs="宋体"/>
          <w:b w:val="0"/>
          <w:bCs w:val="0"/>
          <w:color w:val="000000"/>
          <w:spacing w:val="-2"/>
          <w:sz w:val="24"/>
        </w:rPr>
      </w:pPr>
      <w:r>
        <w:rPr>
          <w:rFonts w:ascii="宋体" w:hAnsi="宋体" w:cs="宋体" w:hint="eastAsia"/>
          <w:b w:val="0"/>
          <w:bCs w:val="0"/>
          <w:color w:val="000000"/>
          <w:spacing w:val="-2"/>
          <w:sz w:val="24"/>
        </w:rPr>
        <w:t>4.2我国纺织服装行业层面</w:t>
      </w:r>
      <w:r>
        <w:rPr>
          <w:rFonts w:ascii="宋体" w:hAnsi="宋体" w:cs="宋体" w:hint="eastAsia"/>
          <w:b w:val="0"/>
          <w:bCs w:val="0"/>
          <w:color w:val="000000"/>
          <w:spacing w:val="-2"/>
          <w:sz w:val="24"/>
        </w:rPr>
        <w:tab/>
      </w:r>
      <w:r>
        <w:rPr>
          <w:rFonts w:ascii="宋体" w:hAnsi="宋体" w:cs="宋体" w:hint="eastAsia"/>
          <w:b w:val="0"/>
          <w:bCs w:val="0"/>
          <w:color w:val="000000"/>
          <w:spacing w:val="-2"/>
          <w:sz w:val="24"/>
        </w:rPr>
        <w:t>20</w:t>
      </w:r>
    </w:p>
    <w:p>
      <w:pPr>
        <w:pStyle w:val="Title"/>
        <w:keepNext/>
        <w:keepLines/>
        <w:tabs>
          <w:tab w:val="right" w:leader="dot" w:pos="7560"/>
          <w:tab w:val="center" w:leader="dot" w:pos="7980"/>
        </w:tabs>
        <w:snapToGrid w:val="0"/>
        <w:spacing w:before="156" w:beforeLines="50" w:line="300" w:lineRule="auto"/>
        <w:rPr>
          <w:rFonts w:ascii="宋体" w:hAnsi="宋体" w:cs="宋体"/>
          <w:b w:val="0"/>
          <w:bCs w:val="0"/>
          <w:color w:val="000000"/>
          <w:sz w:val="24"/>
        </w:rPr>
      </w:pPr>
      <w:r>
        <w:rPr>
          <w:rFonts w:ascii="宋体" w:hAnsi="宋体" w:cs="宋体" w:hint="eastAsia"/>
          <w:b w:val="0"/>
          <w:bCs w:val="0"/>
          <w:color w:val="000000"/>
          <w:sz w:val="24"/>
        </w:rPr>
        <w:t>4.3我国纺织服装企业层面</w:t>
      </w:r>
      <w:r>
        <w:rPr>
          <w:rFonts w:ascii="宋体" w:hAnsi="宋体" w:cs="宋体" w:hint="eastAsia"/>
          <w:b w:val="0"/>
          <w:bCs w:val="0"/>
          <w:color w:val="000000"/>
          <w:sz w:val="24"/>
        </w:rPr>
        <w:tab/>
      </w:r>
      <w:r>
        <w:rPr>
          <w:rFonts w:ascii="宋体" w:hAnsi="宋体" w:cs="宋体" w:hint="eastAsia"/>
          <w:b w:val="0"/>
          <w:bCs w:val="0"/>
          <w:color w:val="000000"/>
          <w:sz w:val="24"/>
        </w:rPr>
        <w:t>21</w:t>
      </w:r>
    </w:p>
    <w:p>
      <w:pPr>
        <w:keepNext/>
        <w:keepLines/>
        <w:tabs>
          <w:tab w:val="right" w:leader="dot" w:pos="7560"/>
          <w:tab w:val="center" w:leader="dot" w:pos="7980"/>
        </w:tabs>
        <w:snapToGrid w:val="0"/>
        <w:spacing w:line="300" w:lineRule="auto"/>
        <w:jc w:val="center"/>
        <w:rPr>
          <w:rFonts w:ascii="宋体" w:hAnsi="宋体" w:cs="宋体"/>
          <w:b/>
          <w:bCs/>
          <w:color w:val="000000"/>
          <w:sz w:val="28"/>
          <w:szCs w:val="28"/>
        </w:rPr>
      </w:pPr>
      <w:r>
        <w:rPr>
          <w:rFonts w:ascii="宋体" w:hAnsi="宋体" w:cs="宋体" w:hint="eastAsia"/>
          <w:b/>
          <w:bCs/>
          <w:color w:val="000000"/>
          <w:sz w:val="28"/>
          <w:szCs w:val="28"/>
        </w:rPr>
        <w:t>结束语</w:t>
      </w:r>
      <w:r>
        <w:rPr>
          <w:rFonts w:ascii="宋体" w:hAnsi="宋体" w:cs="宋体" w:hint="eastAsia"/>
          <w:b/>
          <w:bCs/>
          <w:color w:val="000000"/>
          <w:sz w:val="28"/>
          <w:szCs w:val="28"/>
        </w:rPr>
        <w:tab/>
      </w:r>
      <w:r>
        <w:rPr>
          <w:rFonts w:ascii="宋体" w:hAnsi="宋体" w:cs="宋体" w:hint="eastAsia"/>
          <w:b/>
          <w:bCs/>
          <w:color w:val="000000"/>
          <w:sz w:val="28"/>
          <w:szCs w:val="28"/>
        </w:rPr>
        <w:t>22</w:t>
      </w:r>
    </w:p>
    <w:p>
      <w:pPr>
        <w:keepNext/>
        <w:keepLines/>
        <w:tabs>
          <w:tab w:val="right" w:leader="dot" w:pos="7560"/>
          <w:tab w:val="center" w:leader="dot" w:pos="7980"/>
        </w:tabs>
        <w:snapToGrid w:val="0"/>
        <w:spacing w:line="300" w:lineRule="auto"/>
        <w:jc w:val="center"/>
        <w:rPr>
          <w:rFonts w:ascii="宋体" w:hAnsi="宋体" w:cs="宋体"/>
          <w:b/>
          <w:bCs/>
          <w:color w:val="000000"/>
          <w:sz w:val="28"/>
          <w:szCs w:val="28"/>
        </w:rPr>
      </w:pPr>
      <w:r>
        <w:rPr>
          <w:rFonts w:ascii="宋体" w:hAnsi="宋体" w:cs="宋体" w:hint="eastAsia"/>
          <w:b/>
          <w:bCs/>
          <w:color w:val="000000"/>
          <w:sz w:val="28"/>
          <w:szCs w:val="28"/>
        </w:rPr>
        <w:t>参考文献</w:t>
      </w:r>
      <w:r>
        <w:rPr>
          <w:rFonts w:ascii="宋体" w:hAnsi="宋体" w:cs="宋体" w:hint="eastAsia"/>
          <w:b/>
          <w:bCs/>
          <w:color w:val="000000"/>
          <w:sz w:val="28"/>
          <w:szCs w:val="28"/>
        </w:rPr>
        <w:tab/>
      </w:r>
      <w:r>
        <w:rPr>
          <w:rFonts w:ascii="宋体" w:hAnsi="宋体" w:cs="宋体" w:hint="eastAsia"/>
          <w:b/>
          <w:bCs/>
          <w:color w:val="000000"/>
          <w:sz w:val="28"/>
          <w:szCs w:val="28"/>
        </w:rPr>
        <w:t>23</w:t>
      </w:r>
    </w:p>
    <w:p>
      <w:pPr>
        <w:keepNext/>
        <w:keepLines/>
        <w:tabs>
          <w:tab w:val="right" w:leader="dot" w:pos="7560"/>
          <w:tab w:val="center" w:leader="dot" w:pos="7980"/>
        </w:tabs>
        <w:snapToGrid w:val="0"/>
        <w:spacing w:line="300" w:lineRule="auto"/>
        <w:jc w:val="center"/>
        <w:rPr>
          <w:rFonts w:ascii="宋体" w:hAnsi="宋体" w:cs="宋体"/>
          <w:b/>
          <w:bCs/>
          <w:color w:val="000000"/>
          <w:sz w:val="28"/>
          <w:szCs w:val="28"/>
        </w:rPr>
      </w:pPr>
      <w:bookmarkStart w:id="0" w:name="_GoBack"/>
      <w:bookmarkEnd w:id="0"/>
    </w:p>
    <w:p>
      <w:pPr>
        <w:keepNext/>
        <w:keepLines/>
        <w:tabs>
          <w:tab w:val="right" w:leader="dot" w:pos="7560"/>
          <w:tab w:val="center" w:leader="dot" w:pos="7980"/>
        </w:tabs>
        <w:spacing w:line="300" w:lineRule="auto"/>
        <w:jc w:val="left"/>
        <w:rPr>
          <w:rFonts w:eastAsia="黑体"/>
          <w:color w:val="000000"/>
          <w:sz w:val="32"/>
        </w:rPr>
      </w:pPr>
    </w:p>
    <w:p>
      <w:pPr>
        <w:spacing w:line="300" w:lineRule="auto"/>
        <w:rPr>
          <w:rFonts w:eastAsia="黑体"/>
          <w:color w:val="000000"/>
          <w:sz w:val="32"/>
        </w:rPr>
      </w:pPr>
    </w:p>
    <w:p>
      <w:pPr>
        <w:spacing w:line="300" w:lineRule="auto"/>
        <w:rPr>
          <w:rFonts w:ascii="黑体" w:eastAsia="黑体" w:hAnsi="黑体" w:cs="黑体"/>
          <w:color w:val="000000"/>
          <w:sz w:val="30"/>
          <w:szCs w:val="30"/>
        </w:rPr>
        <w:sectPr>
          <w:headerReference w:type="default" r:id="rId5"/>
          <w:pgSz w:w="11906" w:h="16838"/>
          <w:pgMar w:top="1440" w:right="1800" w:bottom="1440" w:left="1800" w:header="851" w:footer="992" w:gutter="0"/>
          <w:cols w:num="1" w:space="425"/>
          <w:docGrid w:type="lines" w:linePitch="312" w:charSpace="0"/>
        </w:sectPr>
      </w:pPr>
    </w:p>
    <w:p>
      <w:pPr>
        <w:spacing w:line="300" w:lineRule="auto"/>
        <w:jc w:val="center"/>
        <w:rPr>
          <w:color w:val="000000"/>
          <w:sz w:val="24"/>
        </w:rPr>
      </w:pPr>
      <w:r>
        <w:rPr>
          <w:rFonts w:ascii="黑体" w:eastAsia="黑体" w:hAnsi="黑体" w:cs="黑体" w:hint="eastAsia"/>
          <w:color w:val="000000"/>
          <w:sz w:val="30"/>
          <w:szCs w:val="30"/>
        </w:rPr>
        <w:t>第一章  绪论</w:t>
      </w:r>
    </w:p>
    <w:p>
      <w:pPr>
        <w:spacing w:line="300" w:lineRule="auto"/>
        <w:jc w:val="left"/>
        <w:rPr>
          <w:rFonts w:ascii="黑体" w:eastAsia="黑体" w:hAnsi="黑体" w:cs="黑体"/>
          <w:color w:val="000000"/>
          <w:sz w:val="28"/>
          <w:szCs w:val="28"/>
        </w:rPr>
      </w:pPr>
      <w:r>
        <w:rPr>
          <w:rFonts w:ascii="黑体" w:eastAsia="黑体" w:hAnsi="黑体" w:cs="黑体" w:hint="eastAsia"/>
          <w:color w:val="000000"/>
          <w:sz w:val="28"/>
          <w:szCs w:val="28"/>
        </w:rPr>
        <w:t>1.1研究背景与意义</w:t>
      </w:r>
    </w:p>
    <w:p>
      <w:pPr>
        <w:spacing w:line="300" w:lineRule="auto"/>
        <w:jc w:val="left"/>
        <w:rPr>
          <w:rFonts w:ascii="黑体" w:eastAsia="黑体" w:hAnsi="黑体" w:cs="黑体"/>
          <w:color w:val="000000"/>
          <w:sz w:val="28"/>
          <w:szCs w:val="28"/>
        </w:rPr>
      </w:pPr>
      <w:r>
        <w:rPr>
          <w:rFonts w:ascii="黑体" w:eastAsia="黑体" w:hAnsi="黑体" w:cs="黑体" w:hint="eastAsia"/>
          <w:color w:val="000000"/>
          <w:sz w:val="28"/>
          <w:szCs w:val="28"/>
        </w:rPr>
        <w:t>1.1.1研究背景</w:t>
      </w:r>
    </w:p>
    <w:p>
      <w:pPr>
        <w:spacing w:line="300" w:lineRule="auto"/>
        <w:ind w:firstLine="480" w:firstLineChars="200"/>
        <w:jc w:val="left"/>
        <w:rPr>
          <w:bCs/>
          <w:color w:val="2D2D2D"/>
          <w:szCs w:val="21"/>
        </w:rPr>
      </w:pPr>
      <w:r>
        <w:rPr>
          <w:rFonts w:ascii="宋体" w:hAnsi="宋体" w:hint="eastAsia"/>
          <w:color w:val="000000"/>
          <w:sz w:val="24"/>
          <w:szCs w:val="18"/>
        </w:rPr>
        <w:t>2015年起，全球纺织服装行业进出口交易额出现近10年来（2006-2015）的首次下滑，下滑幅度达到7%</w:t>
      </w:r>
      <w:r>
        <w:rPr>
          <w:rFonts w:ascii="宋体" w:hAnsi="宋体"/>
          <w:color w:val="000000"/>
          <w:sz w:val="24"/>
          <w:szCs w:val="18"/>
        </w:rPr>
        <w:t>,</w:t>
      </w:r>
      <w:r>
        <w:rPr>
          <w:rFonts w:ascii="宋体" w:hAnsi="宋体" w:hint="eastAsia"/>
          <w:color w:val="000000"/>
          <w:sz w:val="24"/>
          <w:szCs w:val="18"/>
        </w:rPr>
        <w:t>如图1-1所示。</w:t>
      </w:r>
    </w:p>
    <w:p>
      <w:pPr>
        <w:spacing w:line="300" w:lineRule="auto"/>
        <w:ind w:firstLine="420" w:firstLineChars="200"/>
        <w:rPr>
          <w:bCs/>
          <w:color w:val="000000"/>
          <w:szCs w:val="21"/>
        </w:rPr>
      </w:pPr>
      <w:r>
        <w:drawing>
          <wp:inline distT="0" distB="0" distL="114300" distR="114300">
            <wp:extent cx="4711065" cy="2813685"/>
            <wp:effectExtent l="4445" t="4445" r="8890" b="20320"/>
            <wp:docPr id="1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r>
        <w:rPr>
          <w:rFonts w:hint="eastAsia"/>
          <w:bCs/>
          <w:color w:val="000000"/>
          <w:szCs w:val="21"/>
        </w:rPr>
        <w:t xml:space="preserve"> </w:t>
      </w:r>
    </w:p>
    <w:p>
      <w:pPr>
        <w:spacing w:line="300" w:lineRule="auto"/>
        <w:jc w:val="center"/>
        <w:rPr>
          <w:b/>
          <w:color w:val="2D2D2D"/>
          <w:szCs w:val="21"/>
        </w:rPr>
      </w:pPr>
      <w:r>
        <w:rPr>
          <w:rFonts w:hint="eastAsia"/>
          <w:b/>
          <w:color w:val="000000"/>
          <w:szCs w:val="21"/>
        </w:rPr>
        <w:t>图</w:t>
      </w:r>
      <w:r>
        <w:rPr>
          <w:b/>
          <w:color w:val="000000"/>
          <w:szCs w:val="21"/>
        </w:rPr>
        <w:t>1-1  2014-2018</w:t>
      </w:r>
      <w:r>
        <w:rPr>
          <w:b/>
          <w:color w:val="2D2D2D"/>
          <w:szCs w:val="21"/>
        </w:rPr>
        <w:t>全球纺织品和服装出口贸易规模统计情况（单位</w:t>
      </w:r>
      <w:r>
        <w:rPr>
          <w:rFonts w:hint="eastAsia"/>
          <w:b/>
          <w:color w:val="2D2D2D"/>
          <w:szCs w:val="21"/>
        </w:rPr>
        <w:t>；</w:t>
      </w:r>
      <w:r>
        <w:rPr>
          <w:b/>
          <w:color w:val="2D2D2D"/>
          <w:szCs w:val="21"/>
        </w:rPr>
        <w:t>亿美元）</w:t>
      </w:r>
    </w:p>
    <w:p>
      <w:pPr>
        <w:spacing w:line="300" w:lineRule="auto"/>
        <w:jc w:val="center"/>
        <w:rPr>
          <w:rFonts w:hint="eastAsia"/>
          <w:b/>
          <w:color w:val="2D2D2D"/>
          <w:szCs w:val="21"/>
        </w:rPr>
      </w:pPr>
      <w:r>
        <w:rPr>
          <w:rFonts w:hint="eastAsia"/>
          <w:b/>
          <w:color w:val="2D2D2D"/>
          <w:szCs w:val="21"/>
        </w:rPr>
        <w:t>数据来源：UN Comtrade</w:t>
      </w:r>
    </w:p>
    <w:p>
      <w:pPr>
        <w:spacing w:line="300" w:lineRule="auto"/>
        <w:jc w:val="center"/>
        <w:rPr>
          <w:rFonts w:hint="eastAsia"/>
          <w:b/>
          <w:color w:val="2D2D2D"/>
          <w:szCs w:val="21"/>
        </w:rPr>
      </w:pPr>
    </w:p>
    <w:p>
      <w:pPr>
        <w:spacing w:line="300" w:lineRule="auto"/>
        <w:ind w:firstLine="480" w:firstLineChars="200"/>
        <w:rPr>
          <w:bCs/>
          <w:color w:val="2D2D2D"/>
          <w:sz w:val="24"/>
        </w:rPr>
      </w:pPr>
      <w:r>
        <w:rPr>
          <w:bCs/>
          <w:color w:val="2D2D2D"/>
          <w:sz w:val="24"/>
        </w:rPr>
        <w:t>全球纺织品出口规模的大幅下降也导致了我国纺织品贸易的剧烈波动，根据国家统计局网站的数据显示，2015年1月，我国纺织品服装贸易额为277.7亿美元，同比上一季度下降了近10%，其中出口额约为255.4亿美元，下降了10.8%，进口额约为21.6亿美元，只增长了0.1%，当月的贸易顺差达到233.8亿美元，同比下降了11.6%，剧烈的波动呈现出与国际市场的不景气形成了非常强烈的呼应。这一发展现象的出现，一方面是基于我国较大的产业规模容易导致剧增或剧减，另一方面更是基于外部所发生的的复杂变化。</w:t>
      </w:r>
    </w:p>
    <w:p>
      <w:pPr>
        <w:spacing w:line="300" w:lineRule="auto"/>
        <w:ind w:firstLine="480"/>
        <w:rPr>
          <w:rFonts w:ascii="宋体" w:hAnsi="宋体" w:hint="eastAsia"/>
          <w:color w:val="000000"/>
          <w:sz w:val="24"/>
          <w:szCs w:val="18"/>
        </w:rPr>
        <w:sectPr>
          <w:headerReference w:type="default" r:id="rId7"/>
          <w:footerReference w:type="default" r:id="rId8"/>
          <w:pgSz w:w="11906" w:h="16838"/>
          <w:pgMar w:top="1440" w:right="1800" w:bottom="1440" w:left="1800" w:header="851" w:footer="992" w:gutter="0"/>
          <w:pgNumType w:start="1"/>
          <w:cols w:num="1" w:space="425"/>
          <w:docGrid w:type="lines" w:linePitch="312" w:charSpace="0"/>
        </w:sectPr>
      </w:pPr>
      <w:r>
        <w:rPr>
          <w:rFonts w:ascii="宋体" w:hAnsi="宋体" w:hint="eastAsia"/>
          <w:color w:val="000000"/>
          <w:sz w:val="24"/>
          <w:szCs w:val="18"/>
        </w:rPr>
        <w:t>2019年底，一场波及全球的新冠肺炎疫情冲击了全球经济，纺织行业也不例外的遭到了极大的冲击，我国外贸纺织企业也因此陷入出口困难的窘境。由图1-2可知，2</w:t>
      </w:r>
      <w:r>
        <w:rPr>
          <w:rFonts w:ascii="宋体" w:hAnsi="宋体"/>
          <w:color w:val="000000"/>
          <w:sz w:val="24"/>
          <w:szCs w:val="18"/>
        </w:rPr>
        <w:t>0</w:t>
      </w:r>
      <w:r>
        <w:rPr>
          <w:rFonts w:ascii="宋体" w:hAnsi="宋体" w:hint="eastAsia"/>
          <w:color w:val="000000"/>
          <w:sz w:val="24"/>
          <w:szCs w:val="18"/>
        </w:rPr>
        <w:t>19年12月起，我国纺织行业工业增速出现了断崖式下跌，一度跌至－25%，对本行业产生了毁灭性打击。疫情相对平缓后（2020年2月起），国内疫情形式趋于稳定、国内外市场需求逐步修复，我国纺织行业生产稳步恢复，2020年1-11月规模以上纺织企业工业增加值同比下降3.1%，受防疫类物资需求拉动，产业用纺织品却工业增加值增长了56.4%。</w:t>
      </w:r>
    </w:p>
    <w:p>
      <w:pPr>
        <w:tabs>
          <w:tab w:val="left" w:pos="3808"/>
        </w:tabs>
        <w:spacing w:line="300" w:lineRule="auto"/>
        <w:ind w:firstLine="480"/>
        <w:jc w:val="center"/>
        <w:rPr>
          <w:bCs/>
          <w:color w:val="000000"/>
          <w:szCs w:val="21"/>
        </w:rPr>
      </w:pPr>
      <w:bookmarkStart w:id="1" w:name="OLE_LINK1"/>
      <w:r>
        <w:drawing>
          <wp:anchor distT="0" distB="0" distL="114300" distR="114300" simplePos="0" relativeHeight="251658240" behindDoc="0" locked="0" layoutInCell="1" allowOverlap="1">
            <wp:simplePos x="0" y="0"/>
            <wp:positionH relativeFrom="column">
              <wp:posOffset>285750</wp:posOffset>
            </wp:positionH>
            <wp:positionV relativeFrom="paragraph">
              <wp:posOffset>62865</wp:posOffset>
            </wp:positionV>
            <wp:extent cx="4572000" cy="2743200"/>
            <wp:effectExtent l="4445" t="4445" r="14605" b="14605"/>
            <wp:wrapNone/>
            <wp:docPr id="16"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bookmarkEnd w:id="1"/>
    <w:p>
      <w:pPr>
        <w:tabs>
          <w:tab w:val="left" w:pos="3808"/>
        </w:tabs>
        <w:spacing w:line="300" w:lineRule="auto"/>
        <w:ind w:firstLine="480"/>
        <w:jc w:val="center"/>
        <w:rPr>
          <w:b/>
          <w:color w:val="000000"/>
          <w:szCs w:val="21"/>
        </w:rPr>
      </w:pPr>
    </w:p>
    <w:p>
      <w:pPr>
        <w:tabs>
          <w:tab w:val="left" w:pos="3808"/>
        </w:tabs>
        <w:spacing w:line="300" w:lineRule="auto"/>
        <w:ind w:firstLine="480"/>
        <w:jc w:val="center"/>
        <w:rPr>
          <w:b/>
          <w:color w:val="000000"/>
          <w:szCs w:val="21"/>
        </w:rPr>
      </w:pPr>
    </w:p>
    <w:p>
      <w:pPr>
        <w:tabs>
          <w:tab w:val="left" w:pos="3808"/>
        </w:tabs>
        <w:spacing w:line="300" w:lineRule="auto"/>
        <w:ind w:firstLine="480"/>
        <w:jc w:val="center"/>
        <w:rPr>
          <w:b/>
          <w:color w:val="000000"/>
          <w:szCs w:val="21"/>
        </w:rPr>
      </w:pPr>
    </w:p>
    <w:p>
      <w:pPr>
        <w:tabs>
          <w:tab w:val="left" w:pos="3808"/>
        </w:tabs>
        <w:spacing w:line="300" w:lineRule="auto"/>
        <w:ind w:firstLine="480"/>
        <w:jc w:val="center"/>
        <w:rPr>
          <w:b/>
          <w:color w:val="000000"/>
          <w:szCs w:val="21"/>
        </w:rPr>
      </w:pPr>
    </w:p>
    <w:p>
      <w:pPr>
        <w:tabs>
          <w:tab w:val="left" w:pos="3808"/>
        </w:tabs>
        <w:spacing w:line="300" w:lineRule="auto"/>
        <w:ind w:firstLine="480"/>
        <w:jc w:val="center"/>
        <w:rPr>
          <w:b/>
          <w:color w:val="000000"/>
          <w:szCs w:val="21"/>
        </w:rPr>
      </w:pPr>
    </w:p>
    <w:p>
      <w:pPr>
        <w:tabs>
          <w:tab w:val="left" w:pos="3808"/>
        </w:tabs>
        <w:spacing w:line="300" w:lineRule="auto"/>
        <w:ind w:firstLine="480"/>
        <w:jc w:val="center"/>
        <w:rPr>
          <w:b/>
          <w:color w:val="000000"/>
          <w:szCs w:val="21"/>
        </w:rPr>
      </w:pPr>
    </w:p>
    <w:p>
      <w:pPr>
        <w:tabs>
          <w:tab w:val="left" w:pos="3808"/>
        </w:tabs>
        <w:spacing w:line="300" w:lineRule="auto"/>
        <w:ind w:firstLine="480"/>
        <w:jc w:val="center"/>
        <w:rPr>
          <w:b/>
          <w:color w:val="000000"/>
          <w:szCs w:val="21"/>
        </w:rPr>
      </w:pPr>
    </w:p>
    <w:p>
      <w:pPr>
        <w:tabs>
          <w:tab w:val="left" w:pos="3808"/>
        </w:tabs>
        <w:spacing w:line="300" w:lineRule="auto"/>
        <w:ind w:firstLine="480"/>
        <w:jc w:val="center"/>
        <w:rPr>
          <w:b/>
          <w:color w:val="000000"/>
          <w:szCs w:val="21"/>
        </w:rPr>
      </w:pPr>
    </w:p>
    <w:p>
      <w:pPr>
        <w:tabs>
          <w:tab w:val="left" w:pos="3808"/>
        </w:tabs>
        <w:spacing w:line="300" w:lineRule="auto"/>
        <w:ind w:firstLine="480"/>
        <w:jc w:val="center"/>
        <w:rPr>
          <w:b/>
          <w:color w:val="000000"/>
          <w:szCs w:val="21"/>
        </w:rPr>
      </w:pPr>
    </w:p>
    <w:p>
      <w:pPr>
        <w:tabs>
          <w:tab w:val="left" w:pos="3808"/>
        </w:tabs>
        <w:spacing w:line="300" w:lineRule="auto"/>
        <w:ind w:firstLine="480"/>
        <w:jc w:val="center"/>
        <w:rPr>
          <w:b/>
          <w:color w:val="000000"/>
          <w:szCs w:val="21"/>
        </w:rPr>
      </w:pPr>
    </w:p>
    <w:p>
      <w:pPr>
        <w:tabs>
          <w:tab w:val="left" w:pos="3808"/>
        </w:tabs>
        <w:spacing w:line="300" w:lineRule="auto"/>
        <w:rPr>
          <w:b/>
          <w:color w:val="000000"/>
          <w:szCs w:val="21"/>
        </w:rPr>
      </w:pPr>
    </w:p>
    <w:p>
      <w:pPr>
        <w:tabs>
          <w:tab w:val="left" w:pos="3808"/>
        </w:tabs>
        <w:spacing w:line="300" w:lineRule="auto"/>
        <w:ind w:firstLine="1525" w:firstLineChars="726"/>
        <w:rPr>
          <w:b/>
          <w:color w:val="000000"/>
          <w:szCs w:val="21"/>
        </w:rPr>
      </w:pPr>
      <w:r>
        <w:rPr>
          <w:rFonts w:hint="eastAsia"/>
          <w:b/>
          <w:color w:val="000000"/>
          <w:szCs w:val="21"/>
        </w:rPr>
        <w:t>图</w:t>
      </w:r>
      <w:r>
        <w:rPr>
          <w:b/>
          <w:color w:val="000000"/>
          <w:szCs w:val="21"/>
        </w:rPr>
        <w:t>1-</w:t>
      </w:r>
      <w:r>
        <w:rPr>
          <w:rFonts w:hint="eastAsia"/>
          <w:b/>
          <w:color w:val="000000"/>
          <w:szCs w:val="21"/>
        </w:rPr>
        <w:t>2  2019-2020年1-11月中国纺织行业工业增加值增速</w:t>
      </w:r>
    </w:p>
    <w:p>
      <w:pPr>
        <w:tabs>
          <w:tab w:val="left" w:pos="3808"/>
        </w:tabs>
        <w:spacing w:line="300" w:lineRule="auto"/>
        <w:jc w:val="center"/>
        <w:rPr>
          <w:b/>
          <w:color w:val="000000"/>
          <w:szCs w:val="21"/>
        </w:rPr>
      </w:pPr>
      <w:r>
        <w:rPr>
          <w:rFonts w:hint="eastAsia"/>
          <w:b/>
          <w:color w:val="000000"/>
          <w:szCs w:val="21"/>
        </w:rPr>
        <w:t>数据来源：UN Comtrade</w:t>
      </w:r>
    </w:p>
    <w:p>
      <w:pPr>
        <w:tabs>
          <w:tab w:val="left" w:pos="3808"/>
        </w:tabs>
        <w:spacing w:line="300" w:lineRule="auto"/>
        <w:jc w:val="center"/>
        <w:rPr>
          <w:b/>
          <w:color w:val="000000"/>
          <w:szCs w:val="21"/>
        </w:rPr>
      </w:pPr>
    </w:p>
    <w:p>
      <w:pPr>
        <w:tabs>
          <w:tab w:val="left" w:pos="3808"/>
        </w:tabs>
        <w:spacing w:line="300" w:lineRule="auto"/>
        <w:ind w:firstLine="480" w:firstLineChars="200"/>
        <w:rPr>
          <w:bCs/>
          <w:color w:val="000000"/>
          <w:sz w:val="24"/>
        </w:rPr>
      </w:pPr>
      <w:r>
        <w:rPr>
          <w:rFonts w:hint="eastAsia"/>
          <w:bCs/>
          <w:color w:val="000000"/>
          <w:sz w:val="24"/>
        </w:rPr>
        <w:t>总体来看，世界和我国纺织产业形式不容乐观，可以用一个词“危险”来形容，但机遇总是会在危险中呈现，国内的一些纺织企业及时抓住疫情的物件需求，转变产能，开始生产医护使用的功能性纺织品，比如：口罩、纱布等，支持国内防疫的同时还能够帮助国家对外出口防疫物资，不仅实现了一定的经济效益，还展现了企业反哺社会的政治效益。</w:t>
      </w:r>
    </w:p>
    <w:p>
      <w:pPr>
        <w:tabs>
          <w:tab w:val="left" w:pos="3808"/>
        </w:tabs>
        <w:spacing w:line="300" w:lineRule="auto"/>
        <w:rPr>
          <w:bCs/>
          <w:color w:val="000000"/>
          <w:szCs w:val="21"/>
        </w:rPr>
      </w:pPr>
      <w:r>
        <w:rPr>
          <w:rFonts w:ascii="黑体" w:eastAsia="黑体" w:hAnsi="黑体" w:cs="黑体" w:hint="eastAsia"/>
          <w:color w:val="000000"/>
          <w:sz w:val="28"/>
          <w:szCs w:val="28"/>
        </w:rPr>
        <w:t>1.1.2研究意义</w:t>
      </w:r>
    </w:p>
    <w:p>
      <w:pPr>
        <w:tabs>
          <w:tab w:val="left" w:pos="3808"/>
        </w:tabs>
        <w:spacing w:line="300" w:lineRule="auto"/>
        <w:ind w:firstLine="480"/>
        <w:rPr>
          <w:rFonts w:ascii="宋体" w:hAnsi="宋体"/>
          <w:color w:val="000000"/>
          <w:sz w:val="24"/>
          <w:szCs w:val="18"/>
        </w:rPr>
      </w:pPr>
      <w:r>
        <w:rPr>
          <w:rFonts w:ascii="宋体" w:hAnsi="宋体" w:hint="eastAsia"/>
          <w:color w:val="000000"/>
          <w:sz w:val="24"/>
          <w:szCs w:val="18"/>
        </w:rPr>
        <w:t>理论意义：对于新冠肺炎疫情对我国纺织行业影响的研究，已经有专家学者进行了初步的分析。本文受这些分析的启发来就纺织服装产品这一细分行业进行分析，研究新冠疫情的爆发对本行业的进出口贸易、市场占有率等诸多方面的影响，为纺织服装行业在疫情期间稳步前进提供一些建设性意见。</w:t>
      </w:r>
    </w:p>
    <w:p>
      <w:pPr>
        <w:tabs>
          <w:tab w:val="left" w:pos="3808"/>
        </w:tabs>
        <w:spacing w:line="300" w:lineRule="auto"/>
        <w:ind w:firstLine="480"/>
        <w:rPr>
          <w:rFonts w:ascii="宋体" w:hAnsi="宋体"/>
          <w:color w:val="000000"/>
          <w:sz w:val="24"/>
          <w:szCs w:val="18"/>
        </w:rPr>
      </w:pPr>
      <w:r>
        <w:rPr>
          <w:rFonts w:ascii="宋体" w:hAnsi="宋体" w:hint="eastAsia"/>
          <w:color w:val="000000"/>
          <w:sz w:val="24"/>
          <w:szCs w:val="18"/>
        </w:rPr>
        <w:t>实践意义：我国纺织服装行业虽然在资源上相比其他亚洲和欧洲国家有优势，但在中美贸易战和新冠肺炎疫情的双重打击下，这一优势和竞争力也在不断地被迫近。本文再进行理论分析的前提下，运用相关参考文献、数据分析表等手段对中国纺织服装产品在疫情期间的贸易效应进行实证分析，并在文末对如果应对新冠肺炎疫情对我国纺织服装贸易的消极营销提出自己的意见，也为我国在应对疫情，提升我国纺织服装产品的国际竞争力提供了实践支持。</w:t>
      </w:r>
    </w:p>
    <w:p>
      <w:pPr>
        <w:spacing w:line="300" w:lineRule="auto"/>
        <w:jc w:val="left"/>
        <w:rPr>
          <w:rFonts w:ascii="黑体" w:eastAsia="黑体" w:hAnsi="黑体" w:cs="黑体" w:hint="eastAsia"/>
          <w:color w:val="000000"/>
          <w:sz w:val="28"/>
          <w:szCs w:val="28"/>
        </w:rPr>
      </w:pPr>
    </w:p>
    <w:p>
      <w:pPr>
        <w:spacing w:line="300" w:lineRule="auto"/>
        <w:jc w:val="left"/>
        <w:rPr>
          <w:rFonts w:ascii="黑体" w:eastAsia="黑体" w:hAnsi="黑体" w:cs="黑体" w:hint="eastAsia"/>
          <w:color w:val="000000"/>
          <w:sz w:val="28"/>
          <w:szCs w:val="28"/>
        </w:rPr>
        <w:sectPr>
          <w:headerReference w:type="default" r:id="rId10"/>
          <w:footerReference w:type="default" r:id="rId11"/>
          <w:type w:val="nextPage"/>
          <w:pgSz w:w="11906" w:h="16838"/>
          <w:pgMar w:top="1440" w:right="1800" w:bottom="1440" w:left="1800" w:header="851" w:footer="992" w:gutter="0"/>
          <w:pgNumType w:start="2"/>
          <w:cols w:num="1" w:space="425"/>
          <w:titlePg w:val="0"/>
          <w:docGrid w:type="lines" w:linePitch="312" w:charSpace="0"/>
        </w:sectPr>
      </w:pPr>
    </w:p>
    <w:p>
      <w:pPr>
        <w:spacing w:line="300" w:lineRule="auto"/>
        <w:jc w:val="left"/>
        <w:rPr>
          <w:rFonts w:ascii="黑体" w:eastAsia="黑体" w:hAnsi="黑体" w:cs="黑体"/>
          <w:color w:val="000000"/>
          <w:sz w:val="28"/>
          <w:szCs w:val="28"/>
        </w:rPr>
      </w:pPr>
      <w:r>
        <w:rPr>
          <w:rFonts w:ascii="黑体" w:eastAsia="黑体" w:hAnsi="黑体" w:cs="黑体" w:hint="eastAsia"/>
          <w:color w:val="000000"/>
          <w:sz w:val="28"/>
          <w:szCs w:val="28"/>
        </w:rPr>
        <w:t>1.2文献综述</w:t>
      </w:r>
    </w:p>
    <w:p>
      <w:pPr>
        <w:spacing w:line="300" w:lineRule="auto"/>
        <w:jc w:val="left"/>
        <w:rPr>
          <w:rFonts w:ascii="黑体" w:eastAsia="黑体" w:hAnsi="黑体" w:cs="黑体"/>
          <w:color w:val="000000"/>
          <w:sz w:val="28"/>
          <w:szCs w:val="28"/>
        </w:rPr>
      </w:pPr>
      <w:r>
        <w:rPr>
          <w:rFonts w:ascii="黑体" w:eastAsia="黑体" w:hAnsi="黑体" w:cs="黑体" w:hint="eastAsia"/>
          <w:color w:val="000000"/>
          <w:sz w:val="28"/>
          <w:szCs w:val="28"/>
        </w:rPr>
        <w:t>1.2.1国外相关研究</w:t>
      </w:r>
    </w:p>
    <w:p>
      <w:pPr>
        <w:widowControl/>
        <w:spacing w:line="300" w:lineRule="auto"/>
        <w:ind w:firstLine="480" w:firstLineChars="200"/>
        <w:jc w:val="left"/>
        <w:rPr>
          <w:rFonts w:ascii="宋体" w:hAnsi="宋体" w:cs="宋体"/>
          <w:color w:val="000000"/>
          <w:sz w:val="24"/>
        </w:rPr>
      </w:pPr>
      <w:r>
        <w:rPr>
          <w:rFonts w:ascii="宋体" w:hAnsi="宋体" w:cs="宋体" w:hint="eastAsia"/>
          <w:color w:val="000000"/>
          <w:sz w:val="24"/>
        </w:rPr>
        <w:t>从目前的文献来看，典型的研究是对新冠肺炎疫情对纺织服装进出口总量变化的分析，最新的研究主要集中在出口额和出口品种类的变化。</w:t>
      </w:r>
      <w:r>
        <w:rPr>
          <w:rFonts w:eastAsia="BemboStd-Italic"/>
          <w:color w:val="231F20"/>
          <w:kern w:val="0"/>
          <w:sz w:val="24"/>
          <w:lang w:bidi="ar"/>
        </w:rPr>
        <w:t>Samit Chakraborty</w:t>
      </w:r>
      <w:r>
        <w:rPr>
          <w:rFonts w:ascii="宋体" w:hAnsi="宋体" w:cs="宋体" w:hint="eastAsia"/>
          <w:color w:val="000000"/>
          <w:sz w:val="24"/>
          <w:shd w:val="clear" w:color="auto" w:fill="FFFFFF"/>
        </w:rPr>
        <w:t>（2020）提到，</w:t>
      </w:r>
      <w:r>
        <w:rPr>
          <w:rFonts w:ascii="宋体" w:hAnsi="宋体" w:cs="宋体" w:hint="eastAsia"/>
          <w:color w:val="000000"/>
          <w:sz w:val="24"/>
        </w:rPr>
        <w:t>新冠肺炎疫情的爆发，给各国纺织品进出口带来很大的影响，尽管各国政府出台挽救政策，行业协会众志成城，但是由于纺织服装行业是传统行业的缘故，市场的减少、需求的降低以及停工停产等因素，使纺织服装行业的发展受到了一定程度的限制</w:t>
      </w:r>
      <w:r>
        <w:rPr>
          <w:rFonts w:ascii="宋体" w:hAnsi="宋体" w:cs="宋体" w:hint="eastAsia"/>
          <w:color w:val="000000"/>
          <w:sz w:val="22"/>
          <w:szCs w:val="22"/>
          <w:highlight w:val="none"/>
          <w:vertAlign w:val="superscript"/>
        </w:rPr>
        <w:t>[1]</w:t>
      </w:r>
      <w:r>
        <w:rPr>
          <w:rFonts w:ascii="宋体" w:hAnsi="宋体" w:cs="宋体" w:hint="eastAsia"/>
          <w:color w:val="000000"/>
          <w:sz w:val="24"/>
        </w:rPr>
        <w:t>。</w:t>
      </w:r>
    </w:p>
    <w:p>
      <w:pPr>
        <w:widowControl/>
        <w:spacing w:line="300" w:lineRule="auto"/>
        <w:ind w:firstLine="480" w:firstLineChars="200"/>
        <w:jc w:val="left"/>
        <w:rPr>
          <w:rFonts w:ascii="宋体" w:hAnsi="宋体" w:cs="宋体"/>
          <w:color w:val="000000"/>
          <w:kern w:val="0"/>
          <w:sz w:val="24"/>
        </w:rPr>
      </w:pPr>
      <w:r>
        <w:rPr>
          <w:rFonts w:ascii="宋体" w:hAnsi="宋体" w:cs="宋体" w:hint="eastAsia"/>
          <w:color w:val="000000"/>
          <w:sz w:val="24"/>
        </w:rPr>
        <w:t>同样</w:t>
      </w:r>
      <w:r>
        <w:rPr>
          <w:color w:val="000000"/>
          <w:sz w:val="24"/>
        </w:rPr>
        <w:t>，</w:t>
      </w:r>
      <w:r>
        <w:rPr>
          <w:rFonts w:eastAsia="BemboStd-Italic"/>
          <w:color w:val="231F20"/>
          <w:kern w:val="0"/>
          <w:sz w:val="24"/>
          <w:lang w:bidi="ar"/>
        </w:rPr>
        <w:t>Manik Chandra Biswas，Samit Chakraborty</w:t>
      </w:r>
      <w:r>
        <w:rPr>
          <w:color w:val="000000"/>
          <w:sz w:val="24"/>
        </w:rPr>
        <w:t>, Weichao Ma（2020）</w:t>
      </w:r>
      <w:r>
        <w:rPr>
          <w:rFonts w:ascii="宋体" w:hAnsi="宋体" w:cs="宋体" w:hint="eastAsia"/>
          <w:color w:val="000000"/>
          <w:sz w:val="24"/>
        </w:rPr>
        <w:t>认为，尽管新冠肺炎疫情给纺织服装业带来了负面影响，却也带来了改变出口结构的特点，它已成为一种推动纺织品出口结构改革的因素，对促进纺织服装企业在疫情中的转型具有重要作用</w:t>
      </w:r>
      <w:r>
        <w:rPr>
          <w:rFonts w:ascii="宋体" w:hAnsi="宋体" w:cs="宋体" w:hint="eastAsia"/>
          <w:color w:val="000000"/>
          <w:sz w:val="22"/>
          <w:szCs w:val="22"/>
          <w:highlight w:val="none"/>
          <w:vertAlign w:val="superscript"/>
        </w:rPr>
        <w:t>[1]</w:t>
      </w:r>
      <w:r>
        <w:rPr>
          <w:rFonts w:ascii="宋体" w:hAnsi="宋体" w:cs="宋体" w:hint="eastAsia"/>
          <w:color w:val="000000"/>
          <w:sz w:val="24"/>
        </w:rPr>
        <w:t>。</w:t>
      </w:r>
    </w:p>
    <w:p>
      <w:pPr>
        <w:spacing w:line="300" w:lineRule="auto"/>
        <w:jc w:val="left"/>
        <w:rPr>
          <w:rFonts w:ascii="黑体" w:eastAsia="黑体" w:hAnsi="黑体" w:cs="黑体"/>
          <w:color w:val="000000"/>
          <w:sz w:val="28"/>
          <w:szCs w:val="28"/>
        </w:rPr>
      </w:pPr>
      <w:r>
        <w:rPr>
          <w:rFonts w:ascii="黑体" w:eastAsia="黑体" w:hAnsi="黑体" w:cs="黑体" w:hint="eastAsia"/>
          <w:color w:val="000000"/>
          <w:sz w:val="28"/>
          <w:szCs w:val="28"/>
        </w:rPr>
        <w:t>1.2.2国内相关研究</w:t>
      </w:r>
    </w:p>
    <w:p>
      <w:pPr>
        <w:spacing w:line="300" w:lineRule="auto"/>
        <w:ind w:firstLine="480" w:firstLineChars="200"/>
        <w:jc w:val="left"/>
        <w:rPr>
          <w:rFonts w:ascii="宋体" w:hAnsi="宋体" w:cs="宋体"/>
          <w:color w:val="000000"/>
          <w:sz w:val="24"/>
        </w:rPr>
      </w:pPr>
      <w:r>
        <w:rPr>
          <w:rFonts w:hint="eastAsia"/>
          <w:color w:val="000000"/>
          <w:sz w:val="24"/>
        </w:rPr>
        <w:t>沈明威</w:t>
      </w:r>
      <w:r>
        <w:rPr>
          <w:rFonts w:ascii="宋体" w:hAnsi="宋体" w:cs="宋体" w:hint="eastAsia"/>
          <w:color w:val="000000"/>
          <w:sz w:val="24"/>
        </w:rPr>
        <w:t>（2020）在</w:t>
      </w:r>
      <w:r>
        <w:rPr>
          <w:rFonts w:hint="eastAsia"/>
          <w:color w:val="000000"/>
          <w:sz w:val="24"/>
        </w:rPr>
        <w:t>我国纺织服装行业跨境电商出口的影响因素研究</w:t>
      </w:r>
      <w:r>
        <w:rPr>
          <w:rFonts w:ascii="宋体" w:hAnsi="宋体" w:cs="宋体" w:hint="eastAsia"/>
          <w:color w:val="000000"/>
          <w:sz w:val="24"/>
        </w:rPr>
        <w:t>提出目前我国纺织产业主要成以下特点：第一，纺织服装产业主要分布在我国中东部经济发达地区，有向内陆延伸的趋势，但在广大的西北地区发展动力尚不足。山东、浙江、江苏、福建和广东等沿海地区是我国纺织服装产业最为集中的地区，这些地区主要在产业配备、国际贸易、人才吸引等方面具有显著优势；其次湖北、湖南等沿江省份也逐步形成纺织产业集群，主要受益于沿海地区的产业外流，加上这些地区处于国家中心，水路交通发达，人力成本相对较低，纺织产业可以得到一定地发展；东北和新疆地区分布了少量的产业集群，主要受当地特殊的市场条件和资源影响，东北盛产粮食、饲料以供化工企业使用，而新疆则以棉花、羊毛、民族特色工艺品为支撑发展纺织业。但由于缺乏完整的产业链配套条件，城市基础设施条件相对落后，交通存在劣势，对沿海发达省份纺织企业和人才尚缺乏吸引力，阻碍了这些地区纺织产业进一步发展。</w:t>
      </w:r>
    </w:p>
    <w:p>
      <w:pPr>
        <w:spacing w:line="300" w:lineRule="auto"/>
        <w:ind w:firstLine="480" w:firstLineChars="200"/>
        <w:jc w:val="left"/>
        <w:rPr>
          <w:rFonts w:ascii="宋体" w:hAnsi="宋体" w:cs="宋体"/>
          <w:color w:val="000000"/>
          <w:sz w:val="24"/>
        </w:rPr>
        <w:sectPr>
          <w:headerReference w:type="default" r:id="rId12"/>
          <w:footerReference w:type="default" r:id="rId13"/>
          <w:type w:val="nextPage"/>
          <w:pgSz w:w="11906" w:h="16838"/>
          <w:pgMar w:top="1440" w:right="1800" w:bottom="1440" w:left="1800" w:header="851" w:footer="992" w:gutter="0"/>
          <w:pgNumType w:start="3"/>
          <w:cols w:num="1" w:space="425"/>
          <w:titlePg w:val="0"/>
          <w:docGrid w:type="lines" w:linePitch="312" w:charSpace="0"/>
        </w:sectPr>
      </w:pPr>
    </w:p>
    <w:p>
      <w:pPr>
        <w:spacing w:line="300" w:lineRule="auto"/>
        <w:ind w:firstLine="480" w:firstLineChars="200"/>
        <w:jc w:val="left"/>
        <w:rPr>
          <w:rFonts w:ascii="宋体" w:hAnsi="宋体" w:cs="宋体"/>
          <w:color w:val="000000"/>
          <w:sz w:val="24"/>
        </w:rPr>
      </w:pPr>
      <w:r>
        <w:rPr>
          <w:rFonts w:ascii="宋体" w:hAnsi="宋体" w:cs="宋体" w:hint="eastAsia"/>
          <w:color w:val="000000"/>
          <w:sz w:val="24"/>
        </w:rPr>
        <w:t>第二，江苏、浙江、福建和广东等地区产业更加完善，但是产品技术含量缺乏国际影响力。相比浙江、广东和江苏，山东和河北纺织产业集中在生产能力更强的县市，且河北地区产品技术含量低；而广东、江苏等省份城镇化程度比较高，县市企业的经营情况良好，交通便利，人才利用形式灵活，很大一部分专业人才愿意留在县市和乡镇工作，产业在这些省份的乡镇得到较好发展，形成特色产业集群，产品技术含量和附加值也相对高。但和欧美、日本相比，目前我国纺织服装产品在国际上仍缺乏技术竞争力，高端和特殊材料仍是发达国家占据主导，中低端产品也收到东南亚等新劳动力密集型国家挤压，国内纺织产业面临了国外的巨大挑战。因此，国内纺织企业必须提高创新研发能力，加强与国际标准以及相关法律法规对接，同时稳固好现有产业结构，未来发展成全球技术最领先、产品畅销和供应链稳健的纺织产业集群</w:t>
      </w:r>
      <w:r>
        <w:rPr>
          <w:rFonts w:ascii="宋体" w:hAnsi="宋体" w:cs="宋体" w:hint="eastAsia"/>
          <w:color w:val="000000"/>
          <w:sz w:val="24"/>
          <w:szCs w:val="24"/>
          <w:highlight w:val="none"/>
          <w:vertAlign w:val="superscript"/>
        </w:rPr>
        <w:t>[2]</w:t>
      </w:r>
      <w:r>
        <w:rPr>
          <w:rFonts w:ascii="宋体" w:hAnsi="宋体" w:cs="宋体" w:hint="eastAsia"/>
          <w:color w:val="000000"/>
          <w:sz w:val="24"/>
        </w:rPr>
        <w:t>。</w:t>
      </w:r>
    </w:p>
    <w:p>
      <w:pPr>
        <w:tabs>
          <w:tab w:val="left" w:pos="312"/>
        </w:tabs>
        <w:spacing w:line="300" w:lineRule="auto"/>
        <w:ind w:firstLine="480" w:firstLineChars="200"/>
        <w:jc w:val="left"/>
        <w:rPr>
          <w:rFonts w:ascii="宋体" w:hAnsi="宋体" w:cs="宋体"/>
          <w:color w:val="000000"/>
          <w:sz w:val="24"/>
        </w:rPr>
      </w:pPr>
      <w:r>
        <w:rPr>
          <w:rFonts w:ascii="宋体" w:hAnsi="宋体" w:cs="宋体" w:hint="eastAsia"/>
          <w:color w:val="000000"/>
          <w:sz w:val="24"/>
        </w:rPr>
        <w:t>刘欣(2020)在</w:t>
      </w:r>
      <w:r>
        <w:rPr>
          <w:color w:val="000000"/>
          <w:sz w:val="24"/>
        </w:rPr>
        <w:t>疫情之下纺织行业国内外市场现状与趋势展望</w:t>
      </w:r>
      <w:r>
        <w:rPr>
          <w:rFonts w:ascii="宋体" w:hAnsi="宋体" w:cs="宋体" w:hint="eastAsia"/>
          <w:color w:val="000000"/>
          <w:sz w:val="24"/>
        </w:rPr>
        <w:t>的观点里提到，我国纺织服装行业呈颓势的主要原因有：市场需求量受到抑制，消费规模萎缩，政策滞后等。第一，市场受到抑制，国内经济以及就业形势受到较大打击，我国居民收入下滑，消费能力下降，打破了多年来国内消费能力持续攀升的趋势。</w:t>
      </w:r>
    </w:p>
    <w:p>
      <w:pPr>
        <w:numPr>
          <w:ilvl w:val="0"/>
          <w:numId w:val="2"/>
        </w:numPr>
        <w:tabs>
          <w:tab w:val="left" w:pos="312"/>
        </w:tabs>
        <w:spacing w:line="300" w:lineRule="auto"/>
        <w:ind w:firstLine="480" w:firstLineChars="200"/>
        <w:jc w:val="left"/>
        <w:rPr>
          <w:rFonts w:ascii="宋体" w:hAnsi="宋体" w:cs="宋体"/>
          <w:color w:val="000000"/>
          <w:sz w:val="24"/>
        </w:rPr>
      </w:pPr>
      <w:r>
        <w:rPr>
          <w:rFonts w:ascii="宋体" w:hAnsi="宋体" w:cs="宋体" w:hint="eastAsia"/>
          <w:color w:val="000000"/>
          <w:sz w:val="24"/>
        </w:rPr>
        <w:t>消费规模逐渐萎缩，在国内居民对服饰消费支出削减的影响下，国内纺织品消费市场规模大幅下降。根据国家统计局数据，2020年1-6月，全国鞋帽、纺织品零售额5120亿元，同比下降18.6%，低于同期的粮油食品、日用品零售品</w:t>
      </w:r>
      <w:r>
        <w:rPr>
          <w:rFonts w:ascii="宋体" w:hAnsi="宋体" w:cs="宋体" w:hint="eastAsia"/>
          <w:color w:val="000000"/>
          <w:sz w:val="24"/>
          <w:vertAlign w:val="superscript"/>
        </w:rPr>
        <w:t>[3]</w:t>
      </w:r>
      <w:r>
        <w:rPr>
          <w:rFonts w:ascii="宋体" w:hAnsi="宋体" w:cs="宋体" w:hint="eastAsia"/>
          <w:color w:val="000000"/>
          <w:sz w:val="24"/>
        </w:rPr>
        <w:t>。</w:t>
      </w:r>
      <w:r>
        <w:rPr>
          <w:rFonts w:ascii="宋体" w:hAnsi="宋体" w:cs="宋体" w:hint="eastAsia"/>
          <w:color w:val="000000"/>
          <w:sz w:val="24"/>
          <w:vertAlign w:val="superscript"/>
        </w:rPr>
        <w:t xml:space="preserve"> </w:t>
      </w:r>
      <w:r>
        <w:rPr>
          <w:rFonts w:ascii="宋体" w:hAnsi="宋体" w:cs="宋体" w:hint="eastAsia"/>
          <w:color w:val="000000"/>
          <w:sz w:val="24"/>
        </w:rPr>
        <w:t>刘欣（2020）使用了图表对比反应出了2019年和2020年国内居民消费支出结构，如图1-3和图1-4所示。</w:t>
      </w:r>
    </w:p>
    <w:p>
      <w:pPr>
        <w:numPr>
          <w:ilvl w:val="12"/>
          <w:numId w:val="0"/>
        </w:numPr>
        <w:tabs>
          <w:tab w:val="left" w:pos="312"/>
        </w:tabs>
        <w:spacing w:line="300" w:lineRule="auto"/>
        <w:jc w:val="left"/>
        <w:rPr>
          <w:rFonts w:ascii="宋体" w:hAnsi="宋体" w:cs="宋体"/>
          <w:color w:val="000000"/>
          <w:sz w:val="24"/>
        </w:rPr>
      </w:pPr>
      <w:r>
        <w:drawing>
          <wp:anchor distT="0" distB="0" distL="114300" distR="114300" simplePos="0" relativeHeight="251659264" behindDoc="0" locked="0" layoutInCell="1" allowOverlap="1">
            <wp:simplePos x="0" y="0"/>
            <wp:positionH relativeFrom="column">
              <wp:posOffset>448945</wp:posOffset>
            </wp:positionH>
            <wp:positionV relativeFrom="paragraph">
              <wp:posOffset>79375</wp:posOffset>
            </wp:positionV>
            <wp:extent cx="4277360" cy="2577465"/>
            <wp:effectExtent l="4445" t="4445" r="23495" b="8890"/>
            <wp:wrapNone/>
            <wp:docPr id="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20" w:firstLineChars="200"/>
        <w:jc w:val="center"/>
        <w:rPr>
          <w:b/>
          <w:bCs/>
          <w:color w:val="000000"/>
          <w:szCs w:val="21"/>
        </w:rPr>
      </w:pPr>
      <w:r>
        <w:rPr>
          <w:b/>
          <w:bCs/>
          <w:color w:val="000000"/>
          <w:szCs w:val="21"/>
        </w:rPr>
        <w:t>图1-3</w:t>
      </w:r>
      <w:r>
        <w:rPr>
          <w:rFonts w:hint="eastAsia"/>
          <w:b/>
          <w:bCs/>
          <w:color w:val="000000"/>
          <w:szCs w:val="21"/>
          <w:lang w:val="en-US" w:eastAsia="zh-CN"/>
        </w:rPr>
        <w:t xml:space="preserve">  </w:t>
      </w:r>
      <w:r>
        <w:rPr>
          <w:b/>
          <w:bCs/>
          <w:color w:val="000000"/>
          <w:szCs w:val="21"/>
        </w:rPr>
        <w:t>2020年上半年国内居民消费支出结构</w:t>
      </w:r>
    </w:p>
    <w:p>
      <w:pPr>
        <w:tabs>
          <w:tab w:val="left" w:pos="312"/>
        </w:tabs>
        <w:spacing w:line="300" w:lineRule="auto"/>
        <w:ind w:firstLine="420" w:firstLineChars="200"/>
        <w:jc w:val="center"/>
        <w:rPr>
          <w:b/>
          <w:bCs/>
          <w:color w:val="000000"/>
          <w:szCs w:val="21"/>
        </w:rPr>
      </w:pPr>
      <w:r>
        <w:drawing>
          <wp:anchor distT="0" distB="0" distL="114300" distR="114300" simplePos="0" relativeHeight="251660288" behindDoc="0" locked="0" layoutInCell="1" allowOverlap="1">
            <wp:simplePos x="0" y="0"/>
            <wp:positionH relativeFrom="column">
              <wp:posOffset>508635</wp:posOffset>
            </wp:positionH>
            <wp:positionV relativeFrom="paragraph">
              <wp:posOffset>226695</wp:posOffset>
            </wp:positionV>
            <wp:extent cx="4279265" cy="2254250"/>
            <wp:effectExtent l="4445" t="4445" r="21590" b="8255"/>
            <wp:wrapNone/>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Pr>
          <w:b/>
          <w:bCs/>
          <w:color w:val="000000"/>
          <w:szCs w:val="21"/>
        </w:rPr>
        <w:t>数据来源：国家统计局</w:t>
      </w: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480" w:firstLineChars="200"/>
        <w:jc w:val="left"/>
        <w:rPr>
          <w:rFonts w:ascii="宋体" w:hAnsi="宋体" w:cs="宋体"/>
          <w:color w:val="000000"/>
          <w:sz w:val="24"/>
        </w:rPr>
      </w:pPr>
    </w:p>
    <w:p>
      <w:pPr>
        <w:tabs>
          <w:tab w:val="left" w:pos="312"/>
        </w:tabs>
        <w:spacing w:line="300" w:lineRule="auto"/>
        <w:ind w:firstLine="0" w:firstLineChars="0"/>
        <w:jc w:val="left"/>
        <w:rPr>
          <w:rFonts w:ascii="宋体" w:hAnsi="宋体" w:cs="宋体"/>
          <w:color w:val="000000"/>
          <w:sz w:val="24"/>
        </w:rPr>
      </w:pPr>
    </w:p>
    <w:p>
      <w:pPr>
        <w:tabs>
          <w:tab w:val="left" w:pos="312"/>
        </w:tabs>
        <w:spacing w:line="300" w:lineRule="auto"/>
        <w:ind w:firstLine="0" w:firstLineChars="0"/>
        <w:jc w:val="center"/>
        <w:rPr>
          <w:rFonts w:hint="default"/>
          <w:b/>
          <w:bCs/>
          <w:color w:val="000000"/>
          <w:szCs w:val="21"/>
        </w:rPr>
      </w:pPr>
      <w:r>
        <w:rPr>
          <w:rFonts w:ascii="Times New Roman" w:hAnsi="Times New Roman" w:cs="Times New Roman" w:hint="default"/>
          <w:b/>
          <w:bCs/>
          <w:color w:val="000000"/>
          <w:szCs w:val="21"/>
        </w:rPr>
        <w:t>图1-4</w:t>
      </w:r>
      <w:r>
        <w:rPr>
          <w:rFonts w:cs="Times New Roman" w:hint="eastAsia"/>
          <w:b/>
          <w:bCs/>
          <w:color w:val="000000"/>
          <w:szCs w:val="21"/>
          <w:lang w:val="en-US" w:eastAsia="zh-CN"/>
        </w:rPr>
        <w:t xml:space="preserve">  </w:t>
      </w:r>
      <w:r>
        <w:rPr>
          <w:rFonts w:ascii="Times New Roman" w:hAnsi="Times New Roman" w:cs="Times New Roman" w:hint="default"/>
          <w:b/>
          <w:bCs/>
          <w:color w:val="000000"/>
          <w:szCs w:val="21"/>
        </w:rPr>
        <w:t>2019年上半年国内居民消费支出结构</w:t>
      </w:r>
    </w:p>
    <w:p>
      <w:pPr>
        <w:tabs>
          <w:tab w:val="left" w:pos="312"/>
        </w:tabs>
        <w:spacing w:line="300" w:lineRule="auto"/>
        <w:ind w:firstLine="0" w:firstLineChars="0"/>
        <w:jc w:val="center"/>
        <w:rPr>
          <w:rFonts w:ascii="宋体" w:hAnsi="宋体" w:cs="宋体"/>
          <w:b/>
          <w:bCs/>
          <w:color w:val="000000"/>
          <w:szCs w:val="21"/>
        </w:rPr>
        <w:sectPr>
          <w:headerReference w:type="default" r:id="rId16"/>
          <w:footerReference w:type="default" r:id="rId17"/>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cs="Times New Roman" w:hint="default"/>
          <w:b/>
          <w:bCs/>
          <w:color w:val="000000"/>
          <w:szCs w:val="21"/>
        </w:rPr>
        <w:t>数据来源：国家统计局</w:t>
      </w:r>
    </w:p>
    <w:p>
      <w:pPr>
        <w:tabs>
          <w:tab w:val="left" w:pos="312"/>
        </w:tabs>
        <w:spacing w:line="300" w:lineRule="auto"/>
        <w:rPr>
          <w:rFonts w:ascii="宋体" w:hAnsi="宋体" w:cs="宋体"/>
          <w:color w:val="000000"/>
          <w:sz w:val="24"/>
        </w:rPr>
      </w:pPr>
      <w:r>
        <w:rPr>
          <w:rFonts w:ascii="宋体" w:hAnsi="宋体" w:cs="宋体" w:hint="eastAsia"/>
          <w:color w:val="000000"/>
          <w:sz w:val="24"/>
        </w:rPr>
        <w:t xml:space="preserve">    她指出疫情使国内居民消费支出明显下降，2020年上半年，国内居民人均食品烟酒消费支出占人均消费支出的31.9%，同比上升3.3%；而同期人均衣着消费支出占比约6.3%，同比下降0.8%</w:t>
      </w:r>
      <w:r>
        <w:rPr>
          <w:rFonts w:ascii="宋体" w:hAnsi="宋体" w:cs="宋体" w:hint="eastAsia"/>
          <w:color w:val="000000"/>
          <w:sz w:val="24"/>
          <w:highlight w:val="none"/>
          <w:vertAlign w:val="superscript"/>
        </w:rPr>
        <w:t>[3]</w:t>
      </w:r>
      <w:r>
        <w:rPr>
          <w:rFonts w:ascii="宋体" w:hAnsi="宋体" w:cs="宋体" w:hint="eastAsia"/>
          <w:color w:val="000000"/>
          <w:sz w:val="24"/>
        </w:rPr>
        <w:t>。</w:t>
      </w:r>
    </w:p>
    <w:p>
      <w:pPr>
        <w:tabs>
          <w:tab w:val="left" w:pos="312"/>
        </w:tabs>
        <w:spacing w:line="300" w:lineRule="auto"/>
        <w:ind w:firstLine="480" w:firstLineChars="200"/>
        <w:jc w:val="left"/>
        <w:rPr>
          <w:rFonts w:ascii="宋体" w:hAnsi="宋体" w:cs="宋体"/>
          <w:color w:val="000000"/>
          <w:sz w:val="24"/>
          <w:vertAlign w:val="superscript"/>
        </w:rPr>
      </w:pPr>
      <w:r>
        <w:rPr>
          <w:rFonts w:ascii="宋体" w:hAnsi="宋体" w:cs="宋体" w:hint="eastAsia"/>
          <w:color w:val="000000"/>
          <w:sz w:val="24"/>
        </w:rPr>
        <w:t>孙瑞哲（2020）在纺织业如何促稳一文中同样指出了行业呈颓势的主要原因：生产规模下降，投资规模减少，经济情势不明朗。第一，生产规模下降。2020年中后期纺织行业开工正在逐步恢复，但受疫情影响，生产能力仍低于正常水平。第二，投资规模减少，不仅仅是纺织服装行业，社会的各行各业以及各企业普遍缺乏投资信心和能力，投资规模大幅萎缩。第三，经济情势不明朗，在需求严重不足、产销大幅下滑的情况下，纺织企业收入和利润大幅萎缩</w:t>
      </w:r>
      <w:r>
        <w:rPr>
          <w:rFonts w:ascii="宋体" w:hAnsi="宋体" w:cs="宋体" w:hint="eastAsia"/>
          <w:color w:val="000000"/>
          <w:sz w:val="24"/>
          <w:vertAlign w:val="superscript"/>
        </w:rPr>
        <w:t>[4]</w:t>
      </w:r>
      <w:r>
        <w:rPr>
          <w:rFonts w:ascii="宋体" w:hAnsi="宋体" w:cs="宋体" w:hint="eastAsia"/>
          <w:color w:val="000000"/>
          <w:sz w:val="24"/>
        </w:rPr>
        <w:t>。</w:t>
      </w:r>
    </w:p>
    <w:p>
      <w:pPr>
        <w:tabs>
          <w:tab w:val="left" w:pos="312"/>
        </w:tabs>
        <w:spacing w:line="300" w:lineRule="auto"/>
        <w:ind w:firstLine="480" w:firstLineChars="200"/>
        <w:jc w:val="left"/>
        <w:rPr>
          <w:rFonts w:ascii="宋体" w:hAnsi="宋体" w:cs="宋体"/>
          <w:color w:val="000000"/>
          <w:sz w:val="24"/>
          <w:vertAlign w:val="superscript"/>
        </w:rPr>
      </w:pPr>
      <w:r>
        <w:rPr>
          <w:rFonts w:ascii="宋体" w:hAnsi="宋体" w:cs="宋体" w:hint="eastAsia"/>
          <w:color w:val="000000"/>
          <w:sz w:val="24"/>
        </w:rPr>
        <w:t>古芳（2020）在新冠疫情下中国纺织品出口风险应对策略研究一文中指出了应对萎靡措施：政府发力扶持，创新绿色生产以及增强品牌意识。第一，政府扶持，2020年国家各部位启动了关于应对新冠疫情的相关惠民惠企的政策法规。第二，创新绿色生产，新冠疫情爆发阶段以来，以美国为代表的的一些国家，纷纷提高对中国的贸易壁垒，中国纺织外贸企业自身应该抓住机遇，创新生产绿色理念，升级自身纺织品的生产技术，形成自己的竞争优势</w:t>
      </w:r>
      <w:r>
        <w:rPr>
          <w:rFonts w:ascii="宋体" w:hAnsi="宋体" w:cs="宋体" w:hint="eastAsia"/>
          <w:color w:val="000000"/>
          <w:sz w:val="24"/>
          <w:vertAlign w:val="superscript"/>
        </w:rPr>
        <w:t>[5]</w:t>
      </w:r>
      <w:r>
        <w:rPr>
          <w:rFonts w:ascii="宋体" w:hAnsi="宋体" w:cs="宋体" w:hint="eastAsia"/>
          <w:color w:val="000000"/>
          <w:sz w:val="24"/>
        </w:rPr>
        <w:t>。</w:t>
      </w:r>
    </w:p>
    <w:p>
      <w:pPr>
        <w:tabs>
          <w:tab w:val="left" w:pos="312"/>
        </w:tabs>
        <w:spacing w:line="300" w:lineRule="auto"/>
        <w:ind w:firstLine="480" w:firstLineChars="200"/>
        <w:jc w:val="left"/>
        <w:rPr>
          <w:rFonts w:ascii="宋体" w:hAnsi="宋体" w:cs="宋体"/>
          <w:color w:val="000000"/>
          <w:sz w:val="24"/>
        </w:rPr>
      </w:pPr>
      <w:r>
        <w:rPr>
          <w:rFonts w:ascii="宋体" w:hAnsi="宋体" w:cs="宋体" w:hint="eastAsia"/>
          <w:color w:val="000000"/>
          <w:sz w:val="24"/>
        </w:rPr>
        <w:t>颜丹丹（2020）在疫情对纺织行业的影响及行业恢复建议一文中也提出了自己的主张：第一，企业要关注政府配套相关政策，所以纺织服装企业要密切注意行业的恢复策略，抓住后疫情时期行业的需求，提高自身的影响力；第二，行业要做好区域产业布局；第三，政府要促进产供销结合，要以市场为导向，结合本地纺织行业的生产实际，进行生产、供应、销售三者有机结合</w:t>
      </w:r>
      <w:r>
        <w:rPr>
          <w:rFonts w:ascii="宋体" w:hAnsi="宋体" w:cs="宋体" w:hint="eastAsia"/>
          <w:color w:val="000000"/>
          <w:sz w:val="24"/>
          <w:vertAlign w:val="superscript"/>
        </w:rPr>
        <w:t>[6]</w:t>
      </w:r>
      <w:r>
        <w:rPr>
          <w:rFonts w:ascii="宋体" w:hAnsi="宋体" w:cs="宋体" w:hint="eastAsia"/>
          <w:color w:val="000000"/>
          <w:sz w:val="24"/>
        </w:rPr>
        <w:t>。</w:t>
      </w:r>
    </w:p>
    <w:p>
      <w:pPr>
        <w:spacing w:line="300" w:lineRule="auto"/>
        <w:jc w:val="left"/>
        <w:rPr>
          <w:rFonts w:ascii="黑体" w:eastAsia="黑体" w:hAnsi="黑体" w:cs="黑体"/>
          <w:color w:val="000000"/>
          <w:sz w:val="28"/>
          <w:szCs w:val="28"/>
        </w:rPr>
      </w:pPr>
      <w:r>
        <w:rPr>
          <w:rFonts w:ascii="黑体" w:eastAsia="黑体" w:hAnsi="黑体" w:cs="黑体" w:hint="eastAsia"/>
          <w:color w:val="000000"/>
          <w:sz w:val="28"/>
          <w:szCs w:val="28"/>
        </w:rPr>
        <w:t>1.2.3文献评述</w:t>
      </w:r>
    </w:p>
    <w:p>
      <w:pPr>
        <w:spacing w:line="300" w:lineRule="auto"/>
        <w:ind w:firstLine="480"/>
        <w:jc w:val="left"/>
        <w:rPr>
          <w:color w:val="121212"/>
          <w:sz w:val="24"/>
          <w:shd w:val="clear" w:color="auto" w:fill="FFFFFF"/>
        </w:rPr>
      </w:pPr>
      <w:r>
        <w:rPr>
          <w:rFonts w:hint="eastAsia"/>
          <w:color w:val="121212"/>
          <w:sz w:val="24"/>
          <w:shd w:val="clear" w:color="auto" w:fill="FFFFFF"/>
        </w:rPr>
        <w:t>根据国内外研究者的观点来看，引起纺织服装行业变化的结果是有两方面的，一是带来的负面影响，造成了进出口额度的下降，种类的减少；二是带来的积极影响，加速市场转型，促进了初级纺织品需求的上升。在解决措施方面，国内外学者都呼吁国家、行业应当不断出台惠企政策，提高技术水平，不断提高核心竞争力，才能在这场疫情中取得逆转，转危为安。</w:t>
      </w:r>
    </w:p>
    <w:p>
      <w:pPr>
        <w:spacing w:line="300" w:lineRule="auto"/>
        <w:ind w:firstLine="480"/>
        <w:jc w:val="left"/>
        <w:rPr>
          <w:rFonts w:ascii="黑体" w:eastAsia="黑体" w:hAnsi="黑体" w:cs="黑体"/>
          <w:color w:val="000000"/>
          <w:sz w:val="28"/>
          <w:szCs w:val="28"/>
        </w:rPr>
      </w:pPr>
      <w:r>
        <w:rPr>
          <w:rFonts w:hint="eastAsia"/>
          <w:color w:val="121212"/>
          <w:sz w:val="24"/>
          <w:shd w:val="clear" w:color="auto" w:fill="FFFFFF"/>
        </w:rPr>
        <w:t>学者们的观点对本文作者完成这篇论文的帮助很大。国内外文献详细地论述了疫情带来的影响，但是在分析疫情对国家、行业、企业的积极影响和转型方面并不全面，研究较少，本文就疫情对我国纺织服装行业的影响为主题，展开分析。结合疫情对各行各业的进出口贸易的影响，聚焦至传统的纺织服装行业，在解决措施上从国家、行业、企业这三个层面提出解决方法。</w:t>
      </w:r>
    </w:p>
    <w:p>
      <w:pPr>
        <w:spacing w:line="300" w:lineRule="auto"/>
        <w:jc w:val="left"/>
        <w:rPr>
          <w:rFonts w:ascii="黑体" w:eastAsia="黑体" w:hAnsi="黑体" w:cs="黑体"/>
          <w:color w:val="000000"/>
          <w:sz w:val="28"/>
          <w:szCs w:val="28"/>
        </w:rPr>
      </w:pPr>
      <w:r>
        <w:rPr>
          <w:rFonts w:ascii="黑体" w:eastAsia="黑体" w:hAnsi="黑体" w:cs="黑体" w:hint="eastAsia"/>
          <w:color w:val="000000"/>
          <w:sz w:val="28"/>
          <w:szCs w:val="28"/>
        </w:rPr>
        <w:t>1.3研究内容与方法</w:t>
      </w:r>
    </w:p>
    <w:p>
      <w:pPr>
        <w:spacing w:line="300" w:lineRule="auto"/>
        <w:jc w:val="left"/>
        <w:rPr>
          <w:rFonts w:ascii="黑体" w:eastAsia="黑体" w:hAnsi="黑体" w:cs="黑体"/>
          <w:i/>
          <w:iCs/>
          <w:color w:val="000000"/>
          <w:sz w:val="28"/>
          <w:szCs w:val="28"/>
        </w:rPr>
      </w:pPr>
      <w:r>
        <w:rPr>
          <w:rFonts w:ascii="黑体" w:eastAsia="黑体" w:hAnsi="黑体" w:cs="黑体" w:hint="eastAsia"/>
          <w:color w:val="000000"/>
          <w:sz w:val="28"/>
          <w:szCs w:val="28"/>
        </w:rPr>
        <w:t>1.3.1研究内容</w:t>
      </w:r>
    </w:p>
    <w:p>
      <w:pPr>
        <w:tabs>
          <w:tab w:val="left" w:pos="3808"/>
        </w:tabs>
        <w:spacing w:line="300" w:lineRule="auto"/>
        <w:ind w:firstLine="480" w:firstLineChars="200"/>
        <w:rPr>
          <w:rFonts w:ascii="宋体" w:hAnsi="宋体"/>
          <w:color w:val="000000"/>
          <w:sz w:val="24"/>
          <w:szCs w:val="18"/>
        </w:rPr>
        <w:sectPr>
          <w:headerReference w:type="default" r:id="rId18"/>
          <w:footerReference w:type="default" r:id="rId19"/>
          <w:type w:val="nextPage"/>
          <w:pgSz w:w="11906" w:h="16838"/>
          <w:pgMar w:top="1440" w:right="1800" w:bottom="1440" w:left="1800" w:header="851" w:footer="992" w:gutter="0"/>
          <w:pgNumType w:start="5"/>
          <w:cols w:num="1" w:space="425"/>
          <w:titlePg w:val="0"/>
          <w:docGrid w:type="lines" w:linePitch="312" w:charSpace="0"/>
        </w:sectPr>
      </w:pPr>
    </w:p>
    <w:p>
      <w:pPr>
        <w:tabs>
          <w:tab w:val="left" w:pos="3808"/>
        </w:tabs>
        <w:spacing w:line="300" w:lineRule="auto"/>
        <w:ind w:firstLine="480" w:firstLineChars="200"/>
        <w:rPr>
          <w:rFonts w:ascii="宋体" w:hAnsi="宋体"/>
          <w:color w:val="000000"/>
          <w:sz w:val="24"/>
          <w:szCs w:val="18"/>
        </w:rPr>
      </w:pPr>
      <w:r>
        <w:rPr>
          <w:rFonts w:ascii="宋体" w:hAnsi="宋体" w:hint="eastAsia"/>
          <w:color w:val="000000"/>
          <w:sz w:val="24"/>
          <w:szCs w:val="18"/>
        </w:rPr>
        <w:t>本文首先介绍了我国纺织服装产品在疫情前的状况，然后重点介绍了疫情爆发后对各行各业的严重负面影响，并详细论述了疫情爆发后我国纺织服装行业贸易的波动情况，之后针对接下来的研究界定文章重点概念，阐述相关的文献综述。本文研究的核心是疫情对我国纺织服装产品的贸易效应，首先对疫情前后的纺织服装产品进出口现状进行分析，然后运用参考文献和数据柱状图对纺织品主要出口的市场和国际占有率进行横向对比分析，在通过国家统计局网站的权威数据列出了纺织品出口的主要种类，利用数据分析表和世界贸易的事例实证分析新冠肺炎疫情对我国的纺织服装产品贸易的积极和消极影响，得出结论并提出措施。</w:t>
      </w:r>
    </w:p>
    <w:p>
      <w:pPr>
        <w:tabs>
          <w:tab w:val="left" w:pos="3808"/>
        </w:tabs>
        <w:spacing w:line="300" w:lineRule="auto"/>
        <w:ind w:firstLine="480" w:firstLineChars="200"/>
        <w:rPr>
          <w:rFonts w:ascii="宋体" w:hAnsi="宋体"/>
          <w:color w:val="000000"/>
          <w:sz w:val="24"/>
          <w:szCs w:val="18"/>
        </w:rPr>
      </w:pPr>
      <w:r>
        <w:rPr>
          <w:rFonts w:ascii="宋体" w:hAnsi="宋体" w:hint="eastAsia"/>
          <w:color w:val="000000"/>
          <w:sz w:val="24"/>
          <w:szCs w:val="18"/>
        </w:rPr>
        <w:t>本文结构如下：</w:t>
      </w:r>
    </w:p>
    <w:p>
      <w:pPr>
        <w:tabs>
          <w:tab w:val="left" w:pos="3808"/>
        </w:tabs>
        <w:spacing w:line="300" w:lineRule="auto"/>
        <w:ind w:firstLine="480" w:firstLineChars="200"/>
        <w:rPr>
          <w:rFonts w:ascii="宋体" w:hAnsi="宋体"/>
          <w:color w:val="000000"/>
          <w:sz w:val="24"/>
          <w:szCs w:val="18"/>
        </w:rPr>
      </w:pPr>
      <w:r>
        <w:rPr>
          <w:rFonts w:ascii="宋体" w:hAnsi="宋体" w:hint="eastAsia"/>
          <w:color w:val="000000"/>
          <w:sz w:val="24"/>
          <w:szCs w:val="18"/>
        </w:rPr>
        <w:t>第一章为绪论。说明本文研究的背景、意义、研究内容和研究方法以及研究的技术路线；第二章明确文章核心概念，搜集国内外各学者对新冠肺炎疫情的贸易效应、利用实证分析新冠肺炎疫情对我国纺织服装市场的状况、占有率和主要种类进行整理，最后进行总结；第三章以此介绍了新冠肺炎疫情对我国纺织服装贸易的消极和积极影响；第四章提出了应对新冠肺炎疫情对我国纺织服装贸易消极影响的措施，先是从宏观的国家层面，结合中央提出的“十四五”计划，并联动国务院扶持中小企业和“脱贫攻坚战”的政策，提出宏观的措施；再从中观的纺织服装贸易这个行业层面，提出后疫情时代中观的行业框架构造；最后从微观的个体企业提出自己的意见。</w:t>
      </w:r>
    </w:p>
    <w:p>
      <w:pPr>
        <w:spacing w:line="300" w:lineRule="auto"/>
        <w:jc w:val="left"/>
        <w:rPr>
          <w:rFonts w:ascii="黑体" w:eastAsia="黑体" w:hAnsi="黑体" w:cs="黑体"/>
          <w:i/>
          <w:iCs/>
          <w:color w:val="000000"/>
          <w:sz w:val="28"/>
          <w:szCs w:val="28"/>
        </w:rPr>
      </w:pPr>
      <w:r>
        <w:rPr>
          <w:rFonts w:ascii="黑体" w:eastAsia="黑体" w:hAnsi="黑体" w:cs="黑体" w:hint="eastAsia"/>
          <w:color w:val="000000"/>
          <w:sz w:val="28"/>
          <w:szCs w:val="28"/>
        </w:rPr>
        <w:t>1.3.2研究方法</w:t>
      </w:r>
    </w:p>
    <w:p>
      <w:pPr>
        <w:tabs>
          <w:tab w:val="left" w:pos="3808"/>
        </w:tabs>
        <w:spacing w:line="300" w:lineRule="auto"/>
        <w:ind w:firstLine="480" w:firstLineChars="200"/>
        <w:rPr>
          <w:rFonts w:ascii="宋体" w:hAnsi="宋体"/>
          <w:color w:val="000000"/>
          <w:sz w:val="24"/>
          <w:szCs w:val="18"/>
        </w:rPr>
      </w:pPr>
      <w:r>
        <w:rPr>
          <w:rFonts w:ascii="宋体" w:hAnsi="宋体" w:hint="eastAsia"/>
          <w:color w:val="000000"/>
          <w:sz w:val="24"/>
          <w:szCs w:val="18"/>
        </w:rPr>
        <w:t>（1）比较研究法</w:t>
      </w:r>
    </w:p>
    <w:p>
      <w:pPr>
        <w:tabs>
          <w:tab w:val="left" w:pos="3808"/>
        </w:tabs>
        <w:spacing w:line="300" w:lineRule="auto"/>
        <w:ind w:firstLine="480" w:firstLineChars="200"/>
        <w:rPr>
          <w:rFonts w:ascii="宋体" w:hAnsi="宋体"/>
          <w:color w:val="000000"/>
          <w:sz w:val="24"/>
          <w:szCs w:val="18"/>
        </w:rPr>
      </w:pPr>
      <w:r>
        <w:rPr>
          <w:rFonts w:ascii="宋体" w:hAnsi="宋体" w:hint="eastAsia"/>
          <w:color w:val="000000"/>
          <w:sz w:val="24"/>
          <w:szCs w:val="18"/>
        </w:rPr>
        <w:t>本文通过比较研究分析法，比较中国与世界其他国家纺织服装产品进出口情况、出口结构和国际占有率。</w:t>
      </w:r>
    </w:p>
    <w:p>
      <w:pPr>
        <w:tabs>
          <w:tab w:val="left" w:pos="3808"/>
        </w:tabs>
        <w:spacing w:line="300" w:lineRule="auto"/>
        <w:ind w:firstLine="480"/>
        <w:rPr>
          <w:rFonts w:ascii="宋体" w:hAnsi="宋体"/>
          <w:color w:val="000000"/>
          <w:sz w:val="24"/>
          <w:szCs w:val="18"/>
        </w:rPr>
      </w:pPr>
      <w:r>
        <w:rPr>
          <w:rFonts w:ascii="宋体" w:hAnsi="宋体" w:hint="eastAsia"/>
          <w:color w:val="000000"/>
          <w:sz w:val="24"/>
          <w:szCs w:val="18"/>
        </w:rPr>
        <w:t>（2）文献研究法</w:t>
      </w:r>
    </w:p>
    <w:p>
      <w:pPr>
        <w:tabs>
          <w:tab w:val="left" w:pos="3808"/>
        </w:tabs>
        <w:spacing w:line="300" w:lineRule="auto"/>
        <w:ind w:firstLine="480"/>
        <w:jc w:val="left"/>
        <w:rPr>
          <w:rFonts w:ascii="宋体" w:hAnsi="宋体" w:hint="eastAsia"/>
          <w:color w:val="000000"/>
          <w:sz w:val="24"/>
          <w:szCs w:val="18"/>
        </w:rPr>
      </w:pPr>
      <w:r>
        <w:rPr>
          <w:rFonts w:ascii="宋体" w:hAnsi="宋体" w:hint="eastAsia"/>
          <w:color w:val="000000"/>
          <w:sz w:val="24"/>
          <w:szCs w:val="18"/>
        </w:rPr>
        <w:t>本文利用文献研究分析法，利用知网查阅相关期刊文献，重点阅读和梳理与本文相关的文献，进行深入分析、合理借鉴。</w:t>
      </w:r>
    </w:p>
    <w:p>
      <w:pPr>
        <w:pStyle w:val="BodyTextIndent"/>
        <w:spacing w:before="156" w:beforeLines="50" w:line="300" w:lineRule="auto"/>
        <w:ind w:left="0" w:firstLine="480" w:leftChars="0" w:firstLineChars="200"/>
        <w:jc w:val="left"/>
        <w:rPr>
          <w:rFonts w:ascii="宋体" w:hAnsi="宋体"/>
          <w:sz w:val="24"/>
        </w:rPr>
      </w:pPr>
      <w:r>
        <w:rPr>
          <w:rFonts w:ascii="宋体" w:hAnsi="宋体" w:hint="eastAsia"/>
          <w:sz w:val="24"/>
          <w:lang w:eastAsia="zh-CN"/>
        </w:rPr>
        <w:t>（</w:t>
      </w:r>
      <w:r>
        <w:rPr>
          <w:rFonts w:ascii="宋体" w:hAnsi="宋体" w:hint="eastAsia"/>
          <w:sz w:val="24"/>
          <w:lang w:val="en-US" w:eastAsia="zh-CN"/>
        </w:rPr>
        <w:t>3</w:t>
      </w:r>
      <w:r>
        <w:rPr>
          <w:rFonts w:ascii="宋体" w:hAnsi="宋体" w:hint="eastAsia"/>
          <w:sz w:val="24"/>
          <w:lang w:eastAsia="zh-CN"/>
        </w:rPr>
        <w:t>）</w:t>
      </w:r>
      <w:r>
        <w:rPr>
          <w:rFonts w:ascii="宋体" w:hAnsi="宋体" w:hint="eastAsia"/>
          <w:sz w:val="24"/>
        </w:rPr>
        <w:t>图表分析法：引用数据分析表、柱状图等分析对我国纺织服装贸易发展进行现状分析。</w:t>
      </w:r>
    </w:p>
    <w:p>
      <w:pPr>
        <w:pStyle w:val="BodyTextIndent"/>
        <w:spacing w:before="156" w:beforeLines="50" w:line="300" w:lineRule="auto"/>
        <w:ind w:left="0" w:firstLine="480" w:leftChars="0" w:firstLineChars="200"/>
        <w:jc w:val="left"/>
        <w:rPr>
          <w:rFonts w:ascii="宋体" w:hAnsi="宋体"/>
          <w:sz w:val="24"/>
        </w:rPr>
      </w:pPr>
      <w:r>
        <w:rPr>
          <w:rFonts w:ascii="宋体" w:hAnsi="宋体" w:hint="eastAsia"/>
          <w:sz w:val="24"/>
          <w:lang w:eastAsia="zh-CN"/>
        </w:rPr>
        <w:t>（</w:t>
      </w:r>
      <w:r>
        <w:rPr>
          <w:rFonts w:ascii="宋体" w:hAnsi="宋体" w:hint="eastAsia"/>
          <w:sz w:val="24"/>
          <w:lang w:val="en-US" w:eastAsia="zh-CN"/>
        </w:rPr>
        <w:t>4</w:t>
      </w:r>
      <w:r>
        <w:rPr>
          <w:rFonts w:ascii="宋体" w:hAnsi="宋体" w:hint="eastAsia"/>
          <w:sz w:val="24"/>
          <w:lang w:eastAsia="zh-CN"/>
        </w:rPr>
        <w:t>）</w:t>
      </w:r>
      <w:r>
        <w:rPr>
          <w:rFonts w:ascii="宋体" w:hAnsi="宋体" w:hint="eastAsia"/>
          <w:sz w:val="24"/>
        </w:rPr>
        <w:t>定性分析法：国际竞争力与纺织服装贸易的角度探讨我国服务贸易当前所存在的问题。</w:t>
      </w:r>
    </w:p>
    <w:p>
      <w:pPr>
        <w:tabs>
          <w:tab w:val="left" w:pos="3808"/>
        </w:tabs>
        <w:spacing w:line="300" w:lineRule="auto"/>
        <w:ind w:firstLine="480"/>
        <w:jc w:val="left"/>
        <w:rPr>
          <w:rFonts w:ascii="宋体" w:hAnsi="宋体" w:hint="eastAsia"/>
          <w:color w:val="000000"/>
          <w:sz w:val="24"/>
          <w:szCs w:val="18"/>
        </w:rPr>
      </w:pPr>
    </w:p>
    <w:p>
      <w:pPr>
        <w:spacing w:line="300" w:lineRule="auto"/>
        <w:jc w:val="left"/>
        <w:rPr>
          <w:rFonts w:ascii="黑体" w:eastAsia="黑体" w:hAnsi="黑体" w:cs="黑体" w:hint="eastAsia"/>
          <w:color w:val="000000"/>
          <w:sz w:val="30"/>
          <w:szCs w:val="30"/>
        </w:rPr>
      </w:pPr>
    </w:p>
    <w:p>
      <w:pPr>
        <w:spacing w:line="300" w:lineRule="auto"/>
        <w:jc w:val="left"/>
        <w:rPr>
          <w:rFonts w:ascii="黑体" w:eastAsia="黑体" w:hAnsi="黑体" w:cs="黑体" w:hint="eastAsia"/>
          <w:color w:val="000000"/>
          <w:sz w:val="30"/>
          <w:szCs w:val="30"/>
        </w:rPr>
      </w:pPr>
    </w:p>
    <w:p>
      <w:pPr>
        <w:spacing w:line="300" w:lineRule="auto"/>
        <w:jc w:val="left"/>
        <w:rPr>
          <w:rFonts w:ascii="黑体" w:eastAsia="黑体" w:hAnsi="黑体" w:cs="黑体" w:hint="eastAsia"/>
          <w:color w:val="000000"/>
          <w:sz w:val="30"/>
          <w:szCs w:val="30"/>
        </w:rPr>
      </w:pPr>
      <w:r>
        <w:rPr>
          <w:rFonts w:ascii="黑体" w:eastAsia="黑体" w:hAnsi="黑体" w:cs="黑体" w:hint="eastAsia"/>
          <w:color w:val="000000"/>
          <w:sz w:val="30"/>
          <w:szCs w:val="30"/>
        </w:rPr>
        <w:br/>
      </w:r>
      <w:r>
        <w:rPr>
          <w:rFonts w:ascii="黑体" w:eastAsia="黑体" w:hAnsi="黑体" w:cs="黑体" w:hint="eastAsia"/>
          <w:color w:val="000000"/>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https://d.book118.com/718123056045006025</w:t>
        </w:r>
      </w:hyperlink>
    </w:p>
    <w:p>
      <w:pPr>
        <w:spacing w:line="300" w:lineRule="auto"/>
        <w:jc w:val="left"/>
        <w:rPr>
          <w:rFonts w:ascii="黑体" w:eastAsia="黑体" w:hAnsi="黑体" w:cs="黑体" w:hint="eastAsia"/>
          <w:color w:val="000000"/>
          <w:sz w:val="30"/>
          <w:szCs w:val="30"/>
        </w:rPr>
      </w:pPr>
    </w:p>
    <w:sectPr>
      <w:headerReference w:type="default" r:id="rId21"/>
      <w:footerReference w:type="default" r:id="rId22"/>
      <w:type w:val="nextPage"/>
      <w:pgSz w:w="11906" w:h="16838"/>
      <w:pgMar w:top="1440" w:right="1800" w:bottom="1440" w:left="1800" w:header="851" w:footer="992" w:gutter="0"/>
      <w:pgNumType w:start="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BemboStd-Italic">
    <w:altName w:val="Segoe Print"/>
    <w:panose1 w:val="00000000000000000000"/>
    <w:charset w:val="00"/>
    <w:family w:val="auto"/>
    <w:pitch w:val="default"/>
    <w:sig w:usb0="00000000" w:usb1="00000000" w:usb2="00000000" w:usb3="00000000" w:csb0="00000001" w:csb1="00000000"/>
  </w:font>
  <w:font w:name="FZSSJW--GB1-0">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4205352"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12659243"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886576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5510167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560256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B2C187"/>
    <w:multiLevelType w:val="singleLevel"/>
    <w:tmpl w:val="92B2C187"/>
    <w:lvl w:ilvl="0">
      <w:start w:val="1"/>
      <w:numFmt w:val="chineseCounting"/>
      <w:suff w:val="space"/>
      <w:lvlText w:val="第%1章"/>
      <w:lvlJc w:val="left"/>
      <w:rPr>
        <w:rFonts w:hint="eastAsia"/>
      </w:rPr>
    </w:lvl>
  </w:abstractNum>
  <w:abstractNum w:abstractNumId="1">
    <w:nsid w:val="A9403B49"/>
    <w:multiLevelType w:val="singleLevel"/>
    <w:tmpl w:val="A9403B49"/>
    <w:lvl w:ilvl="0">
      <w:start w:val="2"/>
      <w:numFmt w:val="chineseCounting"/>
      <w:suff w:val="nothing"/>
      <w:lvlText w:val="第%1，"/>
      <w:lvlJc w:val="left"/>
      <w:rPr>
        <w:rFonts w:hint="eastAsia"/>
      </w:rPr>
    </w:lvl>
  </w:abstractNum>
  <w:abstractNum w:abstractNumId="2">
    <w:nsid w:val="0815BEB3"/>
    <w:multiLevelType w:val="singleLevel"/>
    <w:tmpl w:val="0815BEB3"/>
    <w:lvl w:ilvl="0">
      <w:start w:val="1"/>
      <w:numFmt w:val="chineseCounting"/>
      <w:suff w:val="nothing"/>
      <w:lvlText w:val="第%1，"/>
      <w:lvlJc w:val="left"/>
      <w:rPr>
        <w:rFonts w:hint="eastAsia"/>
      </w:rPr>
    </w:lvl>
  </w:abstractNum>
  <w:abstractNum w:abstractNumId="3">
    <w:nsid w:val="720376C5"/>
    <w:multiLevelType w:val="singleLevel"/>
    <w:tmpl w:val="720376C5"/>
    <w:lvl w:ilvl="0">
      <w:start w:val="1"/>
      <w:numFmt w:val="decimal"/>
      <w:suff w:val="space"/>
      <w:lvlText w:val="[%1]"/>
      <w:lvlJc w:val="left"/>
    </w:lvl>
  </w:abstractNum>
  <w:num w:numId="1">
    <w:abstractNumId w:val="0"/>
  </w:num>
  <w:num w:numId="2">
    <w:abstractNumId w:val="1"/>
  </w:num>
  <w:num w:numId="3">
    <w:abstractNumId w:val="2"/>
  </w:num>
  <w:num w:numId="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Mamba Out">
    <w15:presenceInfo w15:providerId="None" w15:userId="17574206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9735B0"/>
    <w:rsid w:val="00043DF6"/>
    <w:rsid w:val="00052EF9"/>
    <w:rsid w:val="00112AA7"/>
    <w:rsid w:val="00117D64"/>
    <w:rsid w:val="00145FE7"/>
    <w:rsid w:val="001C74F7"/>
    <w:rsid w:val="00200A60"/>
    <w:rsid w:val="00246AEA"/>
    <w:rsid w:val="00274901"/>
    <w:rsid w:val="00292F72"/>
    <w:rsid w:val="00452C81"/>
    <w:rsid w:val="004654EB"/>
    <w:rsid w:val="004F4349"/>
    <w:rsid w:val="0056763A"/>
    <w:rsid w:val="005B19E6"/>
    <w:rsid w:val="005F225F"/>
    <w:rsid w:val="00612591"/>
    <w:rsid w:val="00672950"/>
    <w:rsid w:val="00793204"/>
    <w:rsid w:val="007A30F7"/>
    <w:rsid w:val="00881598"/>
    <w:rsid w:val="008E2A3C"/>
    <w:rsid w:val="00991057"/>
    <w:rsid w:val="00A9275F"/>
    <w:rsid w:val="00A97A13"/>
    <w:rsid w:val="00AF6501"/>
    <w:rsid w:val="00B10369"/>
    <w:rsid w:val="00BB6FA2"/>
    <w:rsid w:val="00BE04A9"/>
    <w:rsid w:val="00CA1FF8"/>
    <w:rsid w:val="00CA201E"/>
    <w:rsid w:val="00D31B0A"/>
    <w:rsid w:val="00D95226"/>
    <w:rsid w:val="00DA0553"/>
    <w:rsid w:val="00E47A38"/>
    <w:rsid w:val="00EB7055"/>
    <w:rsid w:val="00FE1E31"/>
    <w:rsid w:val="013430A7"/>
    <w:rsid w:val="0AC1239C"/>
    <w:rsid w:val="0F26090E"/>
    <w:rsid w:val="11594849"/>
    <w:rsid w:val="192516C7"/>
    <w:rsid w:val="1E3F7FA2"/>
    <w:rsid w:val="21BB1346"/>
    <w:rsid w:val="22C82AC9"/>
    <w:rsid w:val="23CC25D3"/>
    <w:rsid w:val="283B09A7"/>
    <w:rsid w:val="2AF15E60"/>
    <w:rsid w:val="2BF302FD"/>
    <w:rsid w:val="2D1E2907"/>
    <w:rsid w:val="2D1F6C0B"/>
    <w:rsid w:val="2EBA1C78"/>
    <w:rsid w:val="30743951"/>
    <w:rsid w:val="31012AF3"/>
    <w:rsid w:val="32AB2F1C"/>
    <w:rsid w:val="331C19F5"/>
    <w:rsid w:val="34D756ED"/>
    <w:rsid w:val="35BF6D9F"/>
    <w:rsid w:val="363953E3"/>
    <w:rsid w:val="369D242F"/>
    <w:rsid w:val="398051F8"/>
    <w:rsid w:val="3BD73521"/>
    <w:rsid w:val="3C241B5E"/>
    <w:rsid w:val="3C4650B8"/>
    <w:rsid w:val="42044BBA"/>
    <w:rsid w:val="420529FB"/>
    <w:rsid w:val="42B67C26"/>
    <w:rsid w:val="48F640EF"/>
    <w:rsid w:val="49B41909"/>
    <w:rsid w:val="49DE413A"/>
    <w:rsid w:val="4B234830"/>
    <w:rsid w:val="4B9735B0"/>
    <w:rsid w:val="4CFB6026"/>
    <w:rsid w:val="52FC2C8F"/>
    <w:rsid w:val="54E335D9"/>
    <w:rsid w:val="568C2283"/>
    <w:rsid w:val="5CE34BD3"/>
    <w:rsid w:val="5DDA49F3"/>
    <w:rsid w:val="5EDD1DD1"/>
    <w:rsid w:val="654A650F"/>
    <w:rsid w:val="65942645"/>
    <w:rsid w:val="676513AD"/>
    <w:rsid w:val="6B6E36BE"/>
    <w:rsid w:val="6C341476"/>
    <w:rsid w:val="6C7B4BDA"/>
    <w:rsid w:val="6CA73F3A"/>
    <w:rsid w:val="6D6651A7"/>
    <w:rsid w:val="6F787DFD"/>
    <w:rsid w:val="72682C80"/>
    <w:rsid w:val="72CE7486"/>
    <w:rsid w:val="73025EA5"/>
    <w:rsid w:val="77044082"/>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Normal"/>
    <w:next w:val="Normal"/>
    <w:autoRedefine/>
    <w:semiHidden/>
    <w:unhideWhenUsed/>
    <w:qFormat/>
    <w:pPr>
      <w:spacing w:beforeAutospacing="1" w:afterAutospacing="1"/>
      <w:jc w:val="left"/>
      <w:outlineLvl w:val="1"/>
    </w:pPr>
    <w:rPr>
      <w:rFonts w:ascii="宋体" w:hAnsi="宋体" w:hint="eastAsia"/>
      <w:b/>
      <w:bCs/>
      <w:kern w:val="0"/>
      <w:sz w:val="36"/>
      <w:szCs w:val="36"/>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autoRedefine/>
    <w:qFormat/>
    <w:pPr>
      <w:spacing w:after="120"/>
    </w:pPr>
  </w:style>
  <w:style w:type="paragraph" w:styleId="BodyTextIndent">
    <w:name w:val="Body Text Indent"/>
    <w:basedOn w:val="Normal"/>
    <w:autoRedefine/>
    <w:qFormat/>
    <w:pPr>
      <w:spacing w:after="120"/>
      <w:ind w:left="420" w:leftChars="200"/>
    </w:pPr>
  </w:style>
  <w:style w:type="paragraph" w:styleId="BalloonText">
    <w:name w:val="Balloon Text"/>
    <w:basedOn w:val="Normal"/>
    <w:link w:val="BalloonTextChar"/>
    <w:qFormat/>
    <w:rPr>
      <w:sz w:val="18"/>
      <w:szCs w:val="18"/>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autoRedefine/>
    <w:qFormat/>
    <w:pPr>
      <w:spacing w:beforeAutospacing="1" w:afterAutospacing="1"/>
      <w:jc w:val="left"/>
    </w:pPr>
    <w:rPr>
      <w:kern w:val="0"/>
      <w:sz w:val="24"/>
    </w:rPr>
  </w:style>
  <w:style w:type="paragraph" w:styleId="Title">
    <w:name w:val="Title"/>
    <w:basedOn w:val="Normal"/>
    <w:autoRedefine/>
    <w:qFormat/>
    <w:pPr>
      <w:jc w:val="center"/>
    </w:pPr>
    <w:rPr>
      <w:b/>
      <w:bCs/>
      <w:sz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qFormat/>
    <w:rPr>
      <w:color w:val="0000FF"/>
      <w:u w:val="single"/>
    </w:rPr>
  </w:style>
  <w:style w:type="paragraph" w:customStyle="1" w:styleId="MsoNormal">
    <w:name w:val="MsoNormal"/>
    <w:basedOn w:val="Normal"/>
    <w:autoRedefine/>
    <w:qFormat/>
  </w:style>
  <w:style w:type="character" w:customStyle="1" w:styleId="BalloonTextChar">
    <w:name w:val="Balloon Text Char"/>
    <w:basedOn w:val="DefaultParagraphFont"/>
    <w:link w:val="BalloonText"/>
    <w:autoRedefine/>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2.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chart" Target="charts/chart3.xml" /><Relationship Id="rId15" Type="http://schemas.openxmlformats.org/officeDocument/2006/relationships/chart" Target="charts/chart4.xml" /><Relationship Id="rId16" Type="http://schemas.openxmlformats.org/officeDocument/2006/relationships/header" Target="header5.xml" /><Relationship Id="rId17" Type="http://schemas.openxmlformats.org/officeDocument/2006/relationships/footer" Target="footer4.xml" /><Relationship Id="rId18" Type="http://schemas.openxmlformats.org/officeDocument/2006/relationships/header" Target="header6.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yperlink" Target="https://d.book118.com/718123056045006025" TargetMode="External" /><Relationship Id="rId21" Type="http://schemas.openxmlformats.org/officeDocument/2006/relationships/header" Target="header7.xml" /><Relationship Id="rId22" Type="http://schemas.openxmlformats.org/officeDocument/2006/relationships/footer" Target="footer6.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26" Type="http://schemas.microsoft.com/office/2011/relationships/people" Target="people.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chart" Target="charts/chart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chart" Target="charts/chart2.xml" /></Relationships>
</file>

<file path=word/charts/_rels/chart1.xml.rels><?xml version="1.0" encoding="utf-8" standalone="yes"?><Relationships xmlns="http://schemas.openxmlformats.org/package/2006/relationships"><Relationship Id="rId1" Type="http://schemas.openxmlformats.org/officeDocument/2006/relationships/oleObject" Target="&#24037;&#20316;&#31807;1" TargetMode="External" /><Relationship Id="rId2" Type="http://schemas.openxmlformats.org/officeDocument/2006/relationships/themeOverride" Target="../theme/themeOverride1.xml" /></Relationships>
</file>

<file path=word/charts/_rels/chart2.xml.rels><?xml version="1.0" encoding="utf-8" standalone="yes"?><Relationships xmlns="http://schemas.openxmlformats.org/package/2006/relationships"><Relationship Id="rId1" Type="http://schemas.openxmlformats.org/officeDocument/2006/relationships/oleObject" Target="&#24037;&#20316;&#31807;1" TargetMode="External" /><Relationship Id="rId2" Type="http://schemas.openxmlformats.org/officeDocument/2006/relationships/themeOverride" Target="../theme/themeOverride2.xml" /><Relationship Id="rId3" Type="http://schemas.microsoft.com/office/2011/relationships/chartColorStyle" Target="chart/colors1.xml" /><Relationship Id="rId4" Type="http://schemas.microsoft.com/office/2011/relationships/chartStyle" Target="chart/style1.xml" /></Relationships>
</file>

<file path=word/charts/_rels/chart3.xml.rels><?xml version="1.0" encoding="utf-8" standalone="yes"?><Relationships xmlns="http://schemas.openxmlformats.org/package/2006/relationships"><Relationship Id="rId1" Type="http://schemas.openxmlformats.org/officeDocument/2006/relationships/oleObject" Target="&#24037;&#20316;&#31807;1" TargetMode="External" /><Relationship Id="rId2" Type="http://schemas.openxmlformats.org/officeDocument/2006/relationships/themeOverride" Target="../theme/themeOverride3.xml" /><Relationship Id="rId3" Type="http://schemas.microsoft.com/office/2011/relationships/chartColorStyle" Target="chart/colors2.xml" /><Relationship Id="rId4" Type="http://schemas.microsoft.com/office/2011/relationships/chartStyle" Target="chart/style2.xml" /></Relationships>
</file>

<file path=word/charts/_rels/chart4.xml.rels><?xml version="1.0" encoding="utf-8" standalone="yes"?><Relationships xmlns="http://schemas.openxmlformats.org/package/2006/relationships"><Relationship Id="rId1" Type="http://schemas.openxmlformats.org/officeDocument/2006/relationships/oleObject" Target="&#24037;&#20316;&#31807;1" TargetMode="External" /><Relationship Id="rId2" Type="http://schemas.openxmlformats.org/officeDocument/2006/relationships/themeOverride" Target="../theme/themeOverride4.xml" /><Relationship Id="rId3" Type="http://schemas.microsoft.com/office/2011/relationships/chartColorStyle" Target="chart/colors3.xml" /><Relationship Id="rId4" Type="http://schemas.microsoft.com/office/2011/relationships/chartStyle" Target="chart/style3.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Overflow="clip"/>
          <a:lstStyle/>
          <a:p>
            <a:pPr>
              <a:defRPr/>
            </a:pPr>
          </a:p>
        </c:rich>
      </c:tx>
      <c:layout/>
      <c:overlay val="0"/>
      <c:spPr>
        <a:noFill/>
        <a:ln>
          <a:noFill/>
        </a:ln>
        <a:effectLst/>
      </c:spPr>
    </c:title>
    <c:autoTitleDeleted val="0"/>
    <c:plotArea>
      <c:layout/>
      <c:barChart>
        <c:barDir val="col"/>
        <c:grouping val="clustered"/>
        <c:varyColors val="0"/>
        <c:ser>
          <c:idx val="0"/>
          <c:order val="0"/>
          <c:tx>
            <c:strRef>
              <c:f>[工作簿1]Sheet1!$B$1</c:f>
              <c:strCache>
                <c:ptCount val="1"/>
                <c:pt idx="0">
                  <c:v>全球纺织品出口贸易规模（亿美元）</c:v>
                </c:pt>
              </c:strCache>
            </c:strRef>
          </c:tx>
          <c:spPr>
            <a:solidFill>
              <a:schemeClr val="accent1"/>
            </a:solidFill>
            <a:ln>
              <a:noFill/>
            </a:ln>
            <a:effectLst/>
          </c:spPr>
          <c:invertIfNegative val="0"/>
          <c:dLbls>
            <c:dLbl>
              <c:idx val="2"/>
              <c:layout>
                <c:manualLayout>
                  <c:x val="-0.0125"/>
                  <c:y val="0"/>
                </c:manualLayout>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prstDash val="solid"/>
                      <a:round/>
                    </a:ln>
                    <a:effectLst/>
                  </c:spPr>
                </c15:leaderLines>
              </c:ext>
            </c:extLst>
          </c:dLbls>
          <c:cat>
            <c:numRef>
              <c:f>[工作簿1]Sheet1!$A$2:$A$8</c:f>
              <c:numCache>
                <c:formatCode>General</c:formatCode>
                <c:ptCount val="7"/>
                <c:pt idx="0">
                  <c:v>2014</c:v>
                </c:pt>
                <c:pt idx="1">
                  <c:v>2015</c:v>
                </c:pt>
                <c:pt idx="2">
                  <c:v>2016</c:v>
                </c:pt>
                <c:pt idx="3">
                  <c:v>2017</c:v>
                </c:pt>
                <c:pt idx="4">
                  <c:v>2018</c:v>
                </c:pt>
                <c:pt idx="5">
                  <c:v>2019</c:v>
                </c:pt>
                <c:pt idx="6">
                  <c:v>2020</c:v>
                </c:pt>
              </c:numCache>
            </c:numRef>
          </c:cat>
          <c:val>
            <c:numRef>
              <c:f>[工作簿1]Sheet1!$B$2:$B$8</c:f>
              <c:numCache>
                <c:formatCode>General</c:formatCode>
                <c:ptCount val="7"/>
                <c:pt idx="0">
                  <c:v>3136</c:v>
                </c:pt>
                <c:pt idx="1">
                  <c:v>2910</c:v>
                </c:pt>
                <c:pt idx="2">
                  <c:v>2842</c:v>
                </c:pt>
                <c:pt idx="3">
                  <c:v>2941</c:v>
                </c:pt>
                <c:pt idx="4">
                  <c:v>3150</c:v>
                </c:pt>
                <c:pt idx="5">
                  <c:v>3165</c:v>
                </c:pt>
                <c:pt idx="6">
                  <c:v>4687</c:v>
                </c:pt>
              </c:numCache>
            </c:numRef>
          </c:val>
        </c:ser>
        <c:ser>
          <c:idx val="1"/>
          <c:order val="1"/>
          <c:tx>
            <c:strRef>
              <c:f>[工作簿1]Sheet1!$C$1</c:f>
              <c:strCache>
                <c:ptCount val="1"/>
                <c:pt idx="0">
                  <c:v>全球服装出口贸易规模（亿美元）</c:v>
                </c:pt>
              </c:strCache>
            </c:strRef>
          </c:tx>
          <c:spPr>
            <a:solidFill>
              <a:schemeClr val="accent2"/>
            </a:solidFill>
            <a:ln>
              <a:noFill/>
            </a:ln>
            <a:effectLst/>
          </c:spPr>
          <c:invertIfNegative val="0"/>
          <c:dLbls>
            <c:dLbl>
              <c:idx val="6"/>
              <c:layout>
                <c:manualLayout>
                  <c:x val="0.00600660726799479"/>
                  <c:y val="0.00539083557951483"/>
                </c:manualLayout>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prstDash val="solid"/>
                      <a:round/>
                    </a:ln>
                    <a:effectLst/>
                  </c:spPr>
                </c15:leaderLines>
              </c:ext>
            </c:extLst>
          </c:dLbls>
          <c:cat>
            <c:numRef>
              <c:f>[工作簿1]Sheet1!$A$2:$A$8</c:f>
              <c:numCache>
                <c:formatCode>General</c:formatCode>
                <c:ptCount val="7"/>
                <c:pt idx="0">
                  <c:v>2014</c:v>
                </c:pt>
                <c:pt idx="1">
                  <c:v>2015</c:v>
                </c:pt>
                <c:pt idx="2">
                  <c:v>2016</c:v>
                </c:pt>
                <c:pt idx="3">
                  <c:v>2017</c:v>
                </c:pt>
                <c:pt idx="4">
                  <c:v>2018</c:v>
                </c:pt>
                <c:pt idx="5">
                  <c:v>2019</c:v>
                </c:pt>
                <c:pt idx="6">
                  <c:v>2020</c:v>
                </c:pt>
              </c:numCache>
            </c:numRef>
          </c:cat>
          <c:val>
            <c:numRef>
              <c:f>[工作簿1]Sheet1!$C$2:$C$8</c:f>
              <c:numCache>
                <c:formatCode>General</c:formatCode>
                <c:ptCount val="7"/>
                <c:pt idx="0">
                  <c:v>4837</c:v>
                </c:pt>
                <c:pt idx="1">
                  <c:v>4450</c:v>
                </c:pt>
                <c:pt idx="2">
                  <c:v>4421</c:v>
                </c:pt>
                <c:pt idx="3">
                  <c:v>4545</c:v>
                </c:pt>
                <c:pt idx="4">
                  <c:v>5050</c:v>
                </c:pt>
                <c:pt idx="5">
                  <c:v>5115</c:v>
                </c:pt>
                <c:pt idx="6">
                  <c:v>4351</c:v>
                </c:pt>
              </c:numCache>
            </c:numRef>
          </c:val>
        </c:ser>
        <c:dLbls>
          <c:showLegendKey val="0"/>
          <c:showVal val="1"/>
          <c:showCatName val="0"/>
          <c:showSerName val="0"/>
          <c:showPercent val="0"/>
          <c:showBubbleSize val="0"/>
        </c:dLbls>
        <c:gapWidth val="219"/>
        <c:overlap val="-27"/>
        <c:axId val="138167038"/>
        <c:axId val="555961187"/>
      </c:barChart>
      <c:catAx>
        <c:axId val="138167038"/>
        <c:scaling>
          <c:orientation val="minMax"/>
        </c:scaling>
        <c:delete val="0"/>
        <c:axPos val="b"/>
        <c:numFmt formatCode="General" sourceLinked="0"/>
        <c:majorTickMark val="out"/>
        <c:minorTickMark val="none"/>
        <c:tickLblPos val="nextTo"/>
        <c:spPr>
          <a:noFill/>
          <a:ln w="9525">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555961187"/>
        <c:crosses val="autoZero"/>
        <c:auto val="1"/>
        <c:lblAlgn val="ctr"/>
        <c:lblOffset val="100"/>
        <c:noMultiLvlLbl val="0"/>
      </c:catAx>
      <c:valAx>
        <c:axId val="555961187"/>
        <c:scaling>
          <c:orientation val="minMax"/>
        </c:scaling>
        <c:delete val="0"/>
        <c:axPos val="l"/>
        <c:majorGridlines>
          <c:spPr>
            <a:ln w="9525">
              <a:solidFill>
                <a:schemeClr val="tx1">
                  <a:lumMod val="15000"/>
                  <a:lumOff val="85000"/>
                </a:schemeClr>
              </a:solidFill>
              <a:prstDash val="solid"/>
              <a:round/>
            </a:ln>
            <a:effectLst/>
          </c:spPr>
        </c:majorGridlines>
        <c:numFmt formatCode="General" sourceLinked="1"/>
        <c:majorTickMark val="out"/>
        <c:minorTickMark val="none"/>
        <c:tickLblPos val="nextTo"/>
        <c:spPr>
          <a:noFill/>
          <a:ln w="6350">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38167038"/>
        <c:crosses val="autoZero"/>
        <c:crossBetween val="between"/>
      </c:valAx>
      <c:spPr>
        <a:noFill/>
        <a:ln>
          <a:noFill/>
        </a:ln>
        <a:effectLst/>
      </c:spPr>
    </c:plotArea>
    <c:legend>
      <c:legendPos val="b"/>
      <c:legendEntry>
        <c:idx val="0"/>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chart>
  <c:spPr>
    <a:solidFill>
      <a:schemeClr val="bg1"/>
    </a:solidFill>
    <a:ln w="9525">
      <a:solidFill>
        <a:schemeClr val="tx1">
          <a:lumMod val="15000"/>
          <a:lumOff val="85000"/>
        </a:schemeClr>
      </a:solidFill>
      <a:prstDash val="solid"/>
      <a:round/>
    </a:ln>
    <a:effectLst/>
  </c:spPr>
  <c:txPr>
    <a:bodyPr/>
    <a:lstStyle/>
    <a:p>
      <a:pPr>
        <a:defRPr lang="zh-CN" sz="900">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[工作簿1]Sheet1!$B$15</c:f>
              <c:strCache>
                <c:ptCount val="1"/>
                <c:pt idx="0">
                  <c:v>增速</c:v>
                </c:pt>
              </c:strCache>
            </c:strRef>
          </c:tx>
          <c:spPr>
            <a:ln w="28575" cap="rnd">
              <a:solidFill>
                <a:schemeClr val="accent1"/>
              </a:solidFill>
              <a:round/>
            </a:ln>
            <a:effectLst/>
          </c:spPr>
          <c:marker>
            <c:symbol val="none"/>
          </c:marker>
          <c:dLbls>
            <c:delete val="1"/>
            <c:showLegendKey val="0"/>
            <c:showVal val="0"/>
            <c:showCatName val="0"/>
            <c:showSerName val="0"/>
            <c:showPercent val="0"/>
            <c:showBubbleSize val="0"/>
          </c:dLbls>
          <c:cat>
            <c:strRef>
              <c:f>[工作簿1]Sheet1!$A$16:$A$37</c:f>
              <c:strCache>
                <c:ptCount val="22"/>
                <c:pt idx="0">
                  <c:v>2019 1-2月</c:v>
                </c:pt>
                <c:pt idx="1">
                  <c:v>2019 1-3月</c:v>
                </c:pt>
                <c:pt idx="2">
                  <c:v>2019 1-4月</c:v>
                </c:pt>
                <c:pt idx="3">
                  <c:v>2019 1-5月</c:v>
                </c:pt>
                <c:pt idx="4">
                  <c:v>2019 1-6月</c:v>
                </c:pt>
                <c:pt idx="5">
                  <c:v>2019 1-7月</c:v>
                </c:pt>
                <c:pt idx="6">
                  <c:v>2019 1-8月</c:v>
                </c:pt>
                <c:pt idx="7">
                  <c:v>2019 1-9月</c:v>
                </c:pt>
                <c:pt idx="8">
                  <c:v>2019 1-10月</c:v>
                </c:pt>
                <c:pt idx="9">
                  <c:v>2019 1-11月</c:v>
                </c:pt>
                <c:pt idx="10">
                  <c:v>2019 1-12月</c:v>
                </c:pt>
                <c:pt idx="11">
                  <c:v>2020 1-1月</c:v>
                </c:pt>
                <c:pt idx="12">
                  <c:v>2020 1-2月</c:v>
                </c:pt>
                <c:pt idx="13">
                  <c:v>2020 1-3月</c:v>
                </c:pt>
                <c:pt idx="14">
                  <c:v>2020 1-4月</c:v>
                </c:pt>
                <c:pt idx="15">
                  <c:v>2020 1-5月</c:v>
                </c:pt>
                <c:pt idx="16">
                  <c:v>2020 1-6月</c:v>
                </c:pt>
                <c:pt idx="17">
                  <c:v>2020 1-7月</c:v>
                </c:pt>
                <c:pt idx="18">
                  <c:v>2020 1-8月</c:v>
                </c:pt>
                <c:pt idx="19">
                  <c:v>2020 1-9月</c:v>
                </c:pt>
                <c:pt idx="20">
                  <c:v>2020 1-10月</c:v>
                </c:pt>
                <c:pt idx="21">
                  <c:v>2020 1-11月</c:v>
                </c:pt>
              </c:strCache>
            </c:strRef>
          </c:cat>
          <c:val>
            <c:numRef>
              <c:f>[工作簿1]Sheet1!$B$16:$B$37</c:f>
              <c:numCache>
                <c:formatCode>General</c:formatCode>
                <c:ptCount val="22"/>
                <c:pt idx="0">
                  <c:v>1.3</c:v>
                </c:pt>
                <c:pt idx="1">
                  <c:v>5.2</c:v>
                </c:pt>
                <c:pt idx="2">
                  <c:v>4.4</c:v>
                </c:pt>
                <c:pt idx="3">
                  <c:v>4.6</c:v>
                </c:pt>
                <c:pt idx="4">
                  <c:v>4.3</c:v>
                </c:pt>
                <c:pt idx="5">
                  <c:v>4</c:v>
                </c:pt>
                <c:pt idx="6">
                  <c:v>3.4</c:v>
                </c:pt>
                <c:pt idx="7">
                  <c:v>3</c:v>
                </c:pt>
                <c:pt idx="8">
                  <c:v>2</c:v>
                </c:pt>
                <c:pt idx="9">
                  <c:v>2.12</c:v>
                </c:pt>
                <c:pt idx="10">
                  <c:v>2.39</c:v>
                </c:pt>
                <c:pt idx="11">
                  <c:v>-25.3</c:v>
                </c:pt>
                <c:pt idx="12">
                  <c:v>-15.65</c:v>
                </c:pt>
                <c:pt idx="13">
                  <c:v>-13.7</c:v>
                </c:pt>
                <c:pt idx="14">
                  <c:v>-11.45</c:v>
                </c:pt>
                <c:pt idx="15">
                  <c:v>-7.6</c:v>
                </c:pt>
                <c:pt idx="16">
                  <c:v>-6.8</c:v>
                </c:pt>
                <c:pt idx="17">
                  <c:v>-5.1</c:v>
                </c:pt>
                <c:pt idx="18">
                  <c:v>3.9</c:v>
                </c:pt>
                <c:pt idx="19">
                  <c:v>5.3</c:v>
                </c:pt>
                <c:pt idx="20">
                  <c:v>-4.1</c:v>
                </c:pt>
                <c:pt idx="21">
                  <c:v>-2.9</c:v>
                </c:pt>
              </c:numCache>
            </c:numRef>
          </c:val>
          <c:smooth val="0"/>
        </c:ser>
        <c:dLbls>
          <c:showLegendKey val="0"/>
          <c:showVal val="0"/>
          <c:showCatName val="0"/>
          <c:showSerName val="0"/>
          <c:showPercent val="0"/>
          <c:showBubbleSize val="0"/>
        </c:dLbls>
        <c:marker val="0"/>
        <c:smooth val="0"/>
        <c:axId val="673022629"/>
        <c:axId val="118014152"/>
      </c:lineChart>
      <c:catAx>
        <c:axId val="673022629"/>
        <c:scaling>
          <c:orientation val="minMax"/>
        </c:scaling>
        <c:delete val="0"/>
        <c:axPos val="b"/>
        <c:numFmt formatCode="General" sourceLinked="0"/>
        <c:majorTickMark val="none"/>
        <c:minorTickMark val="none"/>
        <c:tickLblPos val="nextTo"/>
        <c:spPr>
          <a:noFill/>
          <a:ln w="9525">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18014152"/>
        <c:crosses val="autoZero"/>
        <c:auto val="1"/>
        <c:lblAlgn val="ctr"/>
        <c:lblOffset val="100"/>
        <c:noMultiLvlLbl val="0"/>
      </c:catAx>
      <c:valAx>
        <c:axId val="118014152"/>
        <c:scaling>
          <c:orientation val="minMax"/>
        </c:scaling>
        <c:delete val="0"/>
        <c:axPos val="l"/>
        <c:majorGridlines>
          <c:spPr>
            <a:ln w="9525">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73022629"/>
        <c:crosses val="autoZero"/>
        <c:crossBetween val="between"/>
      </c:valAx>
      <c:spPr>
        <a:noFill/>
        <a:ln>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sz="900">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dLbl>
              <c:idx val="0"/>
              <c:layout>
                <c:manualLayout>
                  <c:x val="0.00589240690619628"/>
                  <c:y val="0.0589546023009089"/>
                </c:manualLayout>
              </c:layout>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[工作簿1]Sheet1!$A$1:$A$8</c:f>
              <c:strCache>
                <c:ptCount val="8"/>
                <c:pt idx="0">
                  <c:v>食品烟酒</c:v>
                </c:pt>
                <c:pt idx="1">
                  <c:v>衣着消费</c:v>
                </c:pt>
                <c:pt idx="2">
                  <c:v>居住消费</c:v>
                </c:pt>
                <c:pt idx="3">
                  <c:v>生活用品及服务</c:v>
                </c:pt>
                <c:pt idx="4">
                  <c:v>交通通信</c:v>
                </c:pt>
                <c:pt idx="5">
                  <c:v>医疗保健</c:v>
                </c:pt>
                <c:pt idx="6">
                  <c:v>教育文化娱乐</c:v>
                </c:pt>
                <c:pt idx="7">
                  <c:v>其他用品及服务</c:v>
                </c:pt>
              </c:strCache>
            </c:strRef>
          </c:cat>
          <c:val>
            <c:numRef>
              <c:f>[工作簿1]Sheet1!$B$1:$B$8</c:f>
              <c:numCache>
                <c:formatCode>0.00%</c:formatCode>
                <c:ptCount val="8"/>
                <c:pt idx="0">
                  <c:v>0.3187</c:v>
                </c:pt>
                <c:pt idx="1">
                  <c:v>0.0629</c:v>
                </c:pt>
                <c:pt idx="2">
                  <c:v>0.2535</c:v>
                </c:pt>
                <c:pt idx="3">
                  <c:v>0.0599</c:v>
                </c:pt>
                <c:pt idx="4">
                  <c:v>0.1274</c:v>
                </c:pt>
                <c:pt idx="5">
                  <c:v>0.0873</c:v>
                </c:pt>
                <c:pt idx="6">
                  <c:v>0.0683</c:v>
                </c:pt>
                <c:pt idx="7">
                  <c:v>0.0221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dLbl>
              <c:idx val="0"/>
              <c:layout>
                <c:manualLayout>
                  <c:x val="0.00589240690619628"/>
                  <c:y val="0.0589546023009089"/>
                </c:manualLayout>
              </c:layout>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[工作簿1]Sheet1!$A$1:$A$8</c:f>
              <c:strCache>
                <c:ptCount val="8"/>
                <c:pt idx="0">
                  <c:v>食品烟酒</c:v>
                </c:pt>
                <c:pt idx="1">
                  <c:v>衣着消费</c:v>
                </c:pt>
                <c:pt idx="2">
                  <c:v>居住消费</c:v>
                </c:pt>
                <c:pt idx="3">
                  <c:v>生活用品及服务</c:v>
                </c:pt>
                <c:pt idx="4">
                  <c:v>交通通信</c:v>
                </c:pt>
                <c:pt idx="5">
                  <c:v>医疗保健</c:v>
                </c:pt>
                <c:pt idx="6">
                  <c:v>教育文化娱乐</c:v>
                </c:pt>
                <c:pt idx="7">
                  <c:v>其他用品及服务</c:v>
                </c:pt>
              </c:strCache>
            </c:strRef>
          </c:cat>
          <c:val>
            <c:numRef>
              <c:f>[工作簿1]Sheet1!$B$1:$B$8</c:f>
              <c:numCache>
                <c:formatCode>0.00%</c:formatCode>
                <c:ptCount val="8"/>
                <c:pt idx="0">
                  <c:v>0.2856</c:v>
                </c:pt>
                <c:pt idx="1">
                  <c:v>0.07008</c:v>
                </c:pt>
                <c:pt idx="2">
                  <c:v>0.2313</c:v>
                </c:pt>
                <c:pt idx="3">
                  <c:v>0.0601</c:v>
                </c:pt>
                <c:pt idx="4">
                  <c:v>0.1343</c:v>
                </c:pt>
                <c:pt idx="5">
                  <c:v>0.0911</c:v>
                </c:pt>
                <c:pt idx="6">
                  <c:v>0.1</c:v>
                </c:pt>
                <c:pt idx="7">
                  <c:v>0.0269</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2932</Words>
  <Characters>16718</Characters>
  <Application>Microsoft Office Word</Application>
  <DocSecurity>0</DocSecurity>
  <Lines>139</Lines>
  <Paragraphs>39</Paragraphs>
  <ScaleCrop>false</ScaleCrop>
  <Company/>
  <LinksUpToDate>false</LinksUpToDate>
  <CharactersWithSpaces>19611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ChencChen</dc:creator>
  <cp:lastModifiedBy>ABEEL</cp:lastModifiedBy>
  <cp:revision>23</cp:revision>
  <cp:lastPrinted>2021-04-30T03:16:00Z</cp:lastPrinted>
  <dcterms:created xsi:type="dcterms:W3CDTF">2021-03-13T09:46:00Z</dcterms:created>
  <dcterms:modified xsi:type="dcterms:W3CDTF">2024-01-11T01:51:31Z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94B6FC2711964E809F8E1905C04225F9_13</vt:lpwstr>
  </property>
  <property fmtid="{D5CDD505-2E9C-101B-9397-08002B2CF9AE}" pid="3" name="KSOProductBuildVer">
    <vt:lpwstr>2052-12.1.0.16120</vt:lpwstr>
  </property>
</Properties>
</file>