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44" w:line="241" w:lineRule="auto"/>
        <w:ind w:left="8737" w:right="29" w:firstLine="598"/>
        <w:rPr>
          <w:sz w:val="21"/>
          <w:szCs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410209</wp:posOffset>
            </wp:positionH>
            <wp:positionV relativeFrom="page">
              <wp:posOffset>594359</wp:posOffset>
            </wp:positionV>
            <wp:extent cx="1563497" cy="37020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63497" cy="370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4098"/>
          <w:spacing w:val="-1"/>
          <w:sz w:val="21"/>
          <w:szCs w:val="21"/>
        </w:rPr>
        <w:t>产业研究报告</w:t>
      </w:r>
      <w:r>
        <w:rPr>
          <w:color w:val="004098"/>
          <w:sz w:val="21"/>
          <w:szCs w:val="21"/>
        </w:rPr>
        <w:t xml:space="preserve"> </w:t>
      </w:r>
      <w:r>
        <w:rPr>
          <w:rFonts w:ascii="Tahoma" w:eastAsia="Tahoma" w:hAnsi="Tahoma" w:cs="Tahoma"/>
          <w:color w:val="004098"/>
          <w:spacing w:val="-6"/>
          <w:sz w:val="21"/>
          <w:szCs w:val="21"/>
        </w:rPr>
        <w:t xml:space="preserve">2024 </w:t>
      </w:r>
      <w:r>
        <w:rPr>
          <w:color w:val="004098"/>
          <w:spacing w:val="-6"/>
          <w:sz w:val="21"/>
          <w:szCs w:val="21"/>
        </w:rPr>
        <w:t>年</w:t>
      </w:r>
      <w:r>
        <w:rPr>
          <w:color w:val="004098"/>
          <w:spacing w:val="-33"/>
          <w:sz w:val="21"/>
          <w:szCs w:val="21"/>
        </w:rPr>
        <w:t xml:space="preserve"> </w:t>
      </w:r>
      <w:r>
        <w:rPr>
          <w:rFonts w:ascii="Tahoma" w:eastAsia="Tahoma" w:hAnsi="Tahoma" w:cs="Tahoma"/>
          <w:color w:val="004098"/>
          <w:spacing w:val="-6"/>
          <w:sz w:val="21"/>
          <w:szCs w:val="21"/>
        </w:rPr>
        <w:t>03</w:t>
      </w:r>
      <w:r>
        <w:rPr>
          <w:rFonts w:ascii="Tahoma" w:eastAsia="Tahoma" w:hAnsi="Tahoma" w:cs="Tahoma"/>
          <w:color w:val="004098"/>
          <w:spacing w:val="4"/>
          <w:sz w:val="21"/>
          <w:szCs w:val="21"/>
        </w:rPr>
        <w:t xml:space="preserve"> </w:t>
      </w:r>
      <w:r>
        <w:rPr>
          <w:color w:val="004098"/>
          <w:spacing w:val="-6"/>
          <w:sz w:val="21"/>
          <w:szCs w:val="21"/>
        </w:rPr>
        <w:t>月</w:t>
      </w:r>
      <w:r>
        <w:rPr>
          <w:color w:val="004098"/>
          <w:spacing w:val="-36"/>
          <w:sz w:val="21"/>
          <w:szCs w:val="21"/>
        </w:rPr>
        <w:t xml:space="preserve"> </w:t>
      </w:r>
      <w:r>
        <w:rPr>
          <w:rFonts w:ascii="Tahoma" w:eastAsia="Tahoma" w:hAnsi="Tahoma" w:cs="Tahoma"/>
          <w:color w:val="004098"/>
          <w:spacing w:val="-6"/>
          <w:sz w:val="21"/>
          <w:szCs w:val="21"/>
        </w:rPr>
        <w:t>07</w:t>
      </w:r>
      <w:r>
        <w:rPr>
          <w:rFonts w:ascii="Tahoma" w:eastAsia="Tahoma" w:hAnsi="Tahoma" w:cs="Tahoma"/>
          <w:color w:val="004098"/>
          <w:spacing w:val="32"/>
          <w:w w:val="101"/>
          <w:sz w:val="21"/>
          <w:szCs w:val="21"/>
        </w:rPr>
        <w:t xml:space="preserve"> </w:t>
      </w:r>
      <w:r>
        <w:rPr>
          <w:color w:val="004098"/>
          <w:spacing w:val="-6"/>
          <w:sz w:val="21"/>
          <w:szCs w:val="21"/>
        </w:rPr>
        <w:t>日</w:t>
      </w:r>
    </w:p>
    <w:p>
      <w:pPr>
        <w:spacing w:before="22" w:line="45" w:lineRule="exact"/>
      </w:pPr>
      <w:r>
        <w:pict>
          <v:shape id="_x0000_i1025" style="width:530.95pt;height:2.25pt;mso-position-horizontal-relative:char;mso-position-vertical-relative:line" coordorigin="0,0" coordsize="10619,45" path="m,45l10618,45l10618,l,l,45xe" filled="t" fillcolor="#004098" stroked="f">
            <w10:wrap type="none"/>
          </v:shape>
        </w:pict>
      </w:r>
    </w:p>
    <w:p>
      <w:pPr>
        <w:pStyle w:val="BodyText"/>
        <w:spacing w:before="274" w:line="218" w:lineRule="auto"/>
        <w:ind w:left="56"/>
        <w:outlineLvl w:val="0"/>
        <w:rPr>
          <w:sz w:val="36"/>
          <w:szCs w:val="36"/>
        </w:rPr>
      </w:pPr>
      <w:r>
        <w:rPr>
          <w:rFonts w:ascii="Tahoma" w:eastAsia="Tahoma" w:hAnsi="Tahoma" w:cs="Tahoma"/>
          <w:b/>
          <w:bCs/>
          <w:color w:val="C00000"/>
          <w:spacing w:val="1"/>
          <w:sz w:val="36"/>
          <w:szCs w:val="36"/>
        </w:rPr>
        <w:t xml:space="preserve">2023 </w:t>
      </w:r>
      <w:r>
        <w:rPr>
          <w:color w:val="C00000"/>
          <w:spacing w:val="1"/>
          <w:sz w:val="36"/>
          <w:szCs w:val="36"/>
          <w14:textOutline w14:w="6540">
            <w14:solidFill>
              <w14:srgbClr w14:val="C00000"/>
            </w14:solidFill>
            <w14:prstDash w14:val="solid"/>
            <w14:miter w14:lim="10"/>
          </w14:textOutline>
        </w:rPr>
        <w:t>年“长时储能”产业发展及投融资概况</w:t>
      </w:r>
    </w:p>
    <w:p>
      <w:pPr>
        <w:spacing w:line="198" w:lineRule="exact"/>
      </w:pPr>
    </w:p>
    <w:p>
      <w:pPr>
        <w:spacing w:line="198" w:lineRule="exact"/>
        <w:sectPr>
          <w:footerReference w:type="default" r:id="rId5"/>
          <w:pgSz w:w="11910" w:h="16845"/>
          <w:pgMar w:top="935" w:right="645" w:bottom="840" w:left="645" w:header="0" w:footer="544" w:gutter="0"/>
          <w:cols w:num="1" w:space="708" w:equalWidth="0">
            <w:col w:w="10619" w:space="0"/>
          </w:cols>
        </w:sectPr>
      </w:pPr>
    </w:p>
    <w:p>
      <w:pPr>
        <w:pStyle w:val="BodyText"/>
        <w:spacing w:before="8" w:line="293" w:lineRule="auto"/>
        <w:ind w:left="33" w:right="212" w:firstLine="1"/>
        <w:jc w:val="both"/>
      </w:pPr>
      <w:r>
        <w:rPr>
          <w:color w:val="004098"/>
          <w:spacing w:val="8"/>
          <w14:textOutline w14:w="3537">
            <w14:solidFill>
              <w14:srgbClr w14:val="004098"/>
            </w14:solidFill>
            <w14:prstDash w14:val="solid"/>
            <w14:miter w14:lim="10"/>
          </w14:textOutline>
        </w:rPr>
        <w:t>相较于由电动车产业发展催化孕育出的锂离子电池储能产业，</w:t>
      </w:r>
      <w:r>
        <w:rPr>
          <w:color w:val="004098"/>
          <w:spacing w:val="8"/>
        </w:rPr>
        <w:t xml:space="preserve"> </w:t>
      </w:r>
      <w:r>
        <w:rPr>
          <w:color w:val="004098"/>
          <w:spacing w:val="8"/>
          <w14:textOutline w14:w="3537">
            <w14:solidFill>
              <w14:srgbClr w14:val="004098"/>
            </w14:solidFill>
            <w14:prstDash w14:val="solid"/>
            <w14:miter w14:lim="10"/>
          </w14:textOutline>
        </w:rPr>
        <w:t>长时储能</w:t>
      </w:r>
      <w:r>
        <w:rPr>
          <w:color w:val="004098"/>
          <w:spacing w:val="7"/>
          <w14:textOutline w14:w="3537">
            <w14:solidFill>
              <w14:srgbClr w14:val="004098"/>
            </w14:solidFill>
            <w14:prstDash w14:val="solid"/>
            <w14:miter w14:lim="10"/>
          </w14:textOutline>
        </w:rPr>
        <w:t>技术</w:t>
      </w:r>
      <w:r>
        <w:rPr>
          <w:color w:val="004098"/>
        </w:rPr>
        <w:t xml:space="preserve"> </w:t>
      </w:r>
      <w:r>
        <w:rPr>
          <w:color w:val="004098"/>
          <w:spacing w:val="11"/>
          <w14:textOutline w14:w="3537">
            <w14:solidFill>
              <w14:srgbClr w14:val="004098"/>
            </w14:solidFill>
            <w14:prstDash w14:val="solid"/>
            <w14:miter w14:lim="10"/>
          </w14:textOutline>
        </w:rPr>
        <w:t>天生就是带着为电力系统转型服务的目标而来，其市场前景和发展速度也主</w:t>
      </w:r>
      <w:r>
        <w:rPr>
          <w:color w:val="004098"/>
          <w:spacing w:val="3"/>
        </w:rPr>
        <w:t xml:space="preserve"> </w:t>
      </w:r>
      <w:r>
        <w:rPr>
          <w:color w:val="004098"/>
          <w:spacing w:val="6"/>
          <w14:textOutline w14:w="3537">
            <w14:solidFill>
              <w14:srgbClr w14:val="004098"/>
            </w14:solidFill>
            <w14:prstDash w14:val="solid"/>
            <w14:miter w14:lim="10"/>
          </w14:textOutline>
        </w:rPr>
        <w:t>要受电力系统转型发展路径和节奏影响。</w:t>
      </w:r>
      <w:r>
        <w:rPr>
          <w:color w:val="004098"/>
          <w:spacing w:val="34"/>
        </w:rPr>
        <w:t xml:space="preserve"> </w:t>
      </w:r>
      <w:r>
        <w:rPr>
          <w:spacing w:val="6"/>
        </w:rPr>
        <w:t>以本</w:t>
      </w:r>
      <w:r>
        <w:rPr>
          <w:spacing w:val="5"/>
        </w:rPr>
        <w:t>文对</w:t>
      </w:r>
      <w:r>
        <w:rPr>
          <w:spacing w:val="5"/>
        </w:rPr>
        <w:t xml:space="preserve"> </w:t>
      </w:r>
      <w:r>
        <w:rPr>
          <w:rFonts w:ascii="Tahoma" w:eastAsia="Tahoma" w:hAnsi="Tahoma" w:cs="Tahoma"/>
          <w:spacing w:val="5"/>
        </w:rPr>
        <w:t>2023</w:t>
      </w:r>
      <w:r>
        <w:rPr>
          <w:rFonts w:ascii="Tahoma" w:eastAsia="Tahoma" w:hAnsi="Tahoma" w:cs="Tahoma"/>
          <w:spacing w:val="41"/>
        </w:rPr>
        <w:t xml:space="preserve"> </w:t>
      </w:r>
      <w:r>
        <w:rPr>
          <w:spacing w:val="5"/>
        </w:rPr>
        <w:t>年长时储能项目和</w:t>
      </w:r>
      <w:r>
        <w:t xml:space="preserve"> </w:t>
      </w:r>
      <w:r>
        <w:rPr>
          <w:spacing w:val="8"/>
        </w:rPr>
        <w:t>公司融资的统计分析来看，</w:t>
      </w:r>
      <w:r>
        <w:rPr>
          <w:spacing w:val="8"/>
        </w:rPr>
        <w:t xml:space="preserve"> </w:t>
      </w:r>
      <w:r>
        <w:rPr>
          <w:spacing w:val="8"/>
        </w:rPr>
        <w:t>长时储能公司受实际市场规小、技术壁垒高、投</w:t>
      </w:r>
      <w:r>
        <w:t xml:space="preserve"> </w:t>
      </w:r>
      <w:r>
        <w:rPr>
          <w:spacing w:val="8"/>
        </w:rPr>
        <w:t>资需求高、产业发展较晚、产业链配套不成熟等因素的限制，</w:t>
      </w:r>
      <w:r>
        <w:rPr>
          <w:spacing w:val="8"/>
        </w:rPr>
        <w:t xml:space="preserve"> </w:t>
      </w:r>
      <w:r>
        <w:rPr>
          <w:spacing w:val="8"/>
        </w:rPr>
        <w:t>没有如锂电池</w:t>
      </w:r>
      <w:r>
        <w:t xml:space="preserve"> </w:t>
      </w:r>
      <w:r>
        <w:rPr>
          <w:spacing w:val="11"/>
        </w:rPr>
        <w:t>储能产业一般，陷入“出生即红海”的窘境。相关公司均有一定的技术研发</w:t>
      </w:r>
      <w:r>
        <w:rPr>
          <w:spacing w:val="3"/>
        </w:rPr>
        <w:t xml:space="preserve"> </w:t>
      </w:r>
      <w:r>
        <w:rPr>
          <w:spacing w:val="11"/>
        </w:rPr>
        <w:t>积累或获得稳定的技术支持，才进入扩大生产和示范项目建设阶段，避免了</w:t>
      </w:r>
      <w:r>
        <w:rPr>
          <w:spacing w:val="3"/>
        </w:rPr>
        <w:t xml:space="preserve"> </w:t>
      </w:r>
      <w:r>
        <w:rPr>
          <w:spacing w:val="11"/>
        </w:rPr>
        <w:t>通过资本简单复制直接进入产能无序扩张阶段，这十分有益于长时储能行业</w:t>
      </w:r>
      <w:r>
        <w:rPr>
          <w:spacing w:val="3"/>
        </w:rPr>
        <w:t xml:space="preserve"> </w:t>
      </w:r>
      <w:r>
        <w:rPr>
          <w:spacing w:val="13"/>
        </w:rPr>
        <w:t>的健康有序发展。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62" w:line="285" w:lineRule="auto"/>
        <w:ind w:left="33" w:right="198" w:firstLine="3"/>
        <w:jc w:val="both"/>
      </w:pPr>
      <w:r>
        <w:rPr>
          <w:color w:val="004098"/>
          <w:spacing w:val="6"/>
          <w14:textOutline w14:w="3537">
            <w14:solidFill>
              <w14:srgbClr w14:val="004098"/>
            </w14:solidFill>
            <w14:prstDash w14:val="solid"/>
            <w14:miter w14:lim="10"/>
          </w14:textOutline>
        </w:rPr>
        <w:t>本文的分析根据我国情况，</w:t>
      </w:r>
      <w:r>
        <w:rPr>
          <w:color w:val="004098"/>
          <w:spacing w:val="6"/>
        </w:rPr>
        <w:t xml:space="preserve"> </w:t>
      </w:r>
      <w:r>
        <w:rPr>
          <w:color w:val="004098"/>
          <w:spacing w:val="6"/>
          <w14:textOutline w14:w="3537">
            <w14:solidFill>
              <w14:srgbClr w14:val="004098"/>
            </w14:solidFill>
            <w14:prstDash w14:val="solid"/>
            <w14:miter w14:lim="10"/>
          </w14:textOutline>
        </w:rPr>
        <w:t>主要讨论具备提供</w:t>
      </w:r>
      <w:r>
        <w:rPr>
          <w:color w:val="004098"/>
        </w:rPr>
        <w:t xml:space="preserve"> </w:t>
      </w:r>
      <w:r>
        <w:rPr>
          <w:rFonts w:ascii="Tahoma" w:eastAsia="Tahoma" w:hAnsi="Tahoma" w:cs="Tahoma"/>
          <w:b/>
          <w:bCs/>
          <w:color w:val="004098"/>
          <w:spacing w:val="6"/>
        </w:rPr>
        <w:t>4</w:t>
      </w:r>
      <w:r>
        <w:rPr>
          <w:rFonts w:ascii="Tahoma" w:eastAsia="Tahoma" w:hAnsi="Tahoma" w:cs="Tahoma"/>
          <w:b/>
          <w:bCs/>
          <w:color w:val="004098"/>
          <w:spacing w:val="-20"/>
        </w:rPr>
        <w:t xml:space="preserve"> </w:t>
      </w:r>
      <w:r>
        <w:rPr>
          <w:color w:val="004098"/>
          <w:spacing w:val="6"/>
          <w14:textOutline w14:w="3537">
            <w14:solidFill>
              <w14:srgbClr w14:val="004098"/>
            </w14:solidFill>
            <w14:prstDash w14:val="solid"/>
            <w14:miter w14:lim="10"/>
          </w14:textOutline>
        </w:rPr>
        <w:t>小时以上储能时长并可能在</w:t>
      </w:r>
      <w:r>
        <w:rPr>
          <w:color w:val="004098"/>
        </w:rPr>
        <w:t xml:space="preserve"> </w:t>
      </w:r>
      <w:r>
        <w:rPr>
          <w:color w:val="004098"/>
          <w:spacing w:val="10"/>
          <w14:textOutline w14:w="3537">
            <w14:solidFill>
              <w14:srgbClr w14:val="004098"/>
            </w14:solidFill>
            <w14:prstDash w14:val="solid"/>
            <w14:miter w14:lim="10"/>
          </w14:textOutline>
        </w:rPr>
        <w:t>日间长时储能范围继续发挥作用的技术。</w:t>
      </w:r>
      <w:r>
        <w:rPr>
          <w:color w:val="004098"/>
          <w:spacing w:val="-52"/>
        </w:rPr>
        <w:t xml:space="preserve"> </w:t>
      </w:r>
      <w:r>
        <w:rPr>
          <w:spacing w:val="10"/>
        </w:rPr>
        <w:t>技术主要包括</w:t>
      </w:r>
      <w:r>
        <w:rPr>
          <w:spacing w:val="9"/>
        </w:rPr>
        <w:t>抽蓄、多种液流电池</w:t>
      </w:r>
      <w:r>
        <w:t xml:space="preserve"> </w:t>
      </w:r>
      <w:r>
        <w:rPr>
          <w:spacing w:val="9"/>
        </w:rPr>
        <w:t>储能、压缩空气储能（含液态压缩空气）、重力储能、二氧化碳储能、铅酸</w:t>
      </w:r>
      <w:r>
        <w:rPr>
          <w:rFonts w:ascii="Tahoma" w:eastAsia="Tahoma" w:hAnsi="Tahoma" w:cs="Tahoma"/>
          <w:spacing w:val="9"/>
        </w:rPr>
        <w:t>\</w:t>
      </w:r>
      <w:r>
        <w:rPr>
          <w:rFonts w:ascii="Tahoma" w:eastAsia="Tahoma" w:hAnsi="Tahoma" w:cs="Tahoma"/>
          <w:spacing w:val="1"/>
        </w:rPr>
        <w:t xml:space="preserve"> </w:t>
      </w:r>
      <w:r>
        <w:rPr>
          <w:spacing w:val="10"/>
        </w:rPr>
        <w:t>铅碳电池等，这些“日间长时储能技术”也是本文统计分析的对象。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7" w:lineRule="auto"/>
        <w:rPr>
          <w:rFonts w:ascii="Arial"/>
          <w:sz w:val="2"/>
        </w:rPr>
      </w:pPr>
    </w:p>
    <w:tbl>
      <w:tblPr>
        <w:tblStyle w:val="TableNormal"/>
        <w:tblW w:w="3604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604"/>
      </w:tblGrid>
      <w:tr>
        <w:tblPrEx>
          <w:tblW w:w="3604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36"/>
        </w:trPr>
        <w:tc>
          <w:tcPr>
            <w:tcW w:w="3604" w:type="dxa"/>
            <w:tcBorders>
              <w:top w:val="single" w:sz="6" w:space="0" w:color="004098"/>
              <w:bottom w:val="single" w:sz="6" w:space="0" w:color="004098"/>
            </w:tcBorders>
            <w:vAlign w:val="top"/>
          </w:tcPr>
          <w:p>
            <w:pPr>
              <w:pStyle w:val="TableText"/>
              <w:spacing w:before="44" w:line="216" w:lineRule="auto"/>
              <w:ind w:left="10"/>
              <w:rPr>
                <w:sz w:val="21"/>
                <w:szCs w:val="21"/>
              </w:rPr>
            </w:pPr>
            <w:r>
              <w:rPr>
                <w:color w:val="004098"/>
                <w:spacing w:val="2"/>
                <w:sz w:val="21"/>
                <w:szCs w:val="21"/>
                <w14:textOutline w14:w="3810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作者</w:t>
            </w:r>
          </w:p>
        </w:tc>
      </w:tr>
      <w:tr>
        <w:tblPrEx>
          <w:tblW w:w="3604" w:type="dxa"/>
          <w:tblInd w:w="0" w:type="dxa"/>
          <w:tblLayout w:type="fixed"/>
        </w:tblPrEx>
        <w:trPr>
          <w:trHeight w:val="2946"/>
        </w:trPr>
        <w:tc>
          <w:tcPr>
            <w:tcW w:w="3604" w:type="dxa"/>
            <w:tcBorders>
              <w:top w:val="single" w:sz="6" w:space="0" w:color="004098"/>
              <w:bottom w:val="single" w:sz="6" w:space="0" w:color="004098"/>
            </w:tcBorders>
            <w:vAlign w:val="top"/>
          </w:tcPr>
          <w:p>
            <w:pPr>
              <w:pStyle w:val="TableText"/>
              <w:spacing w:before="122" w:line="223" w:lineRule="auto"/>
              <w:ind w:left="37"/>
            </w:pPr>
            <w:r>
              <w:rPr>
                <w:color w:val="004098"/>
                <w:spacing w:val="4"/>
                <w14:textOutline w14:w="2993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分析师</w:t>
            </w:r>
            <w:r>
              <w:rPr>
                <w:color w:val="004098"/>
                <w:spacing w:val="25"/>
              </w:rPr>
              <w:t xml:space="preserve">  </w:t>
            </w:r>
            <w:r>
              <w:rPr>
                <w:color w:val="004098"/>
                <w:spacing w:val="4"/>
                <w14:textOutline w14:w="2993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于</w:t>
            </w:r>
            <w:r>
              <w:rPr>
                <w:color w:val="004098"/>
                <w:spacing w:val="-35"/>
              </w:rPr>
              <w:t xml:space="preserve"> </w:t>
            </w:r>
            <w:r>
              <w:rPr>
                <w:color w:val="004098"/>
                <w:spacing w:val="4"/>
                <w14:textOutline w14:w="2993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夕朦</w:t>
            </w:r>
          </w:p>
          <w:p>
            <w:pPr>
              <w:pStyle w:val="TableText"/>
              <w:spacing w:before="104" w:line="220" w:lineRule="auto"/>
              <w:ind w:left="39"/>
              <w:rPr>
                <w:rFonts w:ascii="Tahoma" w:eastAsia="Tahoma" w:hAnsi="Tahoma" w:cs="Tahoma"/>
                <w:sz w:val="15"/>
                <w:szCs w:val="15"/>
              </w:rPr>
            </w:pPr>
            <w:r>
              <w:rPr>
                <w:spacing w:val="-10"/>
                <w:sz w:val="15"/>
                <w:szCs w:val="15"/>
              </w:rPr>
              <w:t>执业证书编号：</w:t>
            </w:r>
            <w:r>
              <w:rPr>
                <w:spacing w:val="64"/>
                <w:sz w:val="15"/>
                <w:szCs w:val="15"/>
              </w:rPr>
              <w:t xml:space="preserve"> </w:t>
            </w:r>
            <w:r>
              <w:rPr>
                <w:rFonts w:ascii="Tahoma" w:eastAsia="Tahoma" w:hAnsi="Tahoma" w:cs="Tahoma"/>
                <w:spacing w:val="-10"/>
                <w:sz w:val="15"/>
                <w:szCs w:val="15"/>
              </w:rPr>
              <w:t>S1070520030003</w:t>
            </w:r>
          </w:p>
          <w:p>
            <w:pPr>
              <w:pStyle w:val="TableText"/>
              <w:spacing w:before="137" w:line="212" w:lineRule="auto"/>
              <w:ind w:left="42"/>
              <w:rPr>
                <w:rFonts w:ascii="Tahoma" w:eastAsia="Tahoma" w:hAnsi="Tahoma" w:cs="Tahoma"/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邮箱：</w:t>
            </w:r>
            <w:r>
              <w:rPr>
                <w:spacing w:val="-2"/>
                <w:sz w:val="15"/>
                <w:szCs w:val="15"/>
              </w:rPr>
              <w:t xml:space="preserve"> </w:t>
            </w:r>
            <w:r>
              <w:rPr>
                <w:rFonts w:ascii="Tahoma" w:eastAsia="Tahoma" w:hAnsi="Tahoma" w:cs="Tahoma"/>
                <w:spacing w:val="-2"/>
                <w:sz w:val="15"/>
                <w:szCs w:val="15"/>
              </w:rPr>
              <w:t>yuximeng@cgws.com</w:t>
            </w:r>
          </w:p>
          <w:p>
            <w:pPr>
              <w:pStyle w:val="TableText"/>
              <w:spacing w:before="144" w:line="225" w:lineRule="auto"/>
              <w:ind w:left="36"/>
            </w:pPr>
            <w:r>
              <w:rPr>
                <w:color w:val="004098"/>
                <w:spacing w:val="12"/>
                <w14:textOutline w14:w="2993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联系人</w:t>
            </w:r>
            <w:r>
              <w:rPr>
                <w:color w:val="004098"/>
                <w:spacing w:val="26"/>
              </w:rPr>
              <w:t xml:space="preserve">  </w:t>
            </w:r>
            <w:r>
              <w:rPr>
                <w:color w:val="004098"/>
                <w:spacing w:val="12"/>
                <w14:textOutline w14:w="2993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张鹏</w:t>
            </w:r>
          </w:p>
          <w:p>
            <w:pPr>
              <w:pStyle w:val="TableText"/>
              <w:spacing w:before="118" w:line="220" w:lineRule="auto"/>
              <w:ind w:left="39"/>
              <w:rPr>
                <w:rFonts w:ascii="Tahoma" w:eastAsia="Tahoma" w:hAnsi="Tahoma" w:cs="Tahoma"/>
                <w:sz w:val="15"/>
                <w:szCs w:val="15"/>
              </w:rPr>
            </w:pPr>
            <w:r>
              <w:rPr>
                <w:spacing w:val="-10"/>
                <w:sz w:val="15"/>
                <w:szCs w:val="15"/>
              </w:rPr>
              <w:t>执业证书编号：</w:t>
            </w:r>
            <w:r>
              <w:rPr>
                <w:spacing w:val="64"/>
                <w:sz w:val="15"/>
                <w:szCs w:val="15"/>
              </w:rPr>
              <w:t xml:space="preserve"> </w:t>
            </w:r>
            <w:r>
              <w:rPr>
                <w:rFonts w:ascii="Tahoma" w:eastAsia="Tahoma" w:hAnsi="Tahoma" w:cs="Tahoma"/>
                <w:spacing w:val="-10"/>
                <w:sz w:val="15"/>
                <w:szCs w:val="15"/>
              </w:rPr>
              <w:t>S1070122070035</w:t>
            </w:r>
          </w:p>
          <w:p>
            <w:pPr>
              <w:pStyle w:val="TableText"/>
              <w:spacing w:before="137" w:line="212" w:lineRule="auto"/>
              <w:ind w:left="42"/>
              <w:rPr>
                <w:rFonts w:ascii="Tahoma" w:eastAsia="Tahoma" w:hAnsi="Tahoma" w:cs="Tahoma"/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邮箱：</w:t>
            </w:r>
            <w:r>
              <w:rPr>
                <w:spacing w:val="-2"/>
                <w:sz w:val="15"/>
                <w:szCs w:val="15"/>
              </w:rPr>
              <w:t xml:space="preserve"> </w:t>
            </w:r>
            <w:r>
              <w:rPr>
                <w:rFonts w:ascii="Tahoma" w:eastAsia="Tahoma" w:hAnsi="Tahoma" w:cs="Tahoma"/>
                <w:spacing w:val="-2"/>
                <w:sz w:val="15"/>
                <w:szCs w:val="15"/>
              </w:rPr>
              <w:t>zhpengyjy@cgws.com</w:t>
            </w:r>
          </w:p>
          <w:p>
            <w:pPr>
              <w:pStyle w:val="TableText"/>
              <w:spacing w:before="129" w:line="224" w:lineRule="auto"/>
              <w:ind w:left="36"/>
            </w:pPr>
            <w:r>
              <w:rPr>
                <w:color w:val="004098"/>
                <w:spacing w:val="5"/>
                <w14:textOutline w14:w="2993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联系人</w:t>
            </w:r>
            <w:r>
              <w:rPr>
                <w:color w:val="004098"/>
                <w:spacing w:val="22"/>
                <w:w w:val="101"/>
              </w:rPr>
              <w:t xml:space="preserve">  </w:t>
            </w:r>
            <w:r>
              <w:rPr>
                <w:color w:val="004098"/>
                <w:spacing w:val="5"/>
                <w14:textOutline w14:w="2993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冯</w:t>
            </w:r>
            <w:r>
              <w:rPr>
                <w:color w:val="004098"/>
                <w:spacing w:val="-35"/>
              </w:rPr>
              <w:t xml:space="preserve"> </w:t>
            </w:r>
            <w:r>
              <w:rPr>
                <w:color w:val="004098"/>
                <w:spacing w:val="5"/>
                <w14:textOutline w14:w="2993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湘蒙</w:t>
            </w:r>
          </w:p>
          <w:p>
            <w:pPr>
              <w:pStyle w:val="TableText"/>
              <w:spacing w:before="119" w:line="220" w:lineRule="auto"/>
              <w:ind w:left="39"/>
              <w:rPr>
                <w:rFonts w:ascii="Tahoma" w:eastAsia="Tahoma" w:hAnsi="Tahoma" w:cs="Tahoma"/>
                <w:sz w:val="15"/>
                <w:szCs w:val="15"/>
              </w:rPr>
            </w:pPr>
            <w:r>
              <w:rPr>
                <w:spacing w:val="-10"/>
                <w:sz w:val="15"/>
                <w:szCs w:val="15"/>
              </w:rPr>
              <w:t>执业证书编号：</w:t>
            </w:r>
            <w:r>
              <w:rPr>
                <w:spacing w:val="64"/>
                <w:sz w:val="15"/>
                <w:szCs w:val="15"/>
              </w:rPr>
              <w:t xml:space="preserve"> </w:t>
            </w:r>
            <w:r>
              <w:rPr>
                <w:rFonts w:ascii="Tahoma" w:eastAsia="Tahoma" w:hAnsi="Tahoma" w:cs="Tahoma"/>
                <w:spacing w:val="-10"/>
                <w:sz w:val="15"/>
                <w:szCs w:val="15"/>
              </w:rPr>
              <w:t>S1070122100024</w:t>
            </w:r>
          </w:p>
          <w:p>
            <w:pPr>
              <w:pStyle w:val="TableText"/>
              <w:spacing w:before="137" w:line="212" w:lineRule="auto"/>
              <w:ind w:left="42"/>
              <w:rPr>
                <w:rFonts w:ascii="Tahoma" w:eastAsia="Tahoma" w:hAnsi="Tahoma" w:cs="Tahoma"/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邮箱：</w:t>
            </w:r>
            <w:r>
              <w:rPr>
                <w:spacing w:val="-2"/>
                <w:sz w:val="15"/>
                <w:szCs w:val="15"/>
              </w:rPr>
              <w:t xml:space="preserve"> </w:t>
            </w:r>
            <w:r>
              <w:rPr>
                <w:rFonts w:ascii="Tahoma" w:eastAsia="Tahoma" w:hAnsi="Tahoma" w:cs="Tahoma"/>
                <w:spacing w:val="-2"/>
                <w:sz w:val="15"/>
                <w:szCs w:val="15"/>
              </w:rPr>
              <w:t>fengxiangmeng@cgws.com</w:t>
            </w:r>
          </w:p>
        </w:tc>
      </w:tr>
      <w:tr>
        <w:tblPrEx>
          <w:tblW w:w="3604" w:type="dxa"/>
          <w:tblInd w:w="0" w:type="dxa"/>
          <w:tblLayout w:type="fixed"/>
        </w:tblPrEx>
        <w:trPr>
          <w:trHeight w:val="321"/>
        </w:trPr>
        <w:tc>
          <w:tcPr>
            <w:tcW w:w="3604" w:type="dxa"/>
            <w:tcBorders>
              <w:top w:val="single" w:sz="6" w:space="0" w:color="004098"/>
              <w:bottom w:val="single" w:sz="6" w:space="0" w:color="004098"/>
            </w:tcBorders>
            <w:vAlign w:val="top"/>
          </w:tcPr>
          <w:p>
            <w:pPr>
              <w:pStyle w:val="TableText"/>
              <w:spacing w:before="51" w:line="217" w:lineRule="auto"/>
              <w:ind w:left="5"/>
              <w:rPr>
                <w:sz w:val="21"/>
                <w:szCs w:val="21"/>
              </w:rPr>
            </w:pPr>
            <w:r>
              <w:rPr>
                <w:color w:val="004098"/>
                <w:spacing w:val="10"/>
                <w:sz w:val="21"/>
                <w:szCs w:val="21"/>
                <w14:textOutline w14:w="3810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相关研究</w:t>
            </w:r>
          </w:p>
        </w:tc>
      </w:tr>
    </w:tbl>
    <w:p>
      <w:pPr>
        <w:pStyle w:val="BodyText"/>
        <w:spacing w:before="127" w:line="271" w:lineRule="auto"/>
        <w:ind w:left="40" w:right="61" w:firstLine="6"/>
        <w:rPr>
          <w:rFonts w:ascii="Tahoma" w:eastAsia="Tahoma" w:hAnsi="Tahoma" w:cs="Tahoma"/>
          <w:sz w:val="15"/>
          <w:szCs w:val="15"/>
        </w:rPr>
      </w:pPr>
      <w:r>
        <w:rPr>
          <w:rFonts w:ascii="Tahoma" w:eastAsia="Tahoma" w:hAnsi="Tahoma" w:cs="Tahoma"/>
          <w:spacing w:val="-7"/>
          <w:sz w:val="15"/>
          <w:szCs w:val="15"/>
        </w:rPr>
        <w:t>1</w:t>
      </w:r>
      <w:r>
        <w:rPr>
          <w:spacing w:val="-7"/>
          <w:sz w:val="15"/>
          <w:szCs w:val="15"/>
        </w:rPr>
        <w:t>、《绿氨产业有望推动氢能规模化发展</w:t>
      </w:r>
      <w:r>
        <w:rPr>
          <w:spacing w:val="-52"/>
          <w:sz w:val="15"/>
          <w:szCs w:val="15"/>
        </w:rPr>
        <w:t xml:space="preserve"> </w:t>
      </w:r>
      <w:r>
        <w:rPr>
          <w:spacing w:val="-7"/>
          <w:sz w:val="15"/>
          <w:szCs w:val="15"/>
        </w:rPr>
        <w:t>—氢</w:t>
      </w:r>
      <w:r>
        <w:rPr>
          <w:spacing w:val="-8"/>
          <w:sz w:val="15"/>
          <w:szCs w:val="15"/>
        </w:rPr>
        <w:t>能及燃料电</w:t>
      </w:r>
      <w:r>
        <w:rPr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池》</w:t>
      </w:r>
      <w:r>
        <w:rPr>
          <w:rFonts w:ascii="Tahoma" w:eastAsia="Tahoma" w:hAnsi="Tahoma" w:cs="Tahoma"/>
          <w:spacing w:val="-4"/>
          <w:sz w:val="15"/>
          <w:szCs w:val="15"/>
        </w:rPr>
        <w:t>2024-01-08</w:t>
      </w:r>
    </w:p>
    <w:p>
      <w:pPr>
        <w:pStyle w:val="BodyText"/>
        <w:spacing w:before="69" w:line="274" w:lineRule="auto"/>
        <w:ind w:left="37" w:right="78"/>
        <w:rPr>
          <w:rFonts w:ascii="Tahoma" w:eastAsia="Tahoma" w:hAnsi="Tahoma" w:cs="Tahoma"/>
          <w:sz w:val="15"/>
          <w:szCs w:val="15"/>
        </w:rPr>
      </w:pPr>
      <w:r>
        <w:rPr>
          <w:rFonts w:ascii="Tahoma" w:eastAsia="Tahoma" w:hAnsi="Tahoma" w:cs="Tahoma"/>
          <w:spacing w:val="3"/>
          <w:sz w:val="15"/>
          <w:szCs w:val="15"/>
        </w:rPr>
        <w:t>2</w:t>
      </w:r>
      <w:r>
        <w:rPr>
          <w:spacing w:val="3"/>
          <w:sz w:val="15"/>
          <w:szCs w:val="15"/>
        </w:rPr>
        <w:t>、《氢</w:t>
      </w:r>
      <w:r>
        <w:rPr>
          <w:spacing w:val="-27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能产业发</w:t>
      </w:r>
      <w:r>
        <w:rPr>
          <w:spacing w:val="-38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展研究报</w:t>
      </w:r>
      <w:r>
        <w:rPr>
          <w:spacing w:val="-35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告</w:t>
      </w:r>
      <w:r>
        <w:rPr>
          <w:spacing w:val="-43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—</w:t>
      </w:r>
      <w:r>
        <w:rPr>
          <w:spacing w:val="-47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氢能及</w:t>
      </w:r>
      <w:r>
        <w:rPr>
          <w:spacing w:val="-39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燃料电</w:t>
      </w:r>
      <w:r>
        <w:rPr>
          <w:spacing w:val="2"/>
          <w:sz w:val="15"/>
          <w:szCs w:val="15"/>
        </w:rPr>
        <w:t>池》</w:t>
      </w:r>
      <w:r>
        <w:rPr>
          <w:sz w:val="15"/>
          <w:szCs w:val="15"/>
        </w:rPr>
        <w:t xml:space="preserve"> </w:t>
      </w:r>
      <w:r>
        <w:rPr>
          <w:rFonts w:ascii="Tahoma" w:eastAsia="Tahoma" w:hAnsi="Tahoma" w:cs="Tahoma"/>
          <w:spacing w:val="-7"/>
          <w:sz w:val="15"/>
          <w:szCs w:val="15"/>
        </w:rPr>
        <w:t>2023-</w:t>
      </w:r>
      <w:r>
        <w:rPr>
          <w:rFonts w:ascii="Tahoma" w:eastAsia="Tahoma" w:hAnsi="Tahoma" w:cs="Tahoma"/>
          <w:spacing w:val="-22"/>
          <w:sz w:val="15"/>
          <w:szCs w:val="15"/>
        </w:rPr>
        <w:t xml:space="preserve"> </w:t>
      </w:r>
      <w:r>
        <w:rPr>
          <w:rFonts w:ascii="Tahoma" w:eastAsia="Tahoma" w:hAnsi="Tahoma" w:cs="Tahoma"/>
          <w:spacing w:val="-7"/>
          <w:sz w:val="15"/>
          <w:szCs w:val="15"/>
        </w:rPr>
        <w:t>12-22</w:t>
      </w:r>
    </w:p>
    <w:p>
      <w:pPr>
        <w:pStyle w:val="BodyText"/>
        <w:spacing w:before="97" w:line="249" w:lineRule="auto"/>
        <w:ind w:left="30" w:right="76" w:firstLine="7"/>
        <w:rPr>
          <w:rFonts w:ascii="Tahoma" w:eastAsia="Tahoma" w:hAnsi="Tahoma" w:cs="Tahoma"/>
          <w:sz w:val="15"/>
          <w:szCs w:val="15"/>
        </w:rPr>
      </w:pPr>
      <w:r>
        <w:rPr>
          <w:rFonts w:ascii="Tahoma" w:eastAsia="Tahoma" w:hAnsi="Tahoma" w:cs="Tahoma"/>
          <w:spacing w:val="-3"/>
          <w:sz w:val="15"/>
          <w:szCs w:val="15"/>
        </w:rPr>
        <w:t>3</w:t>
      </w:r>
      <w:r>
        <w:rPr>
          <w:spacing w:val="-3"/>
          <w:sz w:val="15"/>
          <w:szCs w:val="15"/>
        </w:rPr>
        <w:t>、《熔盐储能发展及其安全问题浅析—行业</w:t>
      </w:r>
      <w:r>
        <w:rPr>
          <w:rFonts w:ascii="Tahoma" w:eastAsia="Tahoma" w:hAnsi="Tahoma" w:cs="Tahoma"/>
          <w:spacing w:val="-3"/>
          <w:sz w:val="15"/>
          <w:szCs w:val="15"/>
        </w:rPr>
        <w:t>/</w:t>
      </w:r>
      <w:r>
        <w:rPr>
          <w:spacing w:val="-3"/>
          <w:sz w:val="15"/>
          <w:szCs w:val="15"/>
        </w:rPr>
        <w:t>公司名称</w:t>
      </w:r>
      <w:r>
        <w:rPr>
          <w:spacing w:val="6"/>
          <w:sz w:val="15"/>
          <w:szCs w:val="15"/>
        </w:rPr>
        <w:t xml:space="preserve"> </w:t>
      </w:r>
      <w:r>
        <w:rPr>
          <w:spacing w:val="-9"/>
          <w:sz w:val="15"/>
          <w:szCs w:val="15"/>
        </w:rPr>
        <w:t>（选填）》</w:t>
      </w:r>
      <w:r>
        <w:rPr>
          <w:rFonts w:ascii="Tahoma" w:eastAsia="Tahoma" w:hAnsi="Tahoma" w:cs="Tahoma"/>
          <w:spacing w:val="-9"/>
          <w:sz w:val="15"/>
          <w:szCs w:val="15"/>
        </w:rPr>
        <w:t>2023-</w:t>
      </w:r>
      <w:r>
        <w:rPr>
          <w:rFonts w:ascii="Tahoma" w:eastAsia="Tahoma" w:hAnsi="Tahoma" w:cs="Tahoma"/>
          <w:spacing w:val="-23"/>
          <w:sz w:val="15"/>
          <w:szCs w:val="15"/>
        </w:rPr>
        <w:t xml:space="preserve"> </w:t>
      </w:r>
      <w:r>
        <w:rPr>
          <w:rFonts w:ascii="Tahoma" w:eastAsia="Tahoma" w:hAnsi="Tahoma" w:cs="Tahoma"/>
          <w:spacing w:val="-9"/>
          <w:sz w:val="15"/>
          <w:szCs w:val="15"/>
        </w:rPr>
        <w:t>12-04</w:t>
      </w:r>
    </w:p>
    <w:p>
      <w:pPr>
        <w:spacing w:line="249" w:lineRule="auto"/>
        <w:rPr>
          <w:rFonts w:ascii="Tahoma" w:eastAsia="Tahoma" w:hAnsi="Tahoma" w:cs="Tahoma"/>
          <w:sz w:val="15"/>
          <w:szCs w:val="15"/>
        </w:rPr>
        <w:sectPr>
          <w:footerReference w:type="default" r:id="rId6"/>
          <w:type w:val="continuous"/>
          <w:pgSz w:w="11910" w:h="16845"/>
          <w:pgMar w:top="935" w:right="645" w:bottom="840" w:left="645" w:header="0" w:footer="544" w:gutter="0"/>
          <w:pgNumType w:start="2"/>
          <w:cols w:num="2" w:space="708" w:equalWidth="0">
            <w:col w:w="6885" w:space="100"/>
            <w:col w:w="3635" w:space="0"/>
          </w:cols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  <w:sectPr>
          <w:footerReference w:type="default" r:id="rId7"/>
          <w:type w:val="continuous"/>
          <w:pgSz w:w="11910" w:h="16845"/>
          <w:pgMar w:top="935" w:right="645" w:bottom="840" w:left="645" w:header="0" w:footer="544" w:gutter="0"/>
          <w:pgNumType w:start="3"/>
          <w:cols w:num="1" w:space="708" w:equalWidth="0">
            <w:col w:w="10619" w:space="0"/>
          </w:cols>
        </w:sectPr>
      </w:pPr>
    </w:p>
    <w:p>
      <w:pPr>
        <w:pStyle w:val="BodyText"/>
        <w:spacing w:before="62" w:line="315" w:lineRule="exact"/>
        <w:ind w:left="38"/>
      </w:pPr>
      <w:r>
        <w:rPr>
          <w:color w:val="004098"/>
          <w:spacing w:val="4"/>
          <w:position w:val="9"/>
          <w14:textOutline w14:w="3537">
            <w14:solidFill>
              <w14:srgbClr w14:val="004098"/>
            </w14:solidFill>
            <w14:prstDash w14:val="solid"/>
            <w14:miter w14:lim="10"/>
          </w14:textOutline>
        </w:rPr>
        <w:t>风险提示：</w:t>
      </w:r>
      <w:r>
        <w:rPr>
          <w:color w:val="004098"/>
          <w:spacing w:val="38"/>
          <w:position w:val="9"/>
        </w:rPr>
        <w:t xml:space="preserve"> </w:t>
      </w:r>
      <w:r>
        <w:rPr>
          <w:color w:val="C00000"/>
          <w:spacing w:val="4"/>
          <w:position w:val="9"/>
        </w:rPr>
        <w:t>电力系统对长时储能的实际需求不及预期；</w:t>
      </w:r>
      <w:r>
        <w:rPr>
          <w:color w:val="C00000"/>
          <w:spacing w:val="4"/>
          <w:position w:val="9"/>
        </w:rPr>
        <w:t xml:space="preserve"> </w:t>
      </w:r>
      <w:r>
        <w:rPr>
          <w:color w:val="C00000"/>
          <w:spacing w:val="4"/>
          <w:position w:val="9"/>
        </w:rPr>
        <w:t>商业模式发</w:t>
      </w:r>
      <w:r>
        <w:rPr>
          <w:color w:val="C00000"/>
          <w:spacing w:val="3"/>
          <w:position w:val="9"/>
        </w:rPr>
        <w:t>展不及预</w:t>
      </w:r>
    </w:p>
    <w:p>
      <w:pPr>
        <w:pStyle w:val="BodyText"/>
        <w:spacing w:before="1" w:line="189" w:lineRule="auto"/>
        <w:ind w:left="40"/>
      </w:pPr>
      <w:r>
        <w:rPr>
          <w:color w:val="C00000"/>
          <w:spacing w:val="5"/>
        </w:rPr>
        <w:t>期；</w:t>
      </w:r>
      <w:r>
        <w:rPr>
          <w:color w:val="C00000"/>
          <w:spacing w:val="-34"/>
        </w:rPr>
        <w:t xml:space="preserve"> </w:t>
      </w:r>
      <w:r>
        <w:rPr>
          <w:color w:val="C00000"/>
          <w:spacing w:val="5"/>
        </w:rPr>
        <w:t>价格机制形成不及预期；</w:t>
      </w:r>
      <w:r>
        <w:rPr>
          <w:color w:val="C00000"/>
          <w:spacing w:val="5"/>
        </w:rPr>
        <w:t xml:space="preserve"> </w:t>
      </w:r>
      <w:r>
        <w:rPr>
          <w:color w:val="C00000"/>
          <w:spacing w:val="5"/>
        </w:rPr>
        <w:t>长时储能经济性发展不及预期</w:t>
      </w:r>
    </w:p>
    <w:p>
      <w:pPr>
        <w:spacing w:line="189" w:lineRule="auto"/>
        <w:sectPr>
          <w:footerReference w:type="default" r:id="rId8"/>
          <w:type w:val="nextPage"/>
          <w:pgSz w:w="11910" w:h="16845"/>
          <w:pgMar w:top="935" w:right="645" w:bottom="840" w:left="645" w:header="0" w:footer="544" w:gutter="0"/>
          <w:pgNumType w:start="4"/>
          <w:cols w:num="1" w:space="708" w:equalWidth="0">
            <w:col w:w="10619" w:space="0"/>
          </w:cols>
          <w:titlePg w:val="0"/>
        </w:sect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91" w:line="222" w:lineRule="auto"/>
        <w:ind w:left="115"/>
        <w:rPr>
          <w:sz w:val="28"/>
          <w:szCs w:val="28"/>
        </w:rPr>
      </w:pPr>
      <w:r>
        <w:rPr>
          <w:color w:val="004098"/>
          <w:sz w:val="28"/>
          <w:szCs w:val="28"/>
          <w14:textOutline w14:w="5179">
            <w14:solidFill>
              <w14:srgbClr w14:val="004098"/>
            </w14:solidFill>
            <w14:prstDash w14:val="solid"/>
            <w14:miter w14:lim="10"/>
          </w14:textOutline>
        </w:rPr>
        <w:t>内容目录</w:t>
      </w:r>
    </w:p>
    <w:p>
      <w:pPr>
        <w:spacing w:line="259" w:lineRule="auto"/>
        <w:rPr>
          <w:rFonts w:ascii="Arial"/>
          <w:sz w:val="21"/>
        </w:rPr>
      </w:pPr>
    </w:p>
    <w:sdt>
      <w:sdtPr>
        <w:rPr>
          <w:rFonts w:ascii="Tahoma" w:eastAsia="Tahoma" w:hAnsi="Tahoma" w:cs="Tahoma"/>
          <w:sz w:val="21"/>
          <w:szCs w:val="21"/>
        </w:rPr>
        <w:id w:val="2063236463"/>
        <w:docPartObj>
          <w:docPartGallery w:val="Table of Contents"/>
          <w:docPartUnique/>
        </w:docPartObj>
      </w:sdtPr>
      <w:sdtEndPr>
        <w:rPr>
          <w:rFonts w:ascii="Tahoma" w:eastAsia="Tahoma" w:hAnsi="Tahoma" w:cs="Tahoma"/>
          <w:sz w:val="21"/>
          <w:szCs w:val="21"/>
        </w:rPr>
      </w:sdtEndPr>
      <w:sdtContent>
        <w:p>
          <w:pPr>
            <w:pStyle w:val="BodyText"/>
            <w:tabs>
              <w:tab w:val="right" w:leader="dot" w:pos="10600"/>
            </w:tabs>
            <w:spacing w:before="68" w:line="217" w:lineRule="auto"/>
            <w:ind w:left="87"/>
            <w:rPr>
              <w:rFonts w:ascii="Tahoma" w:eastAsia="Tahoma" w:hAnsi="Tahoma" w:cs="Tahoma"/>
              <w:sz w:val="21"/>
              <w:szCs w:val="21"/>
            </w:rPr>
          </w:pPr>
          <w:r>
            <w:rPr>
              <w:rFonts w:ascii="Tahoma" w:eastAsia="Tahoma" w:hAnsi="Tahoma" w:cs="Tahoma"/>
              <w:spacing w:val="-3"/>
              <w:sz w:val="21"/>
              <w:szCs w:val="21"/>
            </w:rPr>
            <w:t>1.</w:t>
          </w:r>
          <w:r>
            <w:rPr>
              <w:rFonts w:ascii="Tahoma" w:eastAsia="Tahoma" w:hAnsi="Tahoma" w:cs="Tahoma"/>
              <w:spacing w:val="50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长时储能发展现状</w:t>
          </w:r>
          <w:r>
            <w:rPr>
              <w:spacing w:val="-8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3"/>
              <w:sz w:val="21"/>
              <w:szCs w:val="21"/>
            </w:rPr>
            <w:t xml:space="preserve"> </w:t>
          </w:r>
          <w:hyperlink w:anchor="bookmark1" w:history="1">
            <w:r>
              <w:rPr>
                <w:rFonts w:ascii="Tahoma" w:eastAsia="Tahoma" w:hAnsi="Tahoma" w:cs="Tahoma"/>
                <w:sz w:val="21"/>
                <w:szCs w:val="21"/>
              </w:rPr>
              <w:t>3</w:t>
            </w:r>
          </w:hyperlink>
        </w:p>
        <w:p>
          <w:pPr>
            <w:pStyle w:val="BodyText"/>
            <w:tabs>
              <w:tab w:val="right" w:leader="dot" w:pos="10600"/>
            </w:tabs>
            <w:spacing w:before="68" w:line="217" w:lineRule="auto"/>
            <w:ind w:left="75"/>
            <w:rPr>
              <w:rFonts w:ascii="Tahoma" w:eastAsia="Tahoma" w:hAnsi="Tahoma" w:cs="Tahoma"/>
              <w:sz w:val="21"/>
              <w:szCs w:val="21"/>
            </w:rPr>
          </w:pPr>
          <w:r>
            <w:rPr>
              <w:rFonts w:ascii="Tahoma" w:eastAsia="Tahoma" w:hAnsi="Tahoma" w:cs="Tahoma"/>
              <w:spacing w:val="-1"/>
              <w:sz w:val="21"/>
              <w:szCs w:val="21"/>
            </w:rPr>
            <w:t xml:space="preserve">2. 2023 </w:t>
          </w:r>
          <w:r>
            <w:rPr>
              <w:spacing w:val="-1"/>
              <w:sz w:val="21"/>
              <w:szCs w:val="21"/>
            </w:rPr>
            <w:t>年长时储能技术公司融资事件</w:t>
          </w:r>
          <w:r>
            <w:rPr>
              <w:spacing w:val="-4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8"/>
              <w:sz w:val="21"/>
              <w:szCs w:val="21"/>
            </w:rPr>
            <w:t xml:space="preserve"> </w:t>
          </w:r>
          <w:hyperlink w:anchor="bookmark2" w:history="1">
            <w:r>
              <w:rPr>
                <w:rFonts w:ascii="Tahoma" w:eastAsia="Tahoma" w:hAnsi="Tahoma" w:cs="Tahoma"/>
                <w:sz w:val="21"/>
                <w:szCs w:val="21"/>
              </w:rPr>
              <w:t>4</w:t>
            </w:r>
          </w:hyperlink>
        </w:p>
        <w:p>
          <w:pPr>
            <w:pStyle w:val="BodyText"/>
            <w:tabs>
              <w:tab w:val="right" w:leader="dot" w:pos="10600"/>
            </w:tabs>
            <w:spacing w:before="52" w:line="218" w:lineRule="auto"/>
            <w:ind w:left="73"/>
            <w:rPr>
              <w:rFonts w:ascii="Tahoma" w:eastAsia="Tahoma" w:hAnsi="Tahoma" w:cs="Tahoma"/>
              <w:sz w:val="21"/>
              <w:szCs w:val="21"/>
            </w:rPr>
          </w:pPr>
          <w:r>
            <w:rPr>
              <w:rFonts w:ascii="Tahoma" w:eastAsia="Tahoma" w:hAnsi="Tahoma" w:cs="Tahoma"/>
              <w:spacing w:val="-3"/>
              <w:sz w:val="21"/>
              <w:szCs w:val="21"/>
            </w:rPr>
            <w:t>3.</w:t>
          </w:r>
          <w:r>
            <w:rPr>
              <w:rFonts w:ascii="Tahoma" w:eastAsia="Tahoma" w:hAnsi="Tahoma" w:cs="Tahoma"/>
              <w:spacing w:val="56"/>
              <w:w w:val="101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主要投资机构</w:t>
          </w:r>
          <w:r>
            <w:rPr>
              <w:spacing w:val="-8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2"/>
              <w:sz w:val="21"/>
              <w:szCs w:val="21"/>
            </w:rPr>
            <w:t xml:space="preserve"> </w:t>
          </w:r>
          <w:hyperlink w:anchor="bookmark3" w:history="1">
            <w:r>
              <w:rPr>
                <w:rFonts w:ascii="Tahoma" w:eastAsia="Tahoma" w:hAnsi="Tahoma" w:cs="Tahoma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00"/>
            </w:tabs>
            <w:spacing w:before="68" w:line="217" w:lineRule="auto"/>
            <w:ind w:left="68"/>
            <w:rPr>
              <w:rFonts w:ascii="Tahoma" w:eastAsia="Tahoma" w:hAnsi="Tahoma" w:cs="Tahoma"/>
              <w:sz w:val="21"/>
              <w:szCs w:val="21"/>
            </w:rPr>
          </w:pPr>
          <w:r>
            <w:rPr>
              <w:rFonts w:ascii="Tahoma" w:eastAsia="Tahoma" w:hAnsi="Tahoma" w:cs="Tahoma"/>
              <w:spacing w:val="-1"/>
              <w:sz w:val="21"/>
              <w:szCs w:val="21"/>
            </w:rPr>
            <w:t>4.</w:t>
          </w:r>
          <w:r>
            <w:rPr>
              <w:rFonts w:ascii="Tahoma" w:eastAsia="Tahoma" w:hAnsi="Tahoma" w:cs="Tahoma"/>
              <w:spacing w:val="55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典型长时储能公司融资案例</w:t>
          </w:r>
          <w:r>
            <w:rPr>
              <w:spacing w:val="-87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4"/>
              <w:sz w:val="21"/>
              <w:szCs w:val="21"/>
            </w:rPr>
            <w:t xml:space="preserve"> </w:t>
          </w:r>
          <w:hyperlink w:anchor="bookmark4" w:history="1">
            <w:r>
              <w:rPr>
                <w:rFonts w:ascii="Tahoma" w:eastAsia="Tahoma" w:hAnsi="Tahoma" w:cs="Tahoma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00"/>
            </w:tabs>
            <w:spacing w:before="67" w:line="220" w:lineRule="auto"/>
            <w:ind w:left="76"/>
            <w:rPr>
              <w:rFonts w:ascii="Tahoma" w:eastAsia="Tahoma" w:hAnsi="Tahoma" w:cs="Tahoma"/>
              <w:sz w:val="21"/>
              <w:szCs w:val="21"/>
            </w:rPr>
          </w:pPr>
          <w:r>
            <w:rPr>
              <w:rFonts w:ascii="Tahoma" w:eastAsia="Tahoma" w:hAnsi="Tahoma" w:cs="Tahoma"/>
              <w:spacing w:val="-4"/>
              <w:sz w:val="21"/>
              <w:szCs w:val="21"/>
            </w:rPr>
            <w:t>5.</w:t>
          </w:r>
          <w:r>
            <w:rPr>
              <w:rFonts w:ascii="Tahoma" w:eastAsia="Tahoma" w:hAnsi="Tahoma" w:cs="Tahoma"/>
              <w:spacing w:val="58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总结与展望</w:t>
          </w:r>
          <w:r>
            <w:rPr>
              <w:spacing w:val="-57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5"/>
              <w:sz w:val="21"/>
              <w:szCs w:val="21"/>
            </w:rPr>
            <w:t xml:space="preserve"> </w:t>
          </w:r>
          <w:hyperlink w:anchor="bookmark5" w:history="1">
            <w:r>
              <w:rPr>
                <w:rFonts w:ascii="Tahoma" w:eastAsia="Tahoma" w:hAnsi="Tahoma" w:cs="Tahoma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00"/>
            </w:tabs>
            <w:spacing w:before="65" w:line="220" w:lineRule="auto"/>
            <w:ind w:left="73"/>
            <w:rPr>
              <w:rFonts w:ascii="Tahoma" w:eastAsia="Tahoma" w:hAnsi="Tahoma" w:cs="Tahoma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风险提示</w:t>
          </w:r>
          <w:r>
            <w:rPr>
              <w:spacing w:val="-4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38"/>
              <w:sz w:val="21"/>
              <w:szCs w:val="21"/>
            </w:rPr>
            <w:t xml:space="preserve"> </w:t>
          </w:r>
          <w:hyperlink w:anchor="bookmark6" w:history="1">
            <w:r>
              <w:rPr>
                <w:rFonts w:ascii="Tahoma" w:eastAsia="Tahoma" w:hAnsi="Tahoma" w:cs="Tahoma"/>
                <w:spacing w:val="-5"/>
                <w:sz w:val="21"/>
                <w:szCs w:val="21"/>
              </w:rPr>
              <w:t>11</w:t>
            </w:r>
          </w:hyperlink>
        </w:p>
      </w:sdtContent>
    </w:sdt>
    <w:p>
      <w:pPr>
        <w:spacing w:line="388" w:lineRule="auto"/>
        <w:rPr>
          <w:rFonts w:ascii="Arial"/>
          <w:sz w:val="21"/>
        </w:rPr>
      </w:pPr>
    </w:p>
    <w:p>
      <w:pPr>
        <w:pStyle w:val="BodyText"/>
        <w:spacing w:before="92" w:line="222" w:lineRule="auto"/>
        <w:ind w:left="108"/>
        <w:rPr>
          <w:sz w:val="28"/>
          <w:szCs w:val="28"/>
        </w:rPr>
      </w:pPr>
      <w:r>
        <w:rPr>
          <w:color w:val="004098"/>
          <w:spacing w:val="1"/>
          <w:sz w:val="28"/>
          <w:szCs w:val="28"/>
          <w14:textOutline w14:w="5179">
            <w14:solidFill>
              <w14:srgbClr w14:val="004098"/>
            </w14:solidFill>
            <w14:prstDash w14:val="solid"/>
            <w14:miter w14:lim="10"/>
          </w14:textOutline>
        </w:rPr>
        <w:t>图表目录</w:t>
      </w:r>
    </w:p>
    <w:p>
      <w:pPr>
        <w:spacing w:line="254" w:lineRule="auto"/>
        <w:rPr>
          <w:rFonts w:ascii="Arial"/>
          <w:sz w:val="21"/>
        </w:rPr>
      </w:pPr>
    </w:p>
    <w:sdt>
      <w:sdtPr>
        <w:rPr>
          <w:rFonts w:ascii="FangSong" w:eastAsia="FangSong" w:hAnsi="FangSong" w:cs="FangSong"/>
          <w:sz w:val="22"/>
          <w:szCs w:val="22"/>
        </w:rPr>
        <w:id w:val="1209439878"/>
        <w:docPartObj>
          <w:docPartGallery w:val="Table of Contents"/>
          <w:docPartUnique/>
        </w:docPartObj>
      </w:sdtPr>
      <w:sdtEndPr>
        <w:rPr>
          <w:rFonts w:ascii="Tahoma" w:eastAsia="Tahoma" w:hAnsi="Tahoma" w:cs="Tahoma"/>
          <w:sz w:val="22"/>
          <w:szCs w:val="22"/>
        </w:rPr>
      </w:sdtEndPr>
      <w:sdtContent>
        <w:p>
          <w:pPr>
            <w:pStyle w:val="BodyText"/>
            <w:tabs>
              <w:tab w:val="right" w:leader="dot" w:pos="10653"/>
            </w:tabs>
            <w:spacing w:before="72" w:line="208" w:lineRule="auto"/>
            <w:ind w:left="86"/>
            <w:rPr>
              <w:rFonts w:ascii="Tahoma" w:eastAsia="Tahoma" w:hAnsi="Tahoma" w:cs="Tahoma"/>
              <w:sz w:val="22"/>
              <w:szCs w:val="22"/>
            </w:rPr>
          </w:pPr>
          <w:r>
            <w:rPr>
              <w:i/>
              <w:iCs/>
              <w:sz w:val="22"/>
              <w:szCs w:val="22"/>
            </w:rPr>
            <w:t>图表</w:t>
          </w:r>
          <w:r>
            <w:rPr>
              <w:rFonts w:ascii="Tahoma" w:eastAsia="Tahoma" w:hAnsi="Tahoma" w:cs="Tahoma"/>
              <w:sz w:val="22"/>
              <w:szCs w:val="22"/>
            </w:rPr>
            <w:t>1</w:t>
          </w:r>
          <w:r>
            <w:rPr>
              <w:i/>
              <w:iCs/>
              <w:sz w:val="22"/>
              <w:szCs w:val="22"/>
            </w:rPr>
            <w:t>：</w:t>
          </w:r>
          <w:r>
            <w:rPr>
              <w:spacing w:val="-24"/>
              <w:sz w:val="22"/>
              <w:szCs w:val="22"/>
            </w:rPr>
            <w:t xml:space="preserve"> </w:t>
          </w:r>
          <w:r>
            <w:rPr>
              <w:i/>
              <w:iCs/>
              <w:sz w:val="22"/>
              <w:szCs w:val="22"/>
            </w:rPr>
            <w:t>不同储能时长的作用</w:t>
          </w:r>
          <w:r>
            <w:rPr>
              <w:sz w:val="22"/>
              <w:szCs w:val="22"/>
            </w:rPr>
            <w:tab/>
          </w:r>
          <w:r>
            <w:rPr>
              <w:spacing w:val="-68"/>
              <w:sz w:val="22"/>
              <w:szCs w:val="22"/>
            </w:rPr>
            <w:t xml:space="preserve"> </w:t>
          </w:r>
          <w:hyperlink w:anchor="bookmark7" w:history="1">
            <w:r>
              <w:rPr>
                <w:rFonts w:ascii="Tahoma" w:eastAsia="Tahoma" w:hAnsi="Tahoma" w:cs="Tahoma"/>
                <w:spacing w:val="21"/>
                <w:w w:val="113"/>
                <w:sz w:val="22"/>
                <w:szCs w:val="22"/>
              </w:rPr>
              <w:t>3</w:t>
            </w:r>
          </w:hyperlink>
        </w:p>
        <w:p>
          <w:pPr>
            <w:pStyle w:val="BodyText"/>
            <w:tabs>
              <w:tab w:val="right" w:leader="dot" w:pos="10651"/>
            </w:tabs>
            <w:spacing w:before="67" w:line="208" w:lineRule="auto"/>
            <w:ind w:left="86"/>
            <w:rPr>
              <w:rFonts w:ascii="Tahoma" w:eastAsia="Tahoma" w:hAnsi="Tahoma" w:cs="Tahoma"/>
              <w:sz w:val="22"/>
              <w:szCs w:val="22"/>
            </w:rPr>
          </w:pPr>
          <w:r>
            <w:rPr>
              <w:i/>
              <w:iCs/>
              <w:spacing w:val="-1"/>
              <w:sz w:val="22"/>
              <w:szCs w:val="22"/>
            </w:rPr>
            <w:t>图表</w:t>
          </w:r>
          <w:r>
            <w:rPr>
              <w:rFonts w:ascii="Tahoma" w:eastAsia="Tahoma" w:hAnsi="Tahoma" w:cs="Tahoma"/>
              <w:spacing w:val="-1"/>
              <w:sz w:val="22"/>
              <w:szCs w:val="22"/>
            </w:rPr>
            <w:t>2</w:t>
          </w:r>
          <w:r>
            <w:rPr>
              <w:i/>
              <w:iCs/>
              <w:spacing w:val="-1"/>
              <w:sz w:val="22"/>
              <w:szCs w:val="22"/>
            </w:rPr>
            <w:t>：</w:t>
          </w:r>
          <w:r>
            <w:rPr>
              <w:spacing w:val="-11"/>
              <w:sz w:val="22"/>
              <w:szCs w:val="22"/>
            </w:rPr>
            <w:t xml:space="preserve"> </w:t>
          </w:r>
          <w:r>
            <w:rPr>
              <w:rFonts w:ascii="Tahoma" w:eastAsia="Tahoma" w:hAnsi="Tahoma" w:cs="Tahoma"/>
              <w:spacing w:val="-1"/>
              <w:sz w:val="22"/>
              <w:szCs w:val="22"/>
            </w:rPr>
            <w:t>2023</w:t>
          </w:r>
          <w:r>
            <w:rPr>
              <w:i/>
              <w:iCs/>
              <w:spacing w:val="-1"/>
              <w:sz w:val="22"/>
              <w:szCs w:val="22"/>
            </w:rPr>
            <w:t>年全国新型储能装机技术分布</w:t>
          </w:r>
          <w:r>
            <w:rPr>
              <w:sz w:val="22"/>
              <w:szCs w:val="22"/>
            </w:rPr>
            <w:tab/>
          </w:r>
          <w:r>
            <w:rPr>
              <w:spacing w:val="-73"/>
              <w:sz w:val="22"/>
              <w:szCs w:val="22"/>
            </w:rPr>
            <w:t xml:space="preserve"> </w:t>
          </w:r>
          <w:hyperlink w:anchor="bookmark8" w:history="1">
            <w:r>
              <w:rPr>
                <w:rFonts w:ascii="Tahoma" w:eastAsia="Tahoma" w:hAnsi="Tahoma" w:cs="Tahoma"/>
                <w:spacing w:val="11"/>
                <w:w w:val="125"/>
                <w:sz w:val="22"/>
                <w:szCs w:val="22"/>
              </w:rPr>
              <w:t>4</w:t>
            </w:r>
          </w:hyperlink>
        </w:p>
        <w:p>
          <w:pPr>
            <w:pStyle w:val="BodyText"/>
            <w:tabs>
              <w:tab w:val="right" w:leader="dot" w:pos="10651"/>
            </w:tabs>
            <w:spacing w:before="68" w:line="209" w:lineRule="auto"/>
            <w:ind w:left="86"/>
            <w:rPr>
              <w:rFonts w:ascii="Tahoma" w:eastAsia="Tahoma" w:hAnsi="Tahoma" w:cs="Tahoma"/>
              <w:sz w:val="22"/>
              <w:szCs w:val="22"/>
            </w:rPr>
          </w:pPr>
          <w:r>
            <w:rPr>
              <w:i/>
              <w:iCs/>
              <w:spacing w:val="3"/>
              <w:sz w:val="22"/>
              <w:szCs w:val="22"/>
            </w:rPr>
            <w:t>图表</w:t>
          </w:r>
          <w:r>
            <w:rPr>
              <w:rFonts w:ascii="Tahoma" w:eastAsia="Tahoma" w:hAnsi="Tahoma" w:cs="Tahoma"/>
              <w:spacing w:val="3"/>
              <w:sz w:val="22"/>
              <w:szCs w:val="22"/>
            </w:rPr>
            <w:t>3</w:t>
          </w:r>
          <w:r>
            <w:rPr>
              <w:i/>
              <w:iCs/>
              <w:spacing w:val="3"/>
              <w:sz w:val="22"/>
              <w:szCs w:val="22"/>
            </w:rPr>
            <w:t>：</w:t>
          </w:r>
          <w:r>
            <w:rPr>
              <w:spacing w:val="-20"/>
              <w:sz w:val="22"/>
              <w:szCs w:val="22"/>
            </w:rPr>
            <w:t xml:space="preserve"> </w:t>
          </w:r>
          <w:r>
            <w:rPr>
              <w:rFonts w:ascii="Tahoma" w:eastAsia="Tahoma" w:hAnsi="Tahoma" w:cs="Tahoma"/>
              <w:spacing w:val="3"/>
              <w:sz w:val="22"/>
              <w:szCs w:val="22"/>
            </w:rPr>
            <w:t>2023</w:t>
          </w:r>
          <w:r>
            <w:rPr>
              <w:i/>
              <w:iCs/>
              <w:spacing w:val="3"/>
              <w:sz w:val="22"/>
              <w:szCs w:val="22"/>
            </w:rPr>
            <w:t>年长时储能项目</w:t>
          </w:r>
          <w:r>
            <w:rPr>
              <w:sz w:val="22"/>
              <w:szCs w:val="22"/>
            </w:rPr>
            <w:tab/>
          </w:r>
          <w:r>
            <w:rPr>
              <w:spacing w:val="-72"/>
              <w:sz w:val="22"/>
              <w:szCs w:val="22"/>
            </w:rPr>
            <w:t xml:space="preserve"> </w:t>
          </w:r>
          <w:hyperlink w:anchor="bookmark9" w:history="1">
            <w:r>
              <w:rPr>
                <w:rFonts w:ascii="Tahoma" w:eastAsia="Tahoma" w:hAnsi="Tahoma" w:cs="Tahoma"/>
                <w:spacing w:val="11"/>
                <w:w w:val="125"/>
                <w:sz w:val="22"/>
                <w:szCs w:val="22"/>
              </w:rPr>
              <w:t>4</w:t>
            </w:r>
          </w:hyperlink>
        </w:p>
        <w:p>
          <w:pPr>
            <w:pStyle w:val="BodyText"/>
            <w:tabs>
              <w:tab w:val="right" w:leader="dot" w:pos="10651"/>
            </w:tabs>
            <w:spacing w:before="66" w:line="209" w:lineRule="auto"/>
            <w:ind w:left="86"/>
            <w:rPr>
              <w:rFonts w:ascii="Tahoma" w:eastAsia="Tahoma" w:hAnsi="Tahoma" w:cs="Tahoma"/>
              <w:sz w:val="22"/>
              <w:szCs w:val="22"/>
            </w:rPr>
          </w:pPr>
          <w:r>
            <w:rPr>
              <w:i/>
              <w:iCs/>
              <w:spacing w:val="4"/>
              <w:sz w:val="22"/>
              <w:szCs w:val="22"/>
            </w:rPr>
            <w:t>图表</w:t>
          </w:r>
          <w:r>
            <w:rPr>
              <w:rFonts w:ascii="Tahoma" w:eastAsia="Tahoma" w:hAnsi="Tahoma" w:cs="Tahoma"/>
              <w:spacing w:val="4"/>
              <w:sz w:val="22"/>
              <w:szCs w:val="22"/>
            </w:rPr>
            <w:t>4</w:t>
          </w:r>
          <w:r>
            <w:rPr>
              <w:i/>
              <w:iCs/>
              <w:spacing w:val="4"/>
              <w:sz w:val="22"/>
              <w:szCs w:val="22"/>
            </w:rPr>
            <w:t>：</w:t>
          </w:r>
          <w:r>
            <w:rPr>
              <w:spacing w:val="-30"/>
              <w:sz w:val="22"/>
              <w:szCs w:val="22"/>
            </w:rPr>
            <w:t xml:space="preserve"> </w:t>
          </w:r>
          <w:r>
            <w:rPr>
              <w:i/>
              <w:iCs/>
              <w:spacing w:val="4"/>
              <w:sz w:val="22"/>
              <w:szCs w:val="22"/>
            </w:rPr>
            <w:t>长时储能</w:t>
          </w:r>
          <w:r>
            <w:rPr>
              <w:rFonts w:ascii="Tahoma" w:eastAsia="Tahoma" w:hAnsi="Tahoma" w:cs="Tahoma"/>
              <w:spacing w:val="4"/>
              <w:sz w:val="22"/>
              <w:szCs w:val="22"/>
            </w:rPr>
            <w:t>2023</w:t>
          </w:r>
          <w:r>
            <w:rPr>
              <w:i/>
              <w:iCs/>
              <w:spacing w:val="4"/>
              <w:sz w:val="22"/>
              <w:szCs w:val="22"/>
            </w:rPr>
            <w:t>年一级市场融资</w:t>
          </w:r>
          <w:r>
            <w:rPr>
              <w:sz w:val="22"/>
              <w:szCs w:val="22"/>
            </w:rPr>
            <w:tab/>
          </w:r>
          <w:r>
            <w:rPr>
              <w:spacing w:val="-66"/>
              <w:sz w:val="22"/>
              <w:szCs w:val="22"/>
            </w:rPr>
            <w:t xml:space="preserve"> </w:t>
          </w:r>
          <w:hyperlink w:anchor="bookmark10" w:history="1">
            <w:r>
              <w:rPr>
                <w:rFonts w:ascii="Tahoma" w:eastAsia="Tahoma" w:hAnsi="Tahoma" w:cs="Tahoma"/>
                <w:spacing w:val="24"/>
                <w:w w:val="108"/>
                <w:sz w:val="22"/>
                <w:szCs w:val="22"/>
              </w:rPr>
              <w:t>5</w:t>
            </w:r>
          </w:hyperlink>
        </w:p>
        <w:p>
          <w:pPr>
            <w:pStyle w:val="BodyText"/>
            <w:tabs>
              <w:tab w:val="right" w:leader="dot" w:pos="10651"/>
            </w:tabs>
            <w:spacing w:before="66" w:line="208" w:lineRule="auto"/>
            <w:ind w:left="86"/>
            <w:rPr>
              <w:rFonts w:ascii="Tahoma" w:eastAsia="Tahoma" w:hAnsi="Tahoma" w:cs="Tahoma"/>
              <w:sz w:val="22"/>
              <w:szCs w:val="22"/>
            </w:rPr>
          </w:pPr>
          <w:r>
            <w:rPr>
              <w:i/>
              <w:iCs/>
              <w:spacing w:val="-4"/>
              <w:sz w:val="22"/>
              <w:szCs w:val="22"/>
            </w:rPr>
            <w:t>图表</w:t>
          </w:r>
          <w:r>
            <w:rPr>
              <w:rFonts w:ascii="Tahoma" w:eastAsia="Tahoma" w:hAnsi="Tahoma" w:cs="Tahoma"/>
              <w:spacing w:val="-4"/>
              <w:sz w:val="22"/>
              <w:szCs w:val="22"/>
            </w:rPr>
            <w:t>5</w:t>
          </w:r>
          <w:r>
            <w:rPr>
              <w:i/>
              <w:iCs/>
              <w:spacing w:val="-4"/>
              <w:sz w:val="22"/>
              <w:szCs w:val="22"/>
            </w:rPr>
            <w:t>：</w:t>
          </w:r>
          <w:r>
            <w:rPr>
              <w:spacing w:val="-22"/>
              <w:sz w:val="22"/>
              <w:szCs w:val="22"/>
            </w:rPr>
            <w:t xml:space="preserve"> </w:t>
          </w:r>
          <w:r>
            <w:rPr>
              <w:i/>
              <w:iCs/>
              <w:spacing w:val="-4"/>
              <w:sz w:val="22"/>
              <w:szCs w:val="22"/>
            </w:rPr>
            <w:t>不同长时储能技术路线融资事件数量分布</w:t>
          </w:r>
          <w:r>
            <w:rPr>
              <w:sz w:val="22"/>
              <w:szCs w:val="22"/>
            </w:rPr>
            <w:tab/>
          </w:r>
          <w:r>
            <w:rPr>
              <w:spacing w:val="-65"/>
              <w:sz w:val="22"/>
              <w:szCs w:val="22"/>
            </w:rPr>
            <w:t xml:space="preserve"> </w:t>
          </w:r>
          <w:hyperlink w:anchor="bookmark11" w:history="1">
            <w:r>
              <w:rPr>
                <w:rFonts w:ascii="Tahoma" w:eastAsia="Tahoma" w:hAnsi="Tahoma" w:cs="Tahoma"/>
                <w:spacing w:val="24"/>
                <w:w w:val="108"/>
                <w:sz w:val="22"/>
                <w:szCs w:val="22"/>
              </w:rPr>
              <w:t>5</w:t>
            </w:r>
          </w:hyperlink>
        </w:p>
        <w:p>
          <w:pPr>
            <w:pStyle w:val="BodyText"/>
            <w:tabs>
              <w:tab w:val="right" w:leader="dot" w:pos="10653"/>
            </w:tabs>
            <w:spacing w:before="52" w:line="208" w:lineRule="auto"/>
            <w:ind w:left="86"/>
            <w:rPr>
              <w:rFonts w:ascii="Tahoma" w:eastAsia="Tahoma" w:hAnsi="Tahoma" w:cs="Tahoma"/>
              <w:sz w:val="22"/>
              <w:szCs w:val="22"/>
            </w:rPr>
          </w:pPr>
          <w:r>
            <w:rPr>
              <w:i/>
              <w:iCs/>
              <w:spacing w:val="-3"/>
              <w:sz w:val="22"/>
              <w:szCs w:val="22"/>
            </w:rPr>
            <w:t>图表</w:t>
          </w:r>
          <w:r>
            <w:rPr>
              <w:rFonts w:ascii="Tahoma" w:eastAsia="Tahoma" w:hAnsi="Tahoma" w:cs="Tahoma"/>
              <w:spacing w:val="-3"/>
              <w:sz w:val="22"/>
              <w:szCs w:val="22"/>
            </w:rPr>
            <w:t>6</w:t>
          </w:r>
          <w:r>
            <w:rPr>
              <w:i/>
              <w:iCs/>
              <w:spacing w:val="-3"/>
              <w:sz w:val="22"/>
              <w:szCs w:val="22"/>
            </w:rPr>
            <w:t>：</w:t>
          </w:r>
          <w:r>
            <w:rPr>
              <w:spacing w:val="-24"/>
              <w:sz w:val="22"/>
              <w:szCs w:val="22"/>
            </w:rPr>
            <w:t xml:space="preserve"> </w:t>
          </w:r>
          <w:r>
            <w:rPr>
              <w:i/>
              <w:iCs/>
              <w:spacing w:val="-3"/>
              <w:sz w:val="22"/>
              <w:szCs w:val="22"/>
            </w:rPr>
            <w:t>不同长时储能技术路线融资额分布</w:t>
          </w:r>
          <w:r>
            <w:rPr>
              <w:sz w:val="22"/>
              <w:szCs w:val="22"/>
            </w:rPr>
            <w:tab/>
          </w:r>
          <w:r>
            <w:rPr>
              <w:spacing w:val="-70"/>
              <w:sz w:val="22"/>
              <w:szCs w:val="22"/>
            </w:rPr>
            <w:t xml:space="preserve"> </w:t>
          </w:r>
          <w:hyperlink w:anchor="bookmark12" w:history="1">
            <w:r>
              <w:rPr>
                <w:rFonts w:ascii="Tahoma" w:eastAsia="Tahoma" w:hAnsi="Tahoma" w:cs="Tahoma"/>
                <w:spacing w:val="14"/>
                <w:w w:val="120"/>
                <w:sz w:val="22"/>
                <w:szCs w:val="22"/>
              </w:rPr>
              <w:t>6</w:t>
            </w:r>
          </w:hyperlink>
        </w:p>
        <w:p>
          <w:pPr>
            <w:pStyle w:val="BodyText"/>
            <w:tabs>
              <w:tab w:val="right" w:leader="dot" w:pos="10653"/>
            </w:tabs>
            <w:spacing w:before="68" w:line="208" w:lineRule="auto"/>
            <w:ind w:left="86"/>
            <w:rPr>
              <w:rFonts w:ascii="Tahoma" w:eastAsia="Tahoma" w:hAnsi="Tahoma" w:cs="Tahoma"/>
              <w:sz w:val="22"/>
              <w:szCs w:val="22"/>
            </w:rPr>
          </w:pPr>
          <w:r>
            <w:rPr>
              <w:i/>
              <w:iCs/>
              <w:spacing w:val="-1"/>
              <w:sz w:val="22"/>
              <w:szCs w:val="22"/>
            </w:rPr>
            <w:t>图表</w:t>
          </w:r>
          <w:r>
            <w:rPr>
              <w:rFonts w:ascii="Tahoma" w:eastAsia="Tahoma" w:hAnsi="Tahoma" w:cs="Tahoma"/>
              <w:spacing w:val="-1"/>
              <w:sz w:val="22"/>
              <w:szCs w:val="22"/>
            </w:rPr>
            <w:t>7</w:t>
          </w:r>
          <w:r>
            <w:rPr>
              <w:i/>
              <w:iCs/>
              <w:spacing w:val="-1"/>
              <w:sz w:val="22"/>
              <w:szCs w:val="22"/>
            </w:rPr>
            <w:t>：</w:t>
          </w:r>
          <w:r>
            <w:rPr>
              <w:spacing w:val="-28"/>
              <w:sz w:val="22"/>
              <w:szCs w:val="22"/>
            </w:rPr>
            <w:t xml:space="preserve"> </w:t>
          </w:r>
          <w:r>
            <w:rPr>
              <w:i/>
              <w:iCs/>
              <w:spacing w:val="-1"/>
              <w:sz w:val="22"/>
              <w:szCs w:val="22"/>
            </w:rPr>
            <w:t>液流电池公司融资额分布</w:t>
          </w:r>
          <w:r>
            <w:rPr>
              <w:sz w:val="22"/>
              <w:szCs w:val="22"/>
            </w:rPr>
            <w:tab/>
          </w:r>
          <w:r>
            <w:rPr>
              <w:spacing w:val="-70"/>
              <w:sz w:val="22"/>
              <w:szCs w:val="22"/>
            </w:rPr>
            <w:t xml:space="preserve"> </w:t>
          </w:r>
          <w:hyperlink w:anchor="bookmark13" w:history="1">
            <w:r>
              <w:rPr>
                <w:rFonts w:ascii="Tahoma" w:eastAsia="Tahoma" w:hAnsi="Tahoma" w:cs="Tahoma"/>
                <w:spacing w:val="14"/>
                <w:w w:val="120"/>
                <w:sz w:val="22"/>
                <w:szCs w:val="22"/>
              </w:rPr>
              <w:t>6</w:t>
            </w:r>
          </w:hyperlink>
        </w:p>
        <w:p>
          <w:pPr>
            <w:pStyle w:val="BodyText"/>
            <w:tabs>
              <w:tab w:val="right" w:leader="dot" w:pos="10651"/>
            </w:tabs>
            <w:spacing w:before="68" w:line="210" w:lineRule="auto"/>
            <w:ind w:left="86"/>
            <w:rPr>
              <w:rFonts w:ascii="Tahoma" w:eastAsia="Tahoma" w:hAnsi="Tahoma" w:cs="Tahoma"/>
              <w:sz w:val="22"/>
              <w:szCs w:val="22"/>
            </w:rPr>
          </w:pPr>
          <w:r>
            <w:rPr>
              <w:i/>
              <w:iCs/>
              <w:spacing w:val="-3"/>
              <w:sz w:val="22"/>
              <w:szCs w:val="22"/>
            </w:rPr>
            <w:t>图表</w:t>
          </w:r>
          <w:r>
            <w:rPr>
              <w:rFonts w:ascii="Tahoma" w:eastAsia="Tahoma" w:hAnsi="Tahoma" w:cs="Tahoma"/>
              <w:spacing w:val="-3"/>
              <w:sz w:val="22"/>
              <w:szCs w:val="22"/>
            </w:rPr>
            <w:t>8</w:t>
          </w:r>
          <w:r>
            <w:rPr>
              <w:i/>
              <w:iCs/>
              <w:spacing w:val="-3"/>
              <w:sz w:val="22"/>
              <w:szCs w:val="22"/>
            </w:rPr>
            <w:t>：</w:t>
          </w:r>
          <w:r>
            <w:rPr>
              <w:spacing w:val="-11"/>
              <w:sz w:val="22"/>
              <w:szCs w:val="22"/>
            </w:rPr>
            <w:t xml:space="preserve"> </w:t>
          </w:r>
          <w:r>
            <w:rPr>
              <w:i/>
              <w:iCs/>
              <w:spacing w:val="-3"/>
              <w:sz w:val="22"/>
              <w:szCs w:val="22"/>
            </w:rPr>
            <w:t>融资液流电池公司的技术类别</w:t>
          </w:r>
          <w:r>
            <w:rPr>
              <w:sz w:val="22"/>
              <w:szCs w:val="22"/>
            </w:rPr>
            <w:tab/>
          </w:r>
          <w:r>
            <w:rPr>
              <w:spacing w:val="-67"/>
              <w:sz w:val="22"/>
              <w:szCs w:val="22"/>
            </w:rPr>
            <w:t xml:space="preserve"> </w:t>
          </w:r>
          <w:hyperlink w:anchor="bookmark14" w:history="1">
            <w:r>
              <w:rPr>
                <w:rFonts w:ascii="Tahoma" w:eastAsia="Tahoma" w:hAnsi="Tahoma" w:cs="Tahoma"/>
                <w:spacing w:val="16"/>
                <w:w w:val="116"/>
                <w:sz w:val="22"/>
                <w:szCs w:val="22"/>
              </w:rPr>
              <w:t>7</w:t>
            </w:r>
          </w:hyperlink>
        </w:p>
        <w:p>
          <w:pPr>
            <w:pStyle w:val="BodyText"/>
            <w:tabs>
              <w:tab w:val="right" w:leader="dot" w:pos="10651"/>
            </w:tabs>
            <w:spacing w:before="65" w:line="209" w:lineRule="auto"/>
            <w:ind w:left="86"/>
            <w:rPr>
              <w:rFonts w:ascii="Tahoma" w:eastAsia="Tahoma" w:hAnsi="Tahoma" w:cs="Tahoma"/>
              <w:sz w:val="22"/>
              <w:szCs w:val="22"/>
            </w:rPr>
          </w:pPr>
          <w:r>
            <w:rPr>
              <w:i/>
              <w:iCs/>
              <w:spacing w:val="-2"/>
              <w:sz w:val="22"/>
              <w:szCs w:val="22"/>
            </w:rPr>
            <w:t>图表</w:t>
          </w:r>
          <w:r>
            <w:rPr>
              <w:rFonts w:ascii="Tahoma" w:eastAsia="Tahoma" w:hAnsi="Tahoma" w:cs="Tahoma"/>
              <w:spacing w:val="-2"/>
              <w:sz w:val="22"/>
              <w:szCs w:val="22"/>
            </w:rPr>
            <w:t>9</w:t>
          </w:r>
          <w:r>
            <w:rPr>
              <w:i/>
              <w:iCs/>
              <w:spacing w:val="-2"/>
              <w:sz w:val="22"/>
              <w:szCs w:val="22"/>
            </w:rPr>
            <w:t>：</w:t>
          </w:r>
          <w:r>
            <w:rPr>
              <w:spacing w:val="-13"/>
              <w:sz w:val="22"/>
              <w:szCs w:val="22"/>
            </w:rPr>
            <w:t xml:space="preserve"> </w:t>
          </w:r>
          <w:r>
            <w:rPr>
              <w:i/>
              <w:iCs/>
              <w:spacing w:val="-2"/>
              <w:sz w:val="22"/>
              <w:szCs w:val="22"/>
            </w:rPr>
            <w:t>活跃的长时储能投资机构</w:t>
          </w:r>
          <w:r>
            <w:rPr>
              <w:sz w:val="22"/>
              <w:szCs w:val="22"/>
            </w:rPr>
            <w:tab/>
          </w:r>
          <w:r>
            <w:rPr>
              <w:spacing w:val="-67"/>
              <w:sz w:val="22"/>
              <w:szCs w:val="22"/>
            </w:rPr>
            <w:t xml:space="preserve"> </w:t>
          </w:r>
          <w:hyperlink w:anchor="bookmark15" w:history="1">
            <w:r>
              <w:rPr>
                <w:rFonts w:ascii="Tahoma" w:eastAsia="Tahoma" w:hAnsi="Tahoma" w:cs="Tahoma"/>
                <w:spacing w:val="16"/>
                <w:w w:val="116"/>
                <w:sz w:val="22"/>
                <w:szCs w:val="22"/>
              </w:rPr>
              <w:t>7</w:t>
            </w:r>
          </w:hyperlink>
        </w:p>
        <w:p>
          <w:pPr>
            <w:pStyle w:val="BodyText"/>
            <w:tabs>
              <w:tab w:val="right" w:leader="dot" w:pos="10653"/>
            </w:tabs>
            <w:spacing w:before="66" w:line="209" w:lineRule="auto"/>
            <w:ind w:left="86"/>
            <w:rPr>
              <w:rFonts w:ascii="Tahoma" w:eastAsia="Tahoma" w:hAnsi="Tahoma" w:cs="Tahoma"/>
              <w:sz w:val="22"/>
              <w:szCs w:val="22"/>
            </w:rPr>
          </w:pPr>
          <w:r>
            <w:rPr>
              <w:i/>
              <w:iCs/>
              <w:spacing w:val="-4"/>
              <w:sz w:val="22"/>
              <w:szCs w:val="22"/>
            </w:rPr>
            <w:t>图表</w:t>
          </w:r>
          <w:r>
            <w:rPr>
              <w:rFonts w:ascii="Tahoma" w:eastAsia="Tahoma" w:hAnsi="Tahoma" w:cs="Tahoma"/>
              <w:spacing w:val="-4"/>
              <w:sz w:val="22"/>
              <w:szCs w:val="22"/>
            </w:rPr>
            <w:t>10</w:t>
          </w:r>
          <w:r>
            <w:rPr>
              <w:i/>
              <w:iCs/>
              <w:spacing w:val="-4"/>
              <w:sz w:val="22"/>
              <w:szCs w:val="22"/>
            </w:rPr>
            <w:t>：</w:t>
          </w:r>
          <w:r>
            <w:rPr>
              <w:spacing w:val="-18"/>
              <w:sz w:val="22"/>
              <w:szCs w:val="22"/>
            </w:rPr>
            <w:t xml:space="preserve"> </w:t>
          </w:r>
          <w:r>
            <w:rPr>
              <w:i/>
              <w:iCs/>
              <w:spacing w:val="-4"/>
              <w:sz w:val="22"/>
              <w:szCs w:val="22"/>
            </w:rPr>
            <w:t>光伏渗透率对储能装机容量和时长的影响</w:t>
          </w:r>
          <w:r>
            <w:rPr>
              <w:sz w:val="22"/>
              <w:szCs w:val="22"/>
            </w:rPr>
            <w:tab/>
          </w:r>
          <w:r>
            <w:rPr>
              <w:spacing w:val="-70"/>
              <w:sz w:val="22"/>
              <w:szCs w:val="22"/>
            </w:rPr>
            <w:t xml:space="preserve"> </w:t>
          </w:r>
          <w:hyperlink w:anchor="bookmark16" w:history="1">
            <w:r>
              <w:rPr>
                <w:rFonts w:ascii="Tahoma" w:eastAsia="Tahoma" w:hAnsi="Tahoma" w:cs="Tahoma"/>
                <w:spacing w:val="14"/>
                <w:w w:val="122"/>
                <w:sz w:val="22"/>
                <w:szCs w:val="22"/>
              </w:rPr>
              <w:t>9</w:t>
            </w:r>
          </w:hyperlink>
        </w:p>
        <w:p>
          <w:pPr>
            <w:pStyle w:val="BodyText"/>
            <w:tabs>
              <w:tab w:val="right" w:leader="dot" w:pos="10653"/>
            </w:tabs>
            <w:spacing w:before="51" w:line="209" w:lineRule="auto"/>
            <w:ind w:left="86"/>
            <w:rPr>
              <w:rFonts w:ascii="Tahoma" w:eastAsia="Tahoma" w:hAnsi="Tahoma" w:cs="Tahoma"/>
              <w:sz w:val="22"/>
              <w:szCs w:val="22"/>
            </w:rPr>
          </w:pPr>
          <w:r>
            <w:rPr>
              <w:i/>
              <w:iCs/>
              <w:spacing w:val="-4"/>
              <w:sz w:val="22"/>
              <w:szCs w:val="22"/>
            </w:rPr>
            <w:t>图表</w:t>
          </w:r>
          <w:r>
            <w:rPr>
              <w:rFonts w:ascii="Tahoma" w:eastAsia="Tahoma" w:hAnsi="Tahoma" w:cs="Tahoma"/>
              <w:spacing w:val="-4"/>
              <w:sz w:val="22"/>
              <w:szCs w:val="22"/>
            </w:rPr>
            <w:t>11</w:t>
          </w:r>
          <w:r>
            <w:rPr>
              <w:i/>
              <w:iCs/>
              <w:spacing w:val="-4"/>
              <w:sz w:val="22"/>
              <w:szCs w:val="22"/>
            </w:rPr>
            <w:t>：</w:t>
          </w:r>
          <w:r>
            <w:rPr>
              <w:spacing w:val="-18"/>
              <w:sz w:val="22"/>
              <w:szCs w:val="22"/>
            </w:rPr>
            <w:t xml:space="preserve"> </w:t>
          </w:r>
          <w:r>
            <w:rPr>
              <w:i/>
              <w:iCs/>
              <w:spacing w:val="-4"/>
              <w:sz w:val="22"/>
              <w:szCs w:val="22"/>
            </w:rPr>
            <w:t>光伏渗透率对储能装机容量和时长的影响</w:t>
          </w:r>
          <w:r>
            <w:rPr>
              <w:sz w:val="22"/>
              <w:szCs w:val="22"/>
            </w:rPr>
            <w:tab/>
          </w:r>
          <w:r>
            <w:rPr>
              <w:spacing w:val="-54"/>
              <w:sz w:val="22"/>
              <w:szCs w:val="22"/>
            </w:rPr>
            <w:t xml:space="preserve"> </w:t>
          </w:r>
          <w:hyperlink w:anchor="bookmark17" w:history="1">
            <w:r>
              <w:rPr>
                <w:rFonts w:ascii="Tahoma" w:eastAsia="Tahoma" w:hAnsi="Tahoma" w:cs="Tahoma"/>
                <w:spacing w:val="12"/>
                <w:sz w:val="22"/>
                <w:szCs w:val="22"/>
              </w:rPr>
              <w:t>10</w:t>
            </w:r>
          </w:hyperlink>
        </w:p>
      </w:sdtContent>
    </w:sdt>
    <w:p>
      <w:pPr>
        <w:spacing w:line="209" w:lineRule="auto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br/>
      </w:r>
      <w:r>
        <w:rPr>
          <w:rFonts w:ascii="Tahoma" w:eastAsia="Tahoma" w:hAnsi="Tahoma" w:cs="Tahoma"/>
          <w:sz w:val="22"/>
          <w:szCs w:val="2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https://d.book118.com/725013004234011120</w:t>
        </w:r>
      </w:hyperlink>
    </w:p>
    <w:p>
      <w:pPr>
        <w:spacing w:line="209" w:lineRule="auto"/>
        <w:rPr>
          <w:rFonts w:ascii="Tahoma" w:eastAsia="Tahoma" w:hAnsi="Tahoma" w:cs="Tahoma"/>
          <w:sz w:val="22"/>
          <w:szCs w:val="22"/>
        </w:rPr>
      </w:pPr>
    </w:p>
    <w:sectPr>
      <w:headerReference w:type="default" r:id="rId10"/>
      <w:footerReference w:type="default" r:id="rId11"/>
      <w:pgSz w:w="11910" w:h="16845"/>
      <w:pgMar w:top="828" w:right="644" w:bottom="840" w:left="612" w:header="386" w:footer="542" w:gutter="0"/>
      <w:pgNumType w:start="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5" w:line="30" w:lineRule="exact"/>
    </w:pPr>
    <w:r>
      <w:pict>
        <v:shape id="_x0000_i2049" style="width:530.95pt;height:1.5pt;mso-position-horizontal-relative:char;mso-position-vertical-relative:line" coordorigin="0,0" coordsize="10619,30" path="m,30l10618,30l10618,l,l,30xe" filled="t" fillcolor="#004098" stroked="f">
          <w10:wrap type="none"/>
        </v:shape>
      </w:pict>
    </w:r>
  </w:p>
  <w:p>
    <w:pPr>
      <w:pStyle w:val="BodyText"/>
      <w:spacing w:line="205" w:lineRule="auto"/>
      <w:ind w:left="4188"/>
      <w:rPr>
        <w:sz w:val="18"/>
        <w:szCs w:val="18"/>
      </w:rPr>
    </w:pPr>
    <w:r>
      <w:rPr>
        <w:i/>
        <w:iCs/>
        <w:color w:val="004098"/>
        <w:spacing w:val="9"/>
        <w:sz w:val="18"/>
        <w:szCs w:val="18"/>
        <w14:textOutline w14:w="3265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5" w:line="30" w:lineRule="exact"/>
    </w:pPr>
    <w:r>
      <w:pict>
        <v:shape id="_x0000_i2050" style="width:530.95pt;height:1.5pt;mso-position-horizontal-relative:char;mso-position-vertical-relative:line" coordorigin="0,0" coordsize="10619,30" path="m,30l10618,30l10618,l,l,30xe" filled="t" fillcolor="#004098" stroked="f">
          <w10:wrap type="none"/>
        </v:shape>
      </w:pict>
    </w:r>
  </w:p>
  <w:p>
    <w:pPr>
      <w:pStyle w:val="BodyText"/>
      <w:spacing w:line="205" w:lineRule="auto"/>
      <w:ind w:left="4188"/>
      <w:rPr>
        <w:sz w:val="18"/>
        <w:szCs w:val="18"/>
      </w:rPr>
    </w:pPr>
    <w:r>
      <w:rPr>
        <w:i/>
        <w:iCs/>
        <w:color w:val="004098"/>
        <w:spacing w:val="9"/>
        <w:sz w:val="18"/>
        <w:szCs w:val="18"/>
        <w14:textOutline w14:w="3265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5" w:line="30" w:lineRule="exact"/>
    </w:pPr>
    <w:r>
      <w:pict>
        <v:shape id="_x0000_i2051" style="width:530.95pt;height:1.5pt;mso-position-horizontal-relative:char;mso-position-vertical-relative:line" coordorigin="0,0" coordsize="10619,30" path="m,30l10618,30l10618,l,l,30xe" filled="t" fillcolor="#004098" stroked="f">
          <w10:wrap type="none"/>
        </v:shape>
      </w:pict>
    </w:r>
  </w:p>
  <w:p>
    <w:pPr>
      <w:pStyle w:val="BodyText"/>
      <w:spacing w:line="205" w:lineRule="auto"/>
      <w:ind w:left="4188"/>
      <w:rPr>
        <w:sz w:val="18"/>
        <w:szCs w:val="18"/>
      </w:rPr>
    </w:pPr>
    <w:r>
      <w:rPr>
        <w:i/>
        <w:iCs/>
        <w:color w:val="004098"/>
        <w:spacing w:val="9"/>
        <w:sz w:val="18"/>
        <w:szCs w:val="18"/>
        <w14:textOutline w14:w="3265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5" w:line="30" w:lineRule="exact"/>
    </w:pPr>
    <w:r>
      <w:pict>
        <v:shape id="_x0000_i2052" style="width:530.95pt;height:1.5pt;mso-position-horizontal-relative:char;mso-position-vertical-relative:line" coordorigin="0,0" coordsize="10619,30" path="m,30l10618,30l10618,l,l,30xe" filled="t" fillcolor="#004098" stroked="f">
          <w10:wrap type="none"/>
        </v:shape>
      </w:pict>
    </w:r>
  </w:p>
  <w:p>
    <w:pPr>
      <w:pStyle w:val="BodyText"/>
      <w:spacing w:line="205" w:lineRule="auto"/>
      <w:ind w:left="4188"/>
      <w:rPr>
        <w:sz w:val="18"/>
        <w:szCs w:val="18"/>
      </w:rPr>
    </w:pPr>
    <w:r>
      <w:rPr>
        <w:i/>
        <w:iCs/>
        <w:color w:val="004098"/>
        <w:spacing w:val="9"/>
        <w:sz w:val="18"/>
        <w:szCs w:val="18"/>
        <w14:textOutline w14:w="3265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5" w:line="30" w:lineRule="exact"/>
      <w:ind w:firstLine="33"/>
    </w:pPr>
    <w:r>
      <w:pict>
        <v:shape id="_x0000_i2053" style="width:530.95pt;height:1.5pt;mso-position-horizontal-relative:char;mso-position-vertical-relative:line" coordorigin="0,0" coordsize="10619,30" path="m,30l10618,30l10618,l,l,30xe" filled="t" fillcolor="#004098" stroked="f">
          <w10:wrap type="none"/>
        </v:shape>
      </w:pict>
    </w:r>
  </w:p>
  <w:p>
    <w:pPr>
      <w:spacing w:line="207" w:lineRule="auto"/>
      <w:ind w:left="77"/>
      <w:rPr>
        <w:rFonts w:ascii="SimSun" w:eastAsia="SimSun" w:hAnsi="SimSun" w:cs="SimSun"/>
        <w:sz w:val="18"/>
        <w:szCs w:val="18"/>
      </w:rPr>
    </w:pPr>
    <w:r>
      <w:rPr>
        <w:rFonts w:ascii="Tahoma" w:eastAsia="Tahoma" w:hAnsi="Tahoma" w:cs="Tahoma"/>
        <w:b/>
        <w:bCs/>
        <w:color w:val="004098"/>
        <w:spacing w:val="10"/>
        <w:sz w:val="18"/>
        <w:szCs w:val="18"/>
      </w:rPr>
      <w:t>P.2</w:t>
    </w:r>
    <w:r>
      <w:rPr>
        <w:rFonts w:ascii="Tahoma" w:eastAsia="Tahoma" w:hAnsi="Tahoma" w:cs="Tahoma"/>
        <w:b/>
        <w:bCs/>
        <w:color w:val="004098"/>
        <w:spacing w:val="1"/>
        <w:sz w:val="18"/>
        <w:szCs w:val="18"/>
      </w:rPr>
      <w:t xml:space="preserve">                                    </w:t>
    </w:r>
    <w:r>
      <w:rPr>
        <w:rFonts w:ascii="Tahoma" w:eastAsia="Tahoma" w:hAnsi="Tahoma" w:cs="Tahoma"/>
        <w:b/>
        <w:bCs/>
        <w:color w:val="004098"/>
        <w:sz w:val="18"/>
        <w:szCs w:val="18"/>
      </w:rPr>
      <w:t xml:space="preserve">                                    </w:t>
    </w:r>
    <w:r>
      <w:rPr>
        <w:rFonts w:ascii="SimSun" w:eastAsia="SimSun" w:hAnsi="SimSun" w:cs="SimSun"/>
        <w:i/>
        <w:iCs/>
        <w:color w:val="004098"/>
        <w:spacing w:val="10"/>
        <w:sz w:val="18"/>
        <w:szCs w:val="18"/>
        <w14:textOutline w14:w="3265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rPr>
        <w:sz w:val="21"/>
        <w:szCs w:val="21"/>
      </w:rPr>
    </w:pPr>
    <w:r>
      <w:rPr>
        <w:position w:val="-4"/>
        <w:sz w:val="21"/>
        <w:szCs w:val="21"/>
      </w:rPr>
      <w:drawing>
        <wp:inline distT="0" distB="0" distL="0" distR="0">
          <wp:extent cx="1191044" cy="274319"/>
          <wp:effectExtent l="0" t="0" r="0" b="0"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91044" cy="2743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pacing w:val="1"/>
        <w:sz w:val="21"/>
        <w:szCs w:val="21"/>
        <w:u w:val="single" w:color="004098"/>
      </w:rPr>
      <w:t xml:space="preserve">                                     </w:t>
    </w:r>
    <w:r>
      <w:rPr>
        <w:sz w:val="21"/>
        <w:szCs w:val="21"/>
        <w:u w:val="single" w:color="004098"/>
      </w:rPr>
      <w:t xml:space="preserve">                                  </w:t>
    </w:r>
    <w:r>
      <w:rPr>
        <w:spacing w:val="-1"/>
        <w:sz w:val="21"/>
        <w:szCs w:val="21"/>
        <w:u w:val="single" w:color="004098"/>
      </w:rPr>
      <w:t>产业研究报告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19"/>
      <w:szCs w:val="19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FangSong" w:eastAsia="FangSong" w:hAnsi="FangSong" w:cs="FangSong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5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hyperlink" Target="https://d.book118.com/725013004234011120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2024-03-08T18:03:18Z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2024-03-08T18:06:39Z</vt:filetime>
  </property>
  <property fmtid="{D5CDD505-2E9C-101B-9397-08002B2CF9AE}" pid="3" name="CRO">
    <vt:lpwstr>wqlLaW5nc29mdCBQREYgdG8gV1BTIDkw</vt:lpwstr>
  </property>
</Properties>
</file>