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1"/>
        </w:rPr>
      </w:pPr>
    </w:p>
    <w:p>
      <w:pPr>
        <w:spacing w:before="0" w:line="922" w:lineRule="exact"/>
        <w:ind w:left="839" w:right="840" w:firstLine="0"/>
        <w:jc w:val="center"/>
        <w:rPr>
          <w:b/>
          <w:sz w:val="72"/>
        </w:rPr>
      </w:pPr>
      <w:bookmarkStart w:id="0" w:name="建设项目环境影响报告表"/>
      <w:bookmarkEnd w:id="0"/>
      <w:r>
        <w:rPr>
          <w:b/>
          <w:sz w:val="72"/>
        </w:rPr>
        <w:t>建设项目环境影响报告表</w:t>
      </w:r>
    </w:p>
    <w:p>
      <w:pPr>
        <w:spacing w:before="202"/>
        <w:ind w:left="837" w:right="840" w:firstLine="0"/>
        <w:jc w:val="center"/>
        <w:rPr>
          <w:b/>
          <w:sz w:val="44"/>
        </w:rPr>
      </w:pPr>
      <w:r>
        <w:rPr>
          <w:b/>
          <w:sz w:val="44"/>
        </w:rPr>
        <w:t>（</w:t>
      </w:r>
      <w:r>
        <w:rPr>
          <w:rFonts w:ascii="仿宋" w:eastAsia="仿宋" w:hint="eastAsia"/>
          <w:b/>
          <w:sz w:val="44"/>
        </w:rPr>
        <w:t>污染影响类</w:t>
      </w:r>
      <w:r>
        <w:rPr>
          <w:b/>
          <w:sz w:val="44"/>
        </w:rPr>
        <w:t>）</w:t>
      </w: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tabs>
          <w:tab w:val="left" w:pos="2691"/>
          <w:tab w:val="left" w:pos="8095"/>
        </w:tabs>
        <w:spacing w:before="358"/>
        <w:ind w:left="435" w:right="0" w:firstLine="0"/>
        <w:jc w:val="left"/>
        <w:rPr>
          <w:b/>
          <w:sz w:val="30"/>
        </w:rPr>
      </w:pPr>
      <w:r>
        <w:rPr>
          <w:b/>
          <w:sz w:val="30"/>
        </w:rPr>
        <w:t>项目名称：</w:t>
      </w:r>
      <w:r>
        <w:rPr>
          <w:b/>
          <w:sz w:val="30"/>
          <w:u w:val="thick"/>
        </w:rPr>
        <w:t xml:space="preserve"> </w:t>
      </w:r>
      <w:r>
        <w:rPr>
          <w:b/>
          <w:sz w:val="30"/>
          <w:u w:val="thick"/>
        </w:rPr>
        <w:tab/>
      </w:r>
      <w:r>
        <w:rPr>
          <w:b/>
          <w:sz w:val="30"/>
          <w:u w:val="thick"/>
        </w:rPr>
        <w:t>年产高分子聚乙烯板材</w:t>
      </w:r>
      <w:r>
        <w:rPr>
          <w:b/>
          <w:spacing w:val="-78"/>
          <w:sz w:val="30"/>
          <w:u w:val="thick"/>
        </w:rPr>
        <w:t xml:space="preserve"> </w:t>
      </w:r>
      <w:r>
        <w:rPr>
          <w:rFonts w:ascii="Times New Roman" w:eastAsia="Times New Roman"/>
          <w:b/>
          <w:sz w:val="30"/>
          <w:u w:val="thick"/>
        </w:rPr>
        <w:t>6000</w:t>
      </w:r>
      <w:r>
        <w:rPr>
          <w:rFonts w:ascii="Times New Roman" w:eastAsia="Times New Roman"/>
          <w:b/>
          <w:spacing w:val="-15"/>
          <w:sz w:val="30"/>
          <w:u w:val="thick"/>
        </w:rPr>
        <w:t xml:space="preserve"> </w:t>
      </w:r>
      <w:r>
        <w:rPr>
          <w:b/>
          <w:sz w:val="30"/>
          <w:u w:val="thick"/>
        </w:rPr>
        <w:t>吨项目</w:t>
      </w:r>
      <w:r>
        <w:rPr>
          <w:b/>
          <w:sz w:val="30"/>
          <w:u w:val="thick"/>
        </w:rPr>
        <w:tab/>
      </w:r>
    </w:p>
    <w:p>
      <w:pPr>
        <w:pStyle w:val="BodyText"/>
        <w:spacing w:before="8"/>
        <w:rPr>
          <w:b/>
          <w:sz w:val="25"/>
        </w:rPr>
      </w:pPr>
    </w:p>
    <w:p>
      <w:pPr>
        <w:tabs>
          <w:tab w:val="left" w:pos="3795"/>
          <w:tab w:val="left" w:pos="8083"/>
        </w:tabs>
        <w:spacing w:before="67"/>
        <w:ind w:left="411" w:right="0" w:firstLine="0"/>
        <w:jc w:val="left"/>
        <w:rPr>
          <w:b/>
          <w:sz w:val="30"/>
        </w:rPr>
      </w:pPr>
      <w:r>
        <w:rPr>
          <w:b/>
          <w:sz w:val="30"/>
        </w:rPr>
        <w:t>建设单位（盖章）：</w:t>
      </w:r>
      <w:r>
        <w:rPr>
          <w:b/>
          <w:sz w:val="30"/>
          <w:u w:val="thick"/>
        </w:rPr>
        <w:t xml:space="preserve"> </w:t>
      </w:r>
      <w:r>
        <w:rPr>
          <w:b/>
          <w:sz w:val="30"/>
          <w:u w:val="thick"/>
        </w:rPr>
        <w:tab/>
      </w:r>
      <w:r>
        <w:rPr>
          <w:b/>
          <w:w w:val="95"/>
          <w:sz w:val="30"/>
          <w:u w:val="thick"/>
        </w:rPr>
        <w:t>山东辰泰耐磨材料有限公司</w:t>
      </w:r>
      <w:r>
        <w:rPr>
          <w:b/>
          <w:sz w:val="30"/>
          <w:u w:val="thick"/>
        </w:rPr>
        <w:tab/>
      </w:r>
    </w:p>
    <w:p>
      <w:pPr>
        <w:pStyle w:val="BodyText"/>
        <w:spacing w:before="5"/>
        <w:rPr>
          <w:b/>
          <w:sz w:val="25"/>
        </w:rPr>
      </w:pPr>
    </w:p>
    <w:p>
      <w:pPr>
        <w:tabs>
          <w:tab w:val="left" w:pos="3790"/>
          <w:tab w:val="left" w:pos="8075"/>
        </w:tabs>
        <w:spacing w:before="68"/>
        <w:ind w:left="411" w:right="0" w:firstLine="0"/>
        <w:jc w:val="left"/>
        <w:rPr>
          <w:b/>
          <w:sz w:val="30"/>
        </w:rPr>
      </w:pPr>
      <w:r>
        <w:rPr>
          <w:b/>
          <w:sz w:val="30"/>
        </w:rPr>
        <w:t>编制日期：</w:t>
      </w:r>
      <w:r>
        <w:rPr>
          <w:b/>
          <w:sz w:val="30"/>
          <w:u w:val="thick"/>
        </w:rPr>
        <w:t xml:space="preserve"> </w:t>
      </w:r>
      <w:r>
        <w:rPr>
          <w:b/>
          <w:sz w:val="30"/>
          <w:u w:val="thick"/>
        </w:rPr>
        <w:tab/>
      </w:r>
      <w:r>
        <w:rPr>
          <w:b/>
          <w:w w:val="95"/>
          <w:sz w:val="30"/>
          <w:u w:val="thick"/>
        </w:rPr>
        <w:t>二零二三年十二月</w:t>
      </w:r>
      <w:r>
        <w:rPr>
          <w:b/>
          <w:sz w:val="30"/>
          <w:u w:val="thick"/>
        </w:rPr>
        <w:tab/>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215"/>
        <w:ind w:left="839" w:right="839" w:firstLine="0"/>
        <w:jc w:val="center"/>
        <w:rPr>
          <w:b/>
          <w:sz w:val="30"/>
        </w:rPr>
      </w:pPr>
      <w:r>
        <w:rPr>
          <w:b/>
          <w:sz w:val="30"/>
        </w:rPr>
        <w:t>中华人民共和国生态环境部制</w:t>
      </w:r>
    </w:p>
    <w:p>
      <w:pPr>
        <w:spacing w:after="0"/>
        <w:jc w:val="center"/>
        <w:rPr>
          <w:sz w:val="30"/>
        </w:rPr>
        <w:sectPr>
          <w:type w:val="continuous"/>
          <w:pgSz w:w="11910" w:h="16840"/>
          <w:pgMar w:top="1580" w:right="1119" w:bottom="280" w:left="1120" w:header="720" w:footer="720" w:gutter="0"/>
          <w:cols w:num="1" w:space="720"/>
        </w:sectPr>
      </w:pPr>
    </w:p>
    <w:p>
      <w:pPr>
        <w:spacing w:before="104"/>
        <w:ind w:left="837" w:right="840" w:firstLine="0"/>
        <w:jc w:val="center"/>
        <w:rPr>
          <w:b/>
          <w:sz w:val="36"/>
        </w:rPr>
      </w:pPr>
      <w:r>
        <w:rPr>
          <w:b/>
          <w:sz w:val="36"/>
        </w:rPr>
        <w:t>目 录</w:t>
      </w:r>
    </w:p>
    <w:sdt>
      <w:sdtPr>
        <w:id w:val="0"/>
        <w:docPartObj>
          <w:docPartGallery w:val="Table of Contents"/>
          <w:docPartUnique/>
        </w:docPartObj>
      </w:sdtPr>
      <w:sdtContent>
        <w:p>
          <w:pPr>
            <w:pStyle w:val="TOC1"/>
            <w:tabs>
              <w:tab w:val="right" w:leader="dot" w:pos="9245"/>
            </w:tabs>
            <w:spacing w:before="360"/>
            <w:rPr>
              <w:rFonts w:ascii="Times New Roman" w:eastAsia="Times New Roman"/>
            </w:rPr>
          </w:pPr>
          <w:hyperlink w:anchor="_TOC_250005" w:history="1">
            <w:r>
              <w:t>一、建设项目基本情况</w:t>
            </w:r>
            <w:r>
              <w:tab/>
            </w:r>
            <w:r>
              <w:rPr>
                <w:rFonts w:ascii="Times New Roman" w:eastAsia="Times New Roman"/>
              </w:rPr>
              <w:t>1</w:t>
            </w:r>
          </w:hyperlink>
        </w:p>
        <w:p>
          <w:pPr>
            <w:pStyle w:val="TOC1"/>
            <w:tabs>
              <w:tab w:val="right" w:leader="dot" w:pos="9245"/>
            </w:tabs>
            <w:rPr>
              <w:rFonts w:ascii="Times New Roman" w:eastAsia="Times New Roman"/>
            </w:rPr>
          </w:pPr>
          <w:hyperlink w:anchor="_TOC_250004" w:history="1">
            <w:r>
              <w:t>二、建设项目工程分析</w:t>
            </w:r>
            <w:r>
              <w:tab/>
            </w:r>
            <w:r>
              <w:rPr>
                <w:rFonts w:ascii="Times New Roman" w:eastAsia="Times New Roman"/>
              </w:rPr>
              <w:t>16</w:t>
            </w:r>
          </w:hyperlink>
        </w:p>
        <w:p>
          <w:pPr>
            <w:pStyle w:val="TOC1"/>
            <w:tabs>
              <w:tab w:val="right" w:leader="dot" w:pos="9245"/>
            </w:tabs>
            <w:spacing w:before="280"/>
            <w:rPr>
              <w:rFonts w:ascii="Times New Roman" w:eastAsia="Times New Roman"/>
            </w:rPr>
          </w:pPr>
          <w:hyperlink w:anchor="_TOC_250003" w:history="1">
            <w:r>
              <w:t>三、区域环境质量现状、环境保护目标及评价标准</w:t>
            </w:r>
            <w:r>
              <w:tab/>
            </w:r>
            <w:r>
              <w:rPr>
                <w:rFonts w:ascii="Times New Roman" w:eastAsia="Times New Roman"/>
              </w:rPr>
              <w:t>22</w:t>
            </w:r>
          </w:hyperlink>
        </w:p>
        <w:p>
          <w:pPr>
            <w:pStyle w:val="TOC1"/>
            <w:tabs>
              <w:tab w:val="right" w:leader="dot" w:pos="9245"/>
            </w:tabs>
            <w:spacing w:before="279"/>
            <w:rPr>
              <w:rFonts w:ascii="Times New Roman" w:eastAsia="Times New Roman"/>
            </w:rPr>
          </w:pPr>
          <w:hyperlink w:anchor="_TOC_250002" w:history="1">
            <w:r>
              <w:t>四、主要环境影响和保护措施</w:t>
            </w:r>
            <w:r>
              <w:tab/>
            </w:r>
            <w:r>
              <w:rPr>
                <w:rFonts w:ascii="Times New Roman" w:eastAsia="Times New Roman"/>
              </w:rPr>
              <w:t>27</w:t>
            </w:r>
          </w:hyperlink>
        </w:p>
        <w:p>
          <w:pPr>
            <w:pStyle w:val="TOC1"/>
            <w:tabs>
              <w:tab w:val="right" w:leader="dot" w:pos="9245"/>
            </w:tabs>
            <w:spacing w:before="280"/>
            <w:rPr>
              <w:rFonts w:ascii="Times New Roman" w:eastAsia="Times New Roman"/>
            </w:rPr>
          </w:pPr>
          <w:hyperlink w:anchor="_TOC_250001" w:history="1">
            <w:r>
              <w:t>五、环境保护措施监督检查清单</w:t>
            </w:r>
            <w:r>
              <w:tab/>
            </w:r>
            <w:r>
              <w:rPr>
                <w:rFonts w:ascii="Times New Roman" w:eastAsia="Times New Roman"/>
              </w:rPr>
              <w:t>45</w:t>
            </w:r>
          </w:hyperlink>
        </w:p>
        <w:p>
          <w:pPr>
            <w:pStyle w:val="TOC1"/>
            <w:tabs>
              <w:tab w:val="right" w:leader="dot" w:pos="9245"/>
            </w:tabs>
            <w:rPr>
              <w:rFonts w:ascii="Times New Roman" w:eastAsia="Times New Roman"/>
            </w:rPr>
          </w:pPr>
          <w:hyperlink w:anchor="_TOC_250000" w:history="1">
            <w:r>
              <w:t>六、结论</w:t>
            </w:r>
            <w:r>
              <w:tab/>
            </w:r>
            <w:r>
              <w:rPr>
                <w:rFonts w:ascii="Times New Roman" w:eastAsia="Times New Roman"/>
              </w:rPr>
              <w:t>49</w:t>
            </w:r>
          </w:hyperlink>
        </w:p>
        <w:p>
          <w:pPr>
            <w:pStyle w:val="TOC1"/>
            <w:tabs>
              <w:tab w:val="right" w:leader="dot" w:pos="9245"/>
            </w:tabs>
            <w:spacing w:before="281"/>
            <w:rPr>
              <w:rFonts w:ascii="Times New Roman" w:eastAsia="Times New Roman"/>
            </w:rPr>
          </w:pPr>
          <w:r>
            <w:t>附表、建设项目污染物排放量汇总表</w:t>
          </w:r>
          <w:r>
            <w:tab/>
          </w:r>
          <w:r>
            <w:rPr>
              <w:rFonts w:ascii="Times New Roman" w:eastAsia="Times New Roman"/>
            </w:rPr>
            <w:t>50</w:t>
          </w:r>
        </w:p>
      </w:sdtContent>
    </w:sdt>
    <w:p>
      <w:pPr>
        <w:pStyle w:val="BodyText"/>
        <w:spacing w:before="2"/>
        <w:rPr>
          <w:rFonts w:ascii="Times New Roman"/>
          <w:b/>
        </w:rPr>
      </w:pPr>
    </w:p>
    <w:p>
      <w:pPr>
        <w:pStyle w:val="Heading5"/>
        <w:ind w:left="891"/>
      </w:pPr>
      <w:r>
        <w:t>附图：</w:t>
      </w:r>
    </w:p>
    <w:p>
      <w:pPr>
        <w:pStyle w:val="BodyText"/>
        <w:spacing w:before="160"/>
        <w:ind w:left="871"/>
      </w:pPr>
      <w:r>
        <w:rPr>
          <w:spacing w:val="-20"/>
        </w:rPr>
        <w:t xml:space="preserve">附图 </w:t>
      </w:r>
      <w:r>
        <w:rPr>
          <w:rFonts w:ascii="Times New Roman" w:eastAsia="Times New Roman"/>
        </w:rPr>
        <w:t>1</w:t>
      </w:r>
      <w:r>
        <w:t>、项目地理位置图</w:t>
      </w:r>
    </w:p>
    <w:p>
      <w:pPr>
        <w:pStyle w:val="BodyText"/>
        <w:spacing w:before="161" w:line="362" w:lineRule="auto"/>
        <w:ind w:left="871" w:right="4534"/>
      </w:pPr>
      <w:r>
        <w:rPr>
          <w:spacing w:val="-20"/>
        </w:rPr>
        <w:t xml:space="preserve">附图 </w:t>
      </w:r>
      <w:r>
        <w:rPr>
          <w:rFonts w:ascii="Times New Roman" w:eastAsia="Times New Roman"/>
        </w:rPr>
        <w:t>2</w:t>
      </w:r>
      <w:r>
        <w:rPr>
          <w:spacing w:val="-2"/>
        </w:rPr>
        <w:t>、德州市生态环境分区管控单元图</w:t>
      </w:r>
      <w:r>
        <w:rPr>
          <w:spacing w:val="-20"/>
        </w:rPr>
        <w:t xml:space="preserve">附图 </w:t>
      </w:r>
      <w:r>
        <w:rPr>
          <w:rFonts w:ascii="Times New Roman" w:eastAsia="Times New Roman"/>
        </w:rPr>
        <w:t>3</w:t>
      </w:r>
      <w:r>
        <w:t>、厂区平面布置图</w:t>
      </w:r>
    </w:p>
    <w:p>
      <w:pPr>
        <w:pStyle w:val="BodyText"/>
        <w:spacing w:before="2" w:line="364" w:lineRule="auto"/>
        <w:ind w:left="871" w:right="3191"/>
      </w:pPr>
      <w:r>
        <w:t xml:space="preserve">附图 </w:t>
      </w:r>
      <w:r>
        <w:rPr>
          <w:rFonts w:ascii="Times New Roman" w:eastAsia="Times New Roman"/>
        </w:rPr>
        <w:t>4</w:t>
      </w:r>
      <w:r>
        <w:t>、山东省宁津县城市总体规划图（</w:t>
      </w:r>
      <w:r>
        <w:rPr>
          <w:rFonts w:ascii="Times New Roman" w:eastAsia="Times New Roman"/>
        </w:rPr>
        <w:t>2011-2030</w:t>
      </w:r>
      <w:r>
        <w:t xml:space="preserve">） 附图 </w:t>
      </w:r>
      <w:r>
        <w:rPr>
          <w:rFonts w:ascii="Times New Roman" w:eastAsia="Times New Roman"/>
        </w:rPr>
        <w:t>5</w:t>
      </w:r>
      <w:r>
        <w:t>、项目环境保护目标分布图</w:t>
      </w:r>
    </w:p>
    <w:p>
      <w:pPr>
        <w:spacing w:before="2" w:line="362" w:lineRule="auto"/>
        <w:ind w:left="891" w:right="6867" w:hanging="20"/>
        <w:jc w:val="left"/>
        <w:rPr>
          <w:b/>
          <w:sz w:val="24"/>
        </w:rPr>
      </w:pPr>
      <w:r>
        <w:rPr>
          <w:sz w:val="24"/>
        </w:rPr>
        <w:t xml:space="preserve">附图 </w:t>
      </w:r>
      <w:r>
        <w:rPr>
          <w:rFonts w:ascii="Times New Roman" w:eastAsia="Times New Roman"/>
          <w:sz w:val="24"/>
        </w:rPr>
        <w:t>6</w:t>
      </w:r>
      <w:r>
        <w:rPr>
          <w:sz w:val="24"/>
        </w:rPr>
        <w:t>、现场照片</w:t>
      </w:r>
      <w:r>
        <w:rPr>
          <w:b/>
          <w:sz w:val="24"/>
        </w:rPr>
        <w:t>附件：</w:t>
      </w:r>
    </w:p>
    <w:p>
      <w:pPr>
        <w:pStyle w:val="BodyText"/>
        <w:spacing w:before="4" w:line="364" w:lineRule="auto"/>
        <w:ind w:left="891" w:right="6846"/>
      </w:pPr>
      <w:r>
        <w:t xml:space="preserve">附件 </w:t>
      </w:r>
      <w:r>
        <w:rPr>
          <w:rFonts w:ascii="Times New Roman" w:eastAsia="Times New Roman"/>
        </w:rPr>
        <w:t>1</w:t>
      </w:r>
      <w:r>
        <w:t xml:space="preserve">、委托书附件 </w:t>
      </w:r>
      <w:r>
        <w:rPr>
          <w:rFonts w:ascii="Times New Roman" w:eastAsia="Times New Roman"/>
        </w:rPr>
        <w:t>2</w:t>
      </w:r>
      <w:r>
        <w:t xml:space="preserve">、备案证明附件 </w:t>
      </w:r>
      <w:r>
        <w:rPr>
          <w:rFonts w:ascii="Times New Roman" w:eastAsia="Times New Roman"/>
        </w:rPr>
        <w:t>3</w:t>
      </w:r>
      <w:r>
        <w:t xml:space="preserve">、营业执照附件 </w:t>
      </w:r>
      <w:r>
        <w:rPr>
          <w:rFonts w:ascii="Times New Roman" w:eastAsia="Times New Roman"/>
        </w:rPr>
        <w:t>4</w:t>
      </w:r>
      <w:r>
        <w:t>、土地手续</w:t>
      </w:r>
    </w:p>
    <w:p>
      <w:pPr>
        <w:pStyle w:val="BodyText"/>
        <w:spacing w:line="362" w:lineRule="auto"/>
        <w:ind w:left="411" w:right="354" w:firstLine="480"/>
      </w:pPr>
      <w:r>
        <w:t xml:space="preserve">附件 </w:t>
      </w:r>
      <w:r>
        <w:rPr>
          <w:rFonts w:ascii="Times New Roman" w:eastAsia="Times New Roman"/>
        </w:rPr>
        <w:t>5</w:t>
      </w:r>
      <w:r>
        <w:t>、《关于山东宁津经济开发区环境影响报告书的审查意见》、《山东宁津经济开发区环境影响跟踪评价报告书审查小组意见》</w:t>
      </w:r>
    </w:p>
    <w:p>
      <w:pPr>
        <w:pStyle w:val="BodyText"/>
        <w:spacing w:before="3" w:line="362" w:lineRule="auto"/>
        <w:ind w:left="891" w:right="6846"/>
      </w:pPr>
      <w:r>
        <w:t xml:space="preserve">附件 </w:t>
      </w:r>
      <w:r>
        <w:rPr>
          <w:rFonts w:ascii="Times New Roman" w:eastAsia="Times New Roman"/>
        </w:rPr>
        <w:t>6</w:t>
      </w:r>
      <w:r>
        <w:t xml:space="preserve">、总量文件附件 </w:t>
      </w:r>
      <w:r>
        <w:rPr>
          <w:rFonts w:ascii="Times New Roman" w:eastAsia="Times New Roman"/>
        </w:rPr>
        <w:t>7</w:t>
      </w:r>
      <w:r>
        <w:t>、承诺书</w:t>
      </w:r>
    </w:p>
    <w:p>
      <w:pPr>
        <w:spacing w:after="0" w:line="362" w:lineRule="auto"/>
        <w:sectPr>
          <w:pgSz w:w="11910" w:h="16840"/>
          <w:pgMar w:top="1580" w:right="1119" w:bottom="280" w:left="1120" w:header="720" w:footer="720" w:gutter="0"/>
          <w:pgNumType w:start="2"/>
          <w:cols w:num="1" w:space="720"/>
        </w:sectPr>
      </w:pPr>
    </w:p>
    <w:p>
      <w:pPr>
        <w:pStyle w:val="Heading1"/>
        <w:ind w:right="840"/>
      </w:pPr>
      <w:bookmarkStart w:id="1" w:name="_TOC_250005"/>
      <w:bookmarkEnd w:id="1"/>
      <w:r>
        <w:t>一、建设项目基本情况</w:t>
      </w:r>
    </w:p>
    <w:p>
      <w:pPr>
        <w:pStyle w:val="BodyText"/>
        <w:spacing w:before="6"/>
        <w:rPr>
          <w:b/>
          <w:sz w:val="9"/>
        </w:r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113"/>
        <w:gridCol w:w="1170"/>
        <w:gridCol w:w="1098"/>
        <w:gridCol w:w="2277"/>
        <w:gridCol w:w="2978"/>
        <w:gridCol w:w="232"/>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32"/>
        </w:trPr>
        <w:tc>
          <w:tcPr>
            <w:tcW w:w="1168" w:type="dxa"/>
          </w:tcPr>
          <w:p>
            <w:pPr>
              <w:pStyle w:val="TableParagraph"/>
              <w:spacing w:before="17"/>
              <w:ind w:left="84" w:right="64"/>
              <w:jc w:val="center"/>
              <w:rPr>
                <w:sz w:val="24"/>
              </w:rPr>
            </w:pPr>
            <w:r>
              <w:rPr>
                <w:sz w:val="24"/>
              </w:rPr>
              <w:t>建设项目</w:t>
            </w:r>
          </w:p>
          <w:p>
            <w:pPr>
              <w:pStyle w:val="TableParagraph"/>
              <w:spacing w:before="50"/>
              <w:ind w:left="84" w:right="64"/>
              <w:jc w:val="center"/>
              <w:rPr>
                <w:sz w:val="24"/>
              </w:rPr>
            </w:pPr>
            <w:r>
              <w:rPr>
                <w:sz w:val="24"/>
              </w:rPr>
              <w:t>名称</w:t>
            </w:r>
          </w:p>
        </w:tc>
        <w:tc>
          <w:tcPr>
            <w:tcW w:w="7868" w:type="dxa"/>
            <w:gridSpan w:val="6"/>
          </w:tcPr>
          <w:p>
            <w:pPr>
              <w:pStyle w:val="TableParagraph"/>
              <w:spacing w:before="197"/>
              <w:ind w:left="88" w:right="68"/>
              <w:jc w:val="center"/>
              <w:rPr>
                <w:sz w:val="24"/>
              </w:rPr>
            </w:pPr>
            <w:r>
              <w:rPr>
                <w:sz w:val="24"/>
              </w:rPr>
              <w:t xml:space="preserve">年产高分子聚乙烯板材 </w:t>
            </w:r>
            <w:r>
              <w:rPr>
                <w:rFonts w:ascii="Times New Roman" w:eastAsia="Times New Roman"/>
                <w:sz w:val="24"/>
              </w:rPr>
              <w:t xml:space="preserve">6000 </w:t>
            </w:r>
            <w:r>
              <w:rPr>
                <w:sz w:val="24"/>
              </w:rPr>
              <w:t>吨项目</w:t>
            </w:r>
          </w:p>
        </w:tc>
      </w:tr>
      <w:tr>
        <w:tblPrEx>
          <w:tblW w:w="0" w:type="auto"/>
          <w:tblInd w:w="324" w:type="dxa"/>
          <w:tblLayout w:type="fixed"/>
          <w:tblCellMar>
            <w:top w:w="0" w:type="dxa"/>
            <w:left w:w="0" w:type="dxa"/>
            <w:bottom w:w="0" w:type="dxa"/>
            <w:right w:w="0" w:type="dxa"/>
          </w:tblCellMar>
        </w:tblPrEx>
        <w:trPr>
          <w:trHeight w:val="696"/>
        </w:trPr>
        <w:tc>
          <w:tcPr>
            <w:tcW w:w="1168" w:type="dxa"/>
          </w:tcPr>
          <w:p>
            <w:pPr>
              <w:pStyle w:val="TableParagraph"/>
              <w:spacing w:before="177"/>
              <w:ind w:left="104"/>
              <w:rPr>
                <w:sz w:val="24"/>
              </w:rPr>
            </w:pPr>
            <w:r>
              <w:rPr>
                <w:sz w:val="24"/>
              </w:rPr>
              <w:t>项目代码</w:t>
            </w:r>
          </w:p>
        </w:tc>
        <w:tc>
          <w:tcPr>
            <w:tcW w:w="7868" w:type="dxa"/>
            <w:gridSpan w:val="6"/>
          </w:tcPr>
          <w:p>
            <w:pPr>
              <w:pStyle w:val="TableParagraph"/>
              <w:spacing w:before="195"/>
              <w:ind w:left="88" w:right="69"/>
              <w:jc w:val="center"/>
              <w:rPr>
                <w:rFonts w:ascii="Times New Roman"/>
                <w:sz w:val="24"/>
              </w:rPr>
            </w:pPr>
            <w:r>
              <w:rPr>
                <w:rFonts w:ascii="Times New Roman"/>
                <w:sz w:val="24"/>
              </w:rPr>
              <w:t>2312-371422-89-05-276100</w:t>
            </w:r>
          </w:p>
        </w:tc>
      </w:tr>
      <w:tr>
        <w:tblPrEx>
          <w:tblW w:w="0" w:type="auto"/>
          <w:tblInd w:w="324" w:type="dxa"/>
          <w:tblLayout w:type="fixed"/>
          <w:tblCellMar>
            <w:top w:w="0" w:type="dxa"/>
            <w:left w:w="0" w:type="dxa"/>
            <w:bottom w:w="0" w:type="dxa"/>
            <w:right w:w="0" w:type="dxa"/>
          </w:tblCellMar>
        </w:tblPrEx>
        <w:trPr>
          <w:trHeight w:val="731"/>
        </w:trPr>
        <w:tc>
          <w:tcPr>
            <w:tcW w:w="1168" w:type="dxa"/>
          </w:tcPr>
          <w:p>
            <w:pPr>
              <w:pStyle w:val="TableParagraph"/>
              <w:spacing w:before="18"/>
              <w:ind w:left="104"/>
              <w:rPr>
                <w:sz w:val="24"/>
              </w:rPr>
            </w:pPr>
            <w:r>
              <w:rPr>
                <w:sz w:val="24"/>
              </w:rPr>
              <w:t>建设单位</w:t>
            </w:r>
          </w:p>
          <w:p>
            <w:pPr>
              <w:pStyle w:val="TableParagraph"/>
              <w:spacing w:before="47"/>
              <w:ind w:left="224"/>
              <w:rPr>
                <w:sz w:val="24"/>
              </w:rPr>
            </w:pPr>
            <w:r>
              <w:rPr>
                <w:sz w:val="24"/>
              </w:rPr>
              <w:t>联系人</w:t>
            </w:r>
          </w:p>
        </w:tc>
        <w:tc>
          <w:tcPr>
            <w:tcW w:w="2381" w:type="dxa"/>
            <w:gridSpan w:val="3"/>
          </w:tcPr>
          <w:p>
            <w:pPr>
              <w:pStyle w:val="TableParagraph"/>
              <w:spacing w:before="195"/>
              <w:ind w:left="809" w:right="791"/>
              <w:jc w:val="center"/>
              <w:rPr>
                <w:sz w:val="24"/>
              </w:rPr>
            </w:pPr>
          </w:p>
        </w:tc>
        <w:tc>
          <w:tcPr>
            <w:tcW w:w="2277" w:type="dxa"/>
          </w:tcPr>
          <w:p>
            <w:pPr>
              <w:pStyle w:val="TableParagraph"/>
              <w:spacing w:before="195"/>
              <w:ind w:left="151" w:right="145"/>
              <w:jc w:val="center"/>
              <w:rPr>
                <w:sz w:val="24"/>
              </w:rPr>
            </w:pPr>
            <w:r>
              <w:rPr>
                <w:sz w:val="24"/>
              </w:rPr>
              <w:t>联系方式</w:t>
            </w:r>
          </w:p>
        </w:tc>
        <w:tc>
          <w:tcPr>
            <w:tcW w:w="3210" w:type="dxa"/>
            <w:gridSpan w:val="2"/>
          </w:tcPr>
          <w:p>
            <w:pPr>
              <w:pStyle w:val="TableParagraph"/>
              <w:spacing w:before="214"/>
              <w:ind w:left="937"/>
              <w:rPr>
                <w:rFonts w:ascii="Times New Roman"/>
                <w:sz w:val="24"/>
              </w:rPr>
            </w:pPr>
          </w:p>
        </w:tc>
      </w:tr>
      <w:tr>
        <w:tblPrEx>
          <w:tblW w:w="0" w:type="auto"/>
          <w:tblInd w:w="324" w:type="dxa"/>
          <w:tblLayout w:type="fixed"/>
          <w:tblCellMar>
            <w:top w:w="0" w:type="dxa"/>
            <w:left w:w="0" w:type="dxa"/>
            <w:bottom w:w="0" w:type="dxa"/>
            <w:right w:w="0" w:type="dxa"/>
          </w:tblCellMar>
        </w:tblPrEx>
        <w:trPr>
          <w:trHeight w:val="696"/>
        </w:trPr>
        <w:tc>
          <w:tcPr>
            <w:tcW w:w="1168" w:type="dxa"/>
          </w:tcPr>
          <w:p>
            <w:pPr>
              <w:pStyle w:val="TableParagraph"/>
              <w:spacing w:before="178"/>
              <w:ind w:left="104"/>
              <w:rPr>
                <w:sz w:val="24"/>
              </w:rPr>
            </w:pPr>
            <w:r>
              <w:rPr>
                <w:sz w:val="24"/>
              </w:rPr>
              <w:t>建设地点</w:t>
            </w:r>
          </w:p>
        </w:tc>
        <w:tc>
          <w:tcPr>
            <w:tcW w:w="7868" w:type="dxa"/>
            <w:gridSpan w:val="6"/>
          </w:tcPr>
          <w:p>
            <w:pPr>
              <w:pStyle w:val="TableParagraph"/>
              <w:spacing w:before="202"/>
              <w:ind w:left="88" w:right="66"/>
              <w:jc w:val="center"/>
              <w:rPr>
                <w:sz w:val="24"/>
              </w:rPr>
            </w:pPr>
            <w:r>
              <w:rPr>
                <w:sz w:val="24"/>
              </w:rPr>
              <w:t>山东省德州市宁津县辽河大街东首路北</w:t>
            </w:r>
          </w:p>
        </w:tc>
      </w:tr>
      <w:tr>
        <w:tblPrEx>
          <w:tblW w:w="0" w:type="auto"/>
          <w:tblInd w:w="324" w:type="dxa"/>
          <w:tblLayout w:type="fixed"/>
          <w:tblCellMar>
            <w:top w:w="0" w:type="dxa"/>
            <w:left w:w="0" w:type="dxa"/>
            <w:bottom w:w="0" w:type="dxa"/>
            <w:right w:w="0" w:type="dxa"/>
          </w:tblCellMar>
        </w:tblPrEx>
        <w:trPr>
          <w:trHeight w:val="695"/>
        </w:trPr>
        <w:tc>
          <w:tcPr>
            <w:tcW w:w="1168" w:type="dxa"/>
          </w:tcPr>
          <w:p>
            <w:pPr>
              <w:pStyle w:val="TableParagraph"/>
              <w:spacing w:before="177"/>
              <w:ind w:left="104"/>
              <w:rPr>
                <w:sz w:val="24"/>
              </w:rPr>
            </w:pPr>
            <w:r>
              <w:rPr>
                <w:sz w:val="24"/>
              </w:rPr>
              <w:t>地理坐标</w:t>
            </w:r>
          </w:p>
        </w:tc>
        <w:tc>
          <w:tcPr>
            <w:tcW w:w="7868" w:type="dxa"/>
            <w:gridSpan w:val="6"/>
          </w:tcPr>
          <w:p>
            <w:pPr>
              <w:pStyle w:val="TableParagraph"/>
              <w:spacing w:before="177"/>
              <w:ind w:left="88" w:right="68"/>
              <w:jc w:val="center"/>
              <w:rPr>
                <w:sz w:val="24"/>
              </w:rPr>
            </w:pPr>
            <w:r>
              <w:rPr>
                <w:sz w:val="24"/>
              </w:rPr>
              <w:t>（</w:t>
            </w:r>
            <w:r>
              <w:rPr>
                <w:rFonts w:ascii="Times New Roman" w:eastAsia="Times New Roman" w:hAnsi="Times New Roman"/>
                <w:sz w:val="24"/>
              </w:rPr>
              <w:t>116°49'8.400"</w:t>
            </w:r>
            <w:r>
              <w:rPr>
                <w:sz w:val="24"/>
              </w:rPr>
              <w:t>，</w:t>
            </w:r>
            <w:r>
              <w:rPr>
                <w:rFonts w:ascii="Times New Roman" w:eastAsia="Times New Roman" w:hAnsi="Times New Roman"/>
                <w:sz w:val="24"/>
              </w:rPr>
              <w:t>37°38'13.200"</w:t>
            </w:r>
            <w:r>
              <w:rPr>
                <w:sz w:val="24"/>
              </w:rPr>
              <w:t>）</w:t>
            </w:r>
          </w:p>
        </w:tc>
      </w:tr>
      <w:tr>
        <w:tblPrEx>
          <w:tblW w:w="0" w:type="auto"/>
          <w:tblInd w:w="324" w:type="dxa"/>
          <w:tblLayout w:type="fixed"/>
          <w:tblCellMar>
            <w:top w:w="0" w:type="dxa"/>
            <w:left w:w="0" w:type="dxa"/>
            <w:bottom w:w="0" w:type="dxa"/>
            <w:right w:w="0" w:type="dxa"/>
          </w:tblCellMar>
        </w:tblPrEx>
        <w:trPr>
          <w:trHeight w:val="1261"/>
        </w:trPr>
        <w:tc>
          <w:tcPr>
            <w:tcW w:w="1168" w:type="dxa"/>
          </w:tcPr>
          <w:p>
            <w:pPr>
              <w:pStyle w:val="TableParagraph"/>
              <w:rPr>
                <w:b/>
                <w:sz w:val="22"/>
              </w:rPr>
            </w:pPr>
          </w:p>
          <w:p>
            <w:pPr>
              <w:pStyle w:val="TableParagraph"/>
              <w:spacing w:line="278" w:lineRule="auto"/>
              <w:ind w:left="104" w:right="83"/>
              <w:rPr>
                <w:sz w:val="24"/>
              </w:rPr>
            </w:pPr>
            <w:r>
              <w:rPr>
                <w:sz w:val="24"/>
              </w:rPr>
              <w:t>国民经济行业类别</w:t>
            </w:r>
          </w:p>
        </w:tc>
        <w:tc>
          <w:tcPr>
            <w:tcW w:w="2381" w:type="dxa"/>
            <w:gridSpan w:val="3"/>
          </w:tcPr>
          <w:p>
            <w:pPr>
              <w:pStyle w:val="TableParagraph"/>
              <w:rPr>
                <w:b/>
                <w:sz w:val="22"/>
              </w:rPr>
            </w:pPr>
          </w:p>
          <w:p>
            <w:pPr>
              <w:pStyle w:val="TableParagraph"/>
              <w:spacing w:line="278" w:lineRule="auto"/>
              <w:ind w:left="709" w:right="60" w:hanging="584"/>
              <w:rPr>
                <w:sz w:val="24"/>
              </w:rPr>
            </w:pPr>
            <w:r>
              <w:rPr>
                <w:rFonts w:ascii="Times New Roman" w:eastAsia="Times New Roman"/>
                <w:sz w:val="24"/>
              </w:rPr>
              <w:t xml:space="preserve">C2922 </w:t>
            </w:r>
            <w:r>
              <w:rPr>
                <w:sz w:val="24"/>
              </w:rPr>
              <w:t>塑料板、管、型材制造</w:t>
            </w:r>
          </w:p>
        </w:tc>
        <w:tc>
          <w:tcPr>
            <w:tcW w:w="2277" w:type="dxa"/>
          </w:tcPr>
          <w:p>
            <w:pPr>
              <w:pStyle w:val="TableParagraph"/>
              <w:spacing w:before="11"/>
              <w:rPr>
                <w:b/>
                <w:sz w:val="35"/>
              </w:rPr>
            </w:pPr>
          </w:p>
          <w:p>
            <w:pPr>
              <w:pStyle w:val="TableParagraph"/>
              <w:ind w:left="151" w:right="145"/>
              <w:jc w:val="center"/>
              <w:rPr>
                <w:sz w:val="24"/>
              </w:rPr>
            </w:pPr>
            <w:r>
              <w:rPr>
                <w:sz w:val="24"/>
              </w:rPr>
              <w:t>建设项目行业类别</w:t>
            </w:r>
          </w:p>
        </w:tc>
        <w:tc>
          <w:tcPr>
            <w:tcW w:w="3210" w:type="dxa"/>
            <w:gridSpan w:val="2"/>
          </w:tcPr>
          <w:p>
            <w:pPr>
              <w:pStyle w:val="TableParagraph"/>
              <w:spacing w:before="18"/>
              <w:ind w:left="39" w:right="34"/>
              <w:jc w:val="center"/>
              <w:rPr>
                <w:sz w:val="24"/>
              </w:rPr>
            </w:pPr>
            <w:r>
              <w:rPr>
                <w:sz w:val="24"/>
              </w:rPr>
              <w:t>二十六、橡胶和塑料制品业</w:t>
            </w:r>
          </w:p>
          <w:p>
            <w:pPr>
              <w:pStyle w:val="TableParagraph"/>
              <w:spacing w:before="2"/>
              <w:ind w:left="40" w:right="34"/>
              <w:jc w:val="center"/>
              <w:rPr>
                <w:sz w:val="24"/>
              </w:rPr>
            </w:pPr>
            <w:r>
              <w:rPr>
                <w:rFonts w:ascii="Times New Roman" w:eastAsia="Times New Roman"/>
                <w:sz w:val="24"/>
              </w:rPr>
              <w:t>29-53</w:t>
            </w:r>
            <w:r>
              <w:rPr>
                <w:rFonts w:ascii="Times New Roman" w:eastAsia="Times New Roman"/>
                <w:spacing w:val="-11"/>
                <w:sz w:val="24"/>
              </w:rPr>
              <w:t xml:space="preserve"> </w:t>
            </w:r>
            <w:r>
              <w:rPr>
                <w:spacing w:val="-11"/>
                <w:sz w:val="24"/>
              </w:rPr>
              <w:t xml:space="preserve">塑料制品业 </w:t>
            </w:r>
            <w:r>
              <w:rPr>
                <w:rFonts w:ascii="Times New Roman" w:eastAsia="Times New Roman"/>
                <w:sz w:val="24"/>
              </w:rPr>
              <w:t>292-</w:t>
            </w:r>
            <w:r>
              <w:rPr>
                <w:sz w:val="24"/>
              </w:rPr>
              <w:t>其他</w:t>
            </w:r>
          </w:p>
          <w:p>
            <w:pPr>
              <w:pStyle w:val="TableParagraph"/>
              <w:spacing w:before="2" w:line="310" w:lineRule="atLeast"/>
              <w:ind w:left="45" w:right="34"/>
              <w:jc w:val="center"/>
              <w:rPr>
                <w:sz w:val="24"/>
              </w:rPr>
            </w:pPr>
            <w:r>
              <w:rPr>
                <w:sz w:val="24"/>
              </w:rPr>
              <w:t>（</w:t>
            </w:r>
            <w:r>
              <w:rPr>
                <w:spacing w:val="-8"/>
                <w:sz w:val="24"/>
              </w:rPr>
              <w:t xml:space="preserve">年用非溶剂型低 </w:t>
            </w:r>
            <w:r>
              <w:rPr>
                <w:rFonts w:ascii="Times New Roman" w:eastAsia="Times New Roman"/>
                <w:sz w:val="24"/>
              </w:rPr>
              <w:t xml:space="preserve">VOCs </w:t>
            </w:r>
            <w:r>
              <w:rPr>
                <w:spacing w:val="-8"/>
                <w:sz w:val="24"/>
              </w:rPr>
              <w:t>含量</w:t>
            </w:r>
            <w:r>
              <w:rPr>
                <w:spacing w:val="-20"/>
                <w:sz w:val="24"/>
              </w:rPr>
              <w:t xml:space="preserve">涂料 </w:t>
            </w:r>
            <w:r>
              <w:rPr>
                <w:rFonts w:ascii="Times New Roman" w:eastAsia="Times New Roman"/>
                <w:sz w:val="24"/>
              </w:rPr>
              <w:t xml:space="preserve">10 </w:t>
            </w:r>
            <w:r>
              <w:rPr>
                <w:sz w:val="24"/>
              </w:rPr>
              <w:t>吨以下的除外）</w:t>
            </w:r>
          </w:p>
        </w:tc>
      </w:tr>
      <w:tr>
        <w:tblPrEx>
          <w:tblW w:w="0" w:type="auto"/>
          <w:tblInd w:w="324" w:type="dxa"/>
          <w:tblLayout w:type="fixed"/>
          <w:tblCellMar>
            <w:top w:w="0" w:type="dxa"/>
            <w:left w:w="0" w:type="dxa"/>
            <w:bottom w:w="0" w:type="dxa"/>
            <w:right w:w="0" w:type="dxa"/>
          </w:tblCellMar>
        </w:tblPrEx>
        <w:trPr>
          <w:trHeight w:val="1448"/>
        </w:trPr>
        <w:tc>
          <w:tcPr>
            <w:tcW w:w="1168" w:type="dxa"/>
          </w:tcPr>
          <w:p>
            <w:pPr>
              <w:pStyle w:val="TableParagraph"/>
              <w:rPr>
                <w:b/>
                <w:sz w:val="24"/>
              </w:rPr>
            </w:pPr>
          </w:p>
          <w:p>
            <w:pPr>
              <w:pStyle w:val="TableParagraph"/>
              <w:spacing w:before="2"/>
              <w:rPr>
                <w:b/>
                <w:sz w:val="19"/>
              </w:rPr>
            </w:pPr>
          </w:p>
          <w:p>
            <w:pPr>
              <w:pStyle w:val="TableParagraph"/>
              <w:spacing w:before="1"/>
              <w:ind w:left="104"/>
              <w:rPr>
                <w:sz w:val="24"/>
              </w:rPr>
            </w:pPr>
            <w:r>
              <w:rPr>
                <w:sz w:val="24"/>
              </w:rPr>
              <w:t>建设性质</w:t>
            </w:r>
          </w:p>
        </w:tc>
        <w:tc>
          <w:tcPr>
            <w:tcW w:w="2381" w:type="dxa"/>
            <w:gridSpan w:val="3"/>
          </w:tcPr>
          <w:p>
            <w:pPr>
              <w:pStyle w:val="TableParagraph"/>
              <w:spacing w:before="16"/>
              <w:ind w:left="8"/>
              <w:rPr>
                <w:sz w:val="24"/>
              </w:rPr>
            </w:pPr>
            <w:r>
              <w:rPr>
                <w:rFonts w:ascii="MS UI Gothic" w:eastAsia="MS UI Gothic" w:hAnsi="MS UI Gothic" w:hint="eastAsia"/>
                <w:sz w:val="24"/>
              </w:rPr>
              <w:t>☑</w:t>
            </w:r>
            <w:r>
              <w:rPr>
                <w:sz w:val="24"/>
              </w:rPr>
              <w:t>新建（迁建）</w:t>
            </w:r>
          </w:p>
          <w:p>
            <w:pPr>
              <w:pStyle w:val="TableParagraph"/>
              <w:spacing w:before="50"/>
              <w:ind w:left="8"/>
              <w:rPr>
                <w:sz w:val="24"/>
              </w:rPr>
            </w:pPr>
            <w:r>
              <w:rPr>
                <w:sz w:val="24"/>
              </w:rPr>
              <w:t>□改建</w:t>
            </w:r>
          </w:p>
          <w:p>
            <w:pPr>
              <w:pStyle w:val="TableParagraph"/>
              <w:spacing w:before="50"/>
              <w:ind w:left="8"/>
              <w:rPr>
                <w:sz w:val="24"/>
              </w:rPr>
            </w:pPr>
            <w:r>
              <w:rPr>
                <w:sz w:val="24"/>
              </w:rPr>
              <w:t>□扩建</w:t>
            </w:r>
          </w:p>
          <w:p>
            <w:pPr>
              <w:pStyle w:val="TableParagraph"/>
              <w:spacing w:before="53"/>
              <w:ind w:left="8"/>
              <w:rPr>
                <w:sz w:val="24"/>
              </w:rPr>
            </w:pPr>
            <w:r>
              <w:rPr>
                <w:sz w:val="24"/>
              </w:rPr>
              <w:t>□技术改造</w:t>
            </w:r>
          </w:p>
        </w:tc>
        <w:tc>
          <w:tcPr>
            <w:tcW w:w="2277" w:type="dxa"/>
          </w:tcPr>
          <w:p>
            <w:pPr>
              <w:pStyle w:val="TableParagraph"/>
              <w:rPr>
                <w:b/>
                <w:sz w:val="24"/>
              </w:rPr>
            </w:pPr>
          </w:p>
          <w:p>
            <w:pPr>
              <w:pStyle w:val="TableParagraph"/>
              <w:spacing w:before="2"/>
              <w:rPr>
                <w:b/>
                <w:sz w:val="19"/>
              </w:rPr>
            </w:pPr>
          </w:p>
          <w:p>
            <w:pPr>
              <w:pStyle w:val="TableParagraph"/>
              <w:spacing w:before="1"/>
              <w:ind w:left="151" w:right="145"/>
              <w:jc w:val="center"/>
              <w:rPr>
                <w:sz w:val="24"/>
              </w:rPr>
            </w:pPr>
            <w:r>
              <w:rPr>
                <w:sz w:val="24"/>
              </w:rPr>
              <w:t>建设项目申报情形</w:t>
            </w:r>
          </w:p>
        </w:tc>
        <w:tc>
          <w:tcPr>
            <w:tcW w:w="3210" w:type="dxa"/>
            <w:gridSpan w:val="2"/>
          </w:tcPr>
          <w:p>
            <w:pPr>
              <w:pStyle w:val="TableParagraph"/>
              <w:spacing w:before="16"/>
              <w:ind w:left="-3"/>
              <w:rPr>
                <w:sz w:val="24"/>
              </w:rPr>
            </w:pPr>
            <w:r>
              <w:rPr>
                <w:rFonts w:ascii="MS UI Gothic" w:eastAsia="MS UI Gothic" w:hAnsi="MS UI Gothic" w:hint="eastAsia"/>
                <w:sz w:val="24"/>
              </w:rPr>
              <w:t>☑</w:t>
            </w:r>
            <w:r>
              <w:rPr>
                <w:sz w:val="24"/>
              </w:rPr>
              <w:t>首次申报项目</w:t>
            </w:r>
          </w:p>
          <w:p>
            <w:pPr>
              <w:pStyle w:val="TableParagraph"/>
              <w:spacing w:before="50"/>
              <w:ind w:left="-3"/>
              <w:rPr>
                <w:sz w:val="24"/>
              </w:rPr>
            </w:pPr>
            <w:r>
              <w:rPr>
                <w:sz w:val="24"/>
              </w:rPr>
              <w:t>□不予批准后再次申报项目</w:t>
            </w:r>
          </w:p>
          <w:p>
            <w:pPr>
              <w:pStyle w:val="TableParagraph"/>
              <w:spacing w:before="50"/>
              <w:ind w:left="-3"/>
              <w:rPr>
                <w:sz w:val="24"/>
              </w:rPr>
            </w:pPr>
            <w:r>
              <w:rPr>
                <w:sz w:val="24"/>
              </w:rPr>
              <w:t>□超五年重新审核项目</w:t>
            </w:r>
          </w:p>
          <w:p>
            <w:pPr>
              <w:pStyle w:val="TableParagraph"/>
              <w:spacing w:before="53"/>
              <w:ind w:left="-3"/>
              <w:rPr>
                <w:sz w:val="24"/>
              </w:rPr>
            </w:pPr>
            <w:r>
              <w:rPr>
                <w:sz w:val="24"/>
              </w:rPr>
              <w:t>□重大变动重新报批项目</w:t>
            </w:r>
          </w:p>
        </w:tc>
      </w:tr>
      <w:tr>
        <w:tblPrEx>
          <w:tblW w:w="0" w:type="auto"/>
          <w:tblInd w:w="324" w:type="dxa"/>
          <w:tblLayout w:type="fixed"/>
          <w:tblCellMar>
            <w:top w:w="0" w:type="dxa"/>
            <w:left w:w="0" w:type="dxa"/>
            <w:bottom w:w="0" w:type="dxa"/>
            <w:right w:w="0" w:type="dxa"/>
          </w:tblCellMar>
        </w:tblPrEx>
        <w:trPr>
          <w:trHeight w:val="1088"/>
        </w:trPr>
        <w:tc>
          <w:tcPr>
            <w:tcW w:w="1168" w:type="dxa"/>
          </w:tcPr>
          <w:p>
            <w:pPr>
              <w:pStyle w:val="TableParagraph"/>
              <w:spacing w:before="17"/>
              <w:ind w:left="104"/>
              <w:rPr>
                <w:sz w:val="24"/>
              </w:rPr>
            </w:pPr>
            <w:r>
              <w:rPr>
                <w:sz w:val="24"/>
              </w:rPr>
              <w:t>项目审批</w:t>
            </w:r>
          </w:p>
          <w:p>
            <w:pPr>
              <w:pStyle w:val="TableParagraph"/>
              <w:spacing w:before="7" w:line="350" w:lineRule="atLeast"/>
              <w:ind w:left="104" w:right="50" w:hanging="34"/>
              <w:rPr>
                <w:sz w:val="24"/>
              </w:rPr>
            </w:pPr>
            <w:r>
              <w:rPr>
                <w:sz w:val="24"/>
              </w:rPr>
              <w:t>（核准</w:t>
            </w:r>
            <w:r>
              <w:rPr>
                <w:rFonts w:ascii="Times New Roman" w:eastAsia="Times New Roman"/>
                <w:sz w:val="24"/>
              </w:rPr>
              <w:t>/</w:t>
            </w:r>
            <w:r>
              <w:rPr>
                <w:spacing w:val="-17"/>
                <w:sz w:val="24"/>
              </w:rPr>
              <w:t>备</w:t>
            </w:r>
            <w:r>
              <w:rPr>
                <w:sz w:val="24"/>
              </w:rPr>
              <w:t>案）部门</w:t>
            </w:r>
          </w:p>
        </w:tc>
        <w:tc>
          <w:tcPr>
            <w:tcW w:w="2381" w:type="dxa"/>
            <w:gridSpan w:val="3"/>
          </w:tcPr>
          <w:p>
            <w:pPr>
              <w:pStyle w:val="TableParagraph"/>
              <w:spacing w:before="194" w:line="278" w:lineRule="auto"/>
              <w:ind w:left="1067" w:right="70" w:hanging="984"/>
              <w:rPr>
                <w:sz w:val="24"/>
              </w:rPr>
            </w:pPr>
            <w:r>
              <w:rPr>
                <w:sz w:val="24"/>
              </w:rPr>
              <w:t>宁津县行政审批服务局</w:t>
            </w:r>
          </w:p>
        </w:tc>
        <w:tc>
          <w:tcPr>
            <w:tcW w:w="2277" w:type="dxa"/>
          </w:tcPr>
          <w:p>
            <w:pPr>
              <w:pStyle w:val="TableParagraph"/>
              <w:spacing w:before="194" w:line="278" w:lineRule="auto"/>
              <w:ind w:left="531" w:right="250" w:hanging="274"/>
              <w:rPr>
                <w:sz w:val="24"/>
              </w:rPr>
            </w:pPr>
            <w:r>
              <w:rPr>
                <w:sz w:val="24"/>
              </w:rPr>
              <w:t>项目审批（核准</w:t>
            </w:r>
            <w:r>
              <w:rPr>
                <w:rFonts w:ascii="Times New Roman" w:eastAsia="Times New Roman"/>
                <w:sz w:val="24"/>
              </w:rPr>
              <w:t xml:space="preserve">/ </w:t>
            </w:r>
            <w:r>
              <w:rPr>
                <w:sz w:val="24"/>
              </w:rPr>
              <w:t>备案）文号</w:t>
            </w:r>
          </w:p>
        </w:tc>
        <w:tc>
          <w:tcPr>
            <w:tcW w:w="3210" w:type="dxa"/>
            <w:gridSpan w:val="2"/>
          </w:tcPr>
          <w:p>
            <w:pPr>
              <w:pStyle w:val="TableParagraph"/>
              <w:spacing w:before="8"/>
              <w:rPr>
                <w:b/>
                <w:sz w:val="30"/>
              </w:rPr>
            </w:pPr>
          </w:p>
          <w:p>
            <w:pPr>
              <w:pStyle w:val="TableParagraph"/>
              <w:ind w:left="239"/>
              <w:rPr>
                <w:rFonts w:ascii="Times New Roman"/>
                <w:sz w:val="24"/>
              </w:rPr>
            </w:pPr>
            <w:r>
              <w:rPr>
                <w:rFonts w:ascii="Times New Roman"/>
                <w:sz w:val="24"/>
              </w:rPr>
              <w:t>2312-371422-89-05-276100</w:t>
            </w:r>
          </w:p>
        </w:tc>
      </w:tr>
      <w:tr>
        <w:tblPrEx>
          <w:tblW w:w="0" w:type="auto"/>
          <w:tblInd w:w="324" w:type="dxa"/>
          <w:tblLayout w:type="fixed"/>
          <w:tblCellMar>
            <w:top w:w="0" w:type="dxa"/>
            <w:left w:w="0" w:type="dxa"/>
            <w:bottom w:w="0" w:type="dxa"/>
            <w:right w:w="0" w:type="dxa"/>
          </w:tblCellMar>
        </w:tblPrEx>
        <w:trPr>
          <w:trHeight w:val="731"/>
        </w:trPr>
        <w:tc>
          <w:tcPr>
            <w:tcW w:w="1168" w:type="dxa"/>
          </w:tcPr>
          <w:p>
            <w:pPr>
              <w:pStyle w:val="TableParagraph"/>
              <w:spacing w:before="19"/>
              <w:ind w:left="224"/>
              <w:rPr>
                <w:sz w:val="24"/>
              </w:rPr>
            </w:pPr>
            <w:r>
              <w:rPr>
                <w:sz w:val="24"/>
              </w:rPr>
              <w:t>总投资</w:t>
            </w:r>
          </w:p>
          <w:p>
            <w:pPr>
              <w:pStyle w:val="TableParagraph"/>
              <w:spacing w:before="48"/>
              <w:ind w:left="104"/>
              <w:rPr>
                <w:sz w:val="24"/>
              </w:rPr>
            </w:pPr>
            <w:r>
              <w:rPr>
                <w:sz w:val="24"/>
              </w:rPr>
              <w:t>（万元）</w:t>
            </w:r>
          </w:p>
        </w:tc>
        <w:tc>
          <w:tcPr>
            <w:tcW w:w="2381" w:type="dxa"/>
            <w:gridSpan w:val="3"/>
          </w:tcPr>
          <w:p>
            <w:pPr>
              <w:pStyle w:val="TableParagraph"/>
              <w:spacing w:before="215"/>
              <w:ind w:left="809" w:right="791"/>
              <w:jc w:val="center"/>
              <w:rPr>
                <w:rFonts w:ascii="Times New Roman"/>
                <w:sz w:val="24"/>
              </w:rPr>
            </w:pPr>
            <w:r>
              <w:rPr>
                <w:rFonts w:ascii="Times New Roman"/>
                <w:sz w:val="24"/>
              </w:rPr>
              <w:t>600</w:t>
            </w:r>
          </w:p>
        </w:tc>
        <w:tc>
          <w:tcPr>
            <w:tcW w:w="2277" w:type="dxa"/>
          </w:tcPr>
          <w:p>
            <w:pPr>
              <w:pStyle w:val="TableParagraph"/>
              <w:spacing w:before="196"/>
              <w:ind w:left="151" w:right="145"/>
              <w:jc w:val="center"/>
              <w:rPr>
                <w:sz w:val="24"/>
              </w:rPr>
            </w:pPr>
            <w:r>
              <w:rPr>
                <w:sz w:val="24"/>
              </w:rPr>
              <w:t>环保投资（万元）</w:t>
            </w:r>
          </w:p>
        </w:tc>
        <w:tc>
          <w:tcPr>
            <w:tcW w:w="3210" w:type="dxa"/>
            <w:gridSpan w:val="2"/>
          </w:tcPr>
          <w:p>
            <w:pPr>
              <w:pStyle w:val="TableParagraph"/>
              <w:spacing w:before="215"/>
              <w:ind w:left="39" w:right="34"/>
              <w:jc w:val="center"/>
              <w:rPr>
                <w:rFonts w:ascii="Times New Roman"/>
                <w:sz w:val="24"/>
              </w:rPr>
            </w:pPr>
            <w:r>
              <w:rPr>
                <w:rFonts w:ascii="Times New Roman"/>
                <w:sz w:val="24"/>
              </w:rPr>
              <w:t>15</w:t>
            </w:r>
          </w:p>
        </w:tc>
      </w:tr>
      <w:tr>
        <w:tblPrEx>
          <w:tblW w:w="0" w:type="auto"/>
          <w:tblInd w:w="324" w:type="dxa"/>
          <w:tblLayout w:type="fixed"/>
          <w:tblCellMar>
            <w:top w:w="0" w:type="dxa"/>
            <w:left w:w="0" w:type="dxa"/>
            <w:bottom w:w="0" w:type="dxa"/>
            <w:right w:w="0" w:type="dxa"/>
          </w:tblCellMar>
        </w:tblPrEx>
        <w:trPr>
          <w:trHeight w:val="1090"/>
        </w:trPr>
        <w:tc>
          <w:tcPr>
            <w:tcW w:w="1168" w:type="dxa"/>
          </w:tcPr>
          <w:p>
            <w:pPr>
              <w:pStyle w:val="TableParagraph"/>
              <w:spacing w:before="18" w:line="278" w:lineRule="auto"/>
              <w:ind w:left="104" w:right="83"/>
              <w:jc w:val="center"/>
              <w:rPr>
                <w:sz w:val="24"/>
              </w:rPr>
            </w:pPr>
            <w:r>
              <w:rPr>
                <w:spacing w:val="-5"/>
                <w:sz w:val="24"/>
              </w:rPr>
              <w:t>环保投资</w:t>
            </w:r>
            <w:r>
              <w:rPr>
                <w:sz w:val="24"/>
              </w:rPr>
              <w:t>占比</w:t>
            </w:r>
          </w:p>
          <w:p>
            <w:pPr>
              <w:pStyle w:val="TableParagraph"/>
              <w:spacing w:before="2"/>
              <w:ind w:left="81" w:right="64"/>
              <w:jc w:val="center"/>
              <w:rPr>
                <w:sz w:val="24"/>
              </w:rPr>
            </w:pPr>
            <w:r>
              <w:rPr>
                <w:sz w:val="24"/>
              </w:rPr>
              <w:t>（</w:t>
            </w:r>
            <w:r>
              <w:rPr>
                <w:rFonts w:ascii="Times New Roman" w:eastAsia="Times New Roman"/>
                <w:sz w:val="24"/>
              </w:rPr>
              <w:t>%</w:t>
            </w:r>
            <w:r>
              <w:rPr>
                <w:sz w:val="24"/>
              </w:rPr>
              <w:t>）</w:t>
            </w:r>
          </w:p>
        </w:tc>
        <w:tc>
          <w:tcPr>
            <w:tcW w:w="2381" w:type="dxa"/>
            <w:gridSpan w:val="3"/>
          </w:tcPr>
          <w:p>
            <w:pPr>
              <w:pStyle w:val="TableParagraph"/>
              <w:spacing w:before="9"/>
              <w:rPr>
                <w:b/>
                <w:sz w:val="30"/>
              </w:rPr>
            </w:pPr>
          </w:p>
          <w:p>
            <w:pPr>
              <w:pStyle w:val="TableParagraph"/>
              <w:spacing w:before="1"/>
              <w:ind w:left="806" w:right="791"/>
              <w:jc w:val="center"/>
              <w:rPr>
                <w:rFonts w:ascii="Times New Roman"/>
                <w:sz w:val="24"/>
              </w:rPr>
            </w:pPr>
            <w:r>
              <w:rPr>
                <w:rFonts w:ascii="Times New Roman"/>
                <w:sz w:val="24"/>
              </w:rPr>
              <w:t>2.5</w:t>
            </w:r>
          </w:p>
        </w:tc>
        <w:tc>
          <w:tcPr>
            <w:tcW w:w="2277" w:type="dxa"/>
          </w:tcPr>
          <w:p>
            <w:pPr>
              <w:pStyle w:val="TableParagraph"/>
              <w:spacing w:before="4"/>
              <w:rPr>
                <w:b/>
                <w:sz w:val="29"/>
              </w:rPr>
            </w:pPr>
          </w:p>
          <w:p>
            <w:pPr>
              <w:pStyle w:val="TableParagraph"/>
              <w:ind w:left="151" w:right="145"/>
              <w:jc w:val="center"/>
              <w:rPr>
                <w:sz w:val="24"/>
              </w:rPr>
            </w:pPr>
            <w:r>
              <w:rPr>
                <w:sz w:val="24"/>
              </w:rPr>
              <w:t>施工工期</w:t>
            </w:r>
          </w:p>
        </w:tc>
        <w:tc>
          <w:tcPr>
            <w:tcW w:w="3210" w:type="dxa"/>
            <w:gridSpan w:val="2"/>
          </w:tcPr>
          <w:p>
            <w:pPr>
              <w:pStyle w:val="TableParagraph"/>
              <w:spacing w:before="4"/>
              <w:rPr>
                <w:b/>
                <w:sz w:val="29"/>
              </w:rPr>
            </w:pPr>
          </w:p>
          <w:p>
            <w:pPr>
              <w:pStyle w:val="TableParagraph"/>
              <w:ind w:left="40" w:right="34"/>
              <w:jc w:val="center"/>
              <w:rPr>
                <w:sz w:val="24"/>
              </w:rPr>
            </w:pPr>
            <w:r>
              <w:rPr>
                <w:rFonts w:ascii="Times New Roman" w:eastAsia="Times New Roman"/>
                <w:sz w:val="24"/>
              </w:rPr>
              <w:t xml:space="preserve">2 </w:t>
            </w:r>
            <w:r>
              <w:rPr>
                <w:sz w:val="24"/>
              </w:rPr>
              <w:t>个月</w:t>
            </w:r>
          </w:p>
        </w:tc>
      </w:tr>
      <w:tr>
        <w:tblPrEx>
          <w:tblW w:w="0" w:type="auto"/>
          <w:tblInd w:w="324" w:type="dxa"/>
          <w:tblLayout w:type="fixed"/>
          <w:tblCellMar>
            <w:top w:w="0" w:type="dxa"/>
            <w:left w:w="0" w:type="dxa"/>
            <w:bottom w:w="0" w:type="dxa"/>
            <w:right w:w="0" w:type="dxa"/>
          </w:tblCellMar>
        </w:tblPrEx>
        <w:trPr>
          <w:trHeight w:val="732"/>
        </w:trPr>
        <w:tc>
          <w:tcPr>
            <w:tcW w:w="1168" w:type="dxa"/>
          </w:tcPr>
          <w:p>
            <w:pPr>
              <w:pStyle w:val="TableParagraph"/>
              <w:spacing w:before="17"/>
              <w:ind w:left="84" w:right="64"/>
              <w:jc w:val="center"/>
              <w:rPr>
                <w:sz w:val="24"/>
              </w:rPr>
            </w:pPr>
            <w:r>
              <w:rPr>
                <w:sz w:val="24"/>
              </w:rPr>
              <w:t>是否开工</w:t>
            </w:r>
          </w:p>
          <w:p>
            <w:pPr>
              <w:pStyle w:val="TableParagraph"/>
              <w:spacing w:before="50"/>
              <w:ind w:left="84" w:right="64"/>
              <w:jc w:val="center"/>
              <w:rPr>
                <w:sz w:val="24"/>
              </w:rPr>
            </w:pPr>
            <w:r>
              <w:rPr>
                <w:sz w:val="24"/>
              </w:rPr>
              <w:t>建设</w:t>
            </w:r>
          </w:p>
        </w:tc>
        <w:tc>
          <w:tcPr>
            <w:tcW w:w="2381" w:type="dxa"/>
            <w:gridSpan w:val="3"/>
          </w:tcPr>
          <w:p>
            <w:pPr>
              <w:pStyle w:val="TableParagraph"/>
              <w:spacing w:before="197"/>
              <w:ind w:left="529"/>
              <w:rPr>
                <w:sz w:val="24"/>
              </w:rPr>
            </w:pPr>
            <w:r>
              <w:rPr>
                <w:rFonts w:ascii="MS UI Gothic" w:eastAsia="MS UI Gothic" w:hAnsi="MS UI Gothic" w:hint="eastAsia"/>
                <w:sz w:val="24"/>
              </w:rPr>
              <w:t>☑</w:t>
            </w:r>
            <w:r>
              <w:rPr>
                <w:sz w:val="24"/>
              </w:rPr>
              <w:t>否 □是：</w:t>
            </w:r>
          </w:p>
        </w:tc>
        <w:tc>
          <w:tcPr>
            <w:tcW w:w="2277" w:type="dxa"/>
          </w:tcPr>
          <w:p>
            <w:pPr>
              <w:pStyle w:val="TableParagraph"/>
              <w:spacing w:before="17"/>
              <w:ind w:left="151" w:right="145"/>
              <w:jc w:val="center"/>
              <w:rPr>
                <w:sz w:val="24"/>
              </w:rPr>
            </w:pPr>
            <w:r>
              <w:rPr>
                <w:sz w:val="24"/>
              </w:rPr>
              <w:t>用地（用海）面积</w:t>
            </w:r>
          </w:p>
          <w:p>
            <w:pPr>
              <w:pStyle w:val="TableParagraph"/>
              <w:spacing w:before="50"/>
              <w:ind w:left="151" w:right="145"/>
              <w:jc w:val="center"/>
              <w:rPr>
                <w:sz w:val="24"/>
              </w:rPr>
            </w:pPr>
            <w:r>
              <w:rPr>
                <w:sz w:val="24"/>
              </w:rPr>
              <w:t>（</w:t>
            </w:r>
            <w:r>
              <w:rPr>
                <w:rFonts w:ascii="Times New Roman" w:eastAsia="Times New Roman"/>
                <w:sz w:val="24"/>
              </w:rPr>
              <w:t>m</w:t>
            </w:r>
            <w:r>
              <w:rPr>
                <w:rFonts w:ascii="Times New Roman" w:eastAsia="Times New Roman"/>
                <w:position w:val="8"/>
                <w:sz w:val="15"/>
              </w:rPr>
              <w:t>2</w:t>
            </w:r>
            <w:r>
              <w:rPr>
                <w:sz w:val="24"/>
              </w:rPr>
              <w:t>）</w:t>
            </w:r>
          </w:p>
        </w:tc>
        <w:tc>
          <w:tcPr>
            <w:tcW w:w="3210" w:type="dxa"/>
            <w:gridSpan w:val="2"/>
          </w:tcPr>
          <w:p>
            <w:pPr>
              <w:pStyle w:val="TableParagraph"/>
              <w:spacing w:before="197"/>
              <w:ind w:left="637"/>
              <w:rPr>
                <w:sz w:val="24"/>
              </w:rPr>
            </w:pPr>
            <w:r>
              <w:rPr>
                <w:rFonts w:ascii="Times New Roman" w:eastAsia="Times New Roman"/>
                <w:sz w:val="24"/>
              </w:rPr>
              <w:t>1500</w:t>
            </w:r>
            <w:r>
              <w:rPr>
                <w:sz w:val="24"/>
              </w:rPr>
              <w:t>（占地面积）</w:t>
            </w:r>
          </w:p>
        </w:tc>
      </w:tr>
      <w:tr>
        <w:tblPrEx>
          <w:tblW w:w="0" w:type="auto"/>
          <w:tblInd w:w="324" w:type="dxa"/>
          <w:tblLayout w:type="fixed"/>
          <w:tblCellMar>
            <w:top w:w="0" w:type="dxa"/>
            <w:left w:w="0" w:type="dxa"/>
            <w:bottom w:w="0" w:type="dxa"/>
            <w:right w:w="0" w:type="dxa"/>
          </w:tblCellMar>
        </w:tblPrEx>
        <w:trPr>
          <w:trHeight w:val="663"/>
        </w:trPr>
        <w:tc>
          <w:tcPr>
            <w:tcW w:w="1168" w:type="dxa"/>
            <w:vMerge w:val="restart"/>
          </w:tcPr>
          <w:p>
            <w:pPr>
              <w:pStyle w:val="TableParagraph"/>
              <w:rPr>
                <w:b/>
                <w:sz w:val="24"/>
              </w:rPr>
            </w:pPr>
          </w:p>
          <w:p>
            <w:pPr>
              <w:pStyle w:val="TableParagraph"/>
              <w:rPr>
                <w:b/>
                <w:sz w:val="24"/>
              </w:rPr>
            </w:pPr>
          </w:p>
          <w:p>
            <w:pPr>
              <w:pStyle w:val="TableParagraph"/>
              <w:rPr>
                <w:b/>
                <w:sz w:val="33"/>
              </w:rPr>
            </w:pPr>
          </w:p>
          <w:p>
            <w:pPr>
              <w:pStyle w:val="TableParagraph"/>
              <w:spacing w:before="1" w:line="278" w:lineRule="auto"/>
              <w:ind w:left="224" w:right="203"/>
              <w:jc w:val="both"/>
              <w:rPr>
                <w:sz w:val="24"/>
              </w:rPr>
            </w:pPr>
            <w:r>
              <w:rPr>
                <w:sz w:val="24"/>
              </w:rPr>
              <w:t>专项评价设置情况</w:t>
            </w:r>
          </w:p>
        </w:tc>
        <w:tc>
          <w:tcPr>
            <w:tcW w:w="7868" w:type="dxa"/>
            <w:gridSpan w:val="6"/>
            <w:tcBorders>
              <w:bottom w:val="nil"/>
            </w:tcBorders>
          </w:tcPr>
          <w:p>
            <w:pPr>
              <w:pStyle w:val="TableParagraph"/>
              <w:spacing w:before="2"/>
              <w:ind w:left="88" w:right="4119"/>
              <w:jc w:val="center"/>
              <w:rPr>
                <w:sz w:val="24"/>
              </w:rPr>
            </w:pPr>
            <w:r>
              <w:rPr>
                <w:sz w:val="24"/>
              </w:rPr>
              <w:t>本项目专项评价设置情况见下表。</w:t>
            </w:r>
          </w:p>
          <w:p>
            <w:pPr>
              <w:pStyle w:val="TableParagraph"/>
              <w:spacing w:before="47" w:line="286" w:lineRule="exact"/>
              <w:ind w:left="2141" w:right="1853"/>
              <w:jc w:val="center"/>
              <w:rPr>
                <w:b/>
                <w:sz w:val="24"/>
              </w:rPr>
            </w:pPr>
            <w:r>
              <w:rPr>
                <w:b/>
                <w:sz w:val="24"/>
              </w:rPr>
              <w:t xml:space="preserve">表 </w:t>
            </w:r>
            <w:r>
              <w:rPr>
                <w:rFonts w:ascii="Times New Roman" w:eastAsia="Times New Roman"/>
                <w:b/>
                <w:sz w:val="24"/>
              </w:rPr>
              <w:t xml:space="preserve">1 </w:t>
            </w:r>
            <w:r>
              <w:rPr>
                <w:b/>
                <w:sz w:val="24"/>
              </w:rPr>
              <w:t>本项目专项评价设置情况表</w:t>
            </w:r>
          </w:p>
        </w:tc>
      </w:tr>
      <w:tr>
        <w:tblPrEx>
          <w:tblW w:w="0" w:type="auto"/>
          <w:tblInd w:w="324" w:type="dxa"/>
          <w:tblLayout w:type="fixed"/>
          <w:tblCellMar>
            <w:top w:w="0" w:type="dxa"/>
            <w:left w:w="0" w:type="dxa"/>
            <w:bottom w:w="0" w:type="dxa"/>
            <w:right w:w="0" w:type="dxa"/>
          </w:tblCellMar>
        </w:tblPrEx>
        <w:trPr>
          <w:trHeight w:val="535"/>
        </w:trPr>
        <w:tc>
          <w:tcPr>
            <w:tcW w:w="1168"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2"/>
              </w:rPr>
            </w:pPr>
          </w:p>
        </w:tc>
        <w:tc>
          <w:tcPr>
            <w:tcW w:w="1170"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48" w:right="132"/>
              <w:jc w:val="center"/>
              <w:rPr>
                <w:sz w:val="21"/>
              </w:rPr>
            </w:pPr>
            <w:r>
              <w:rPr>
                <w:sz w:val="21"/>
              </w:rPr>
              <w:t>专项评价</w:t>
            </w:r>
          </w:p>
          <w:p>
            <w:pPr>
              <w:pStyle w:val="TableParagraph"/>
              <w:spacing w:before="2" w:line="247" w:lineRule="exact"/>
              <w:ind w:left="146" w:right="132"/>
              <w:jc w:val="center"/>
              <w:rPr>
                <w:sz w:val="21"/>
              </w:rPr>
            </w:pPr>
            <w:r>
              <w:rPr>
                <w:sz w:val="21"/>
              </w:rPr>
              <w:t>类别</w:t>
            </w:r>
          </w:p>
        </w:tc>
        <w:tc>
          <w:tcPr>
            <w:tcW w:w="337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1"/>
              <w:ind w:left="125" w:right="84"/>
              <w:jc w:val="center"/>
              <w:rPr>
                <w:sz w:val="21"/>
              </w:rPr>
            </w:pPr>
            <w:r>
              <w:rPr>
                <w:sz w:val="21"/>
              </w:rPr>
              <w:t>设置原则</w:t>
            </w:r>
          </w:p>
        </w:tc>
        <w:tc>
          <w:tcPr>
            <w:tcW w:w="2978" w:type="dxa"/>
            <w:tcBorders>
              <w:top w:val="single" w:sz="4" w:space="0" w:color="000000"/>
              <w:left w:val="single" w:sz="4" w:space="0" w:color="000000"/>
              <w:bottom w:val="single" w:sz="4" w:space="0" w:color="000000"/>
              <w:right w:val="single" w:sz="4" w:space="0" w:color="000000"/>
            </w:tcBorders>
          </w:tcPr>
          <w:p>
            <w:pPr>
              <w:pStyle w:val="TableParagraph"/>
              <w:spacing w:before="131"/>
              <w:ind w:left="981"/>
              <w:rPr>
                <w:sz w:val="21"/>
              </w:rPr>
            </w:pPr>
            <w:r>
              <w:rPr>
                <w:sz w:val="21"/>
              </w:rPr>
              <w:t>本项目情况</w:t>
            </w:r>
          </w:p>
        </w:tc>
        <w:tc>
          <w:tcPr>
            <w:tcW w:w="232" w:type="dxa"/>
            <w:vMerge w:val="restart"/>
            <w:tcBorders>
              <w:top w:val="nil"/>
              <w:left w:val="single" w:sz="4" w:space="0" w:color="000000"/>
            </w:tcBorders>
          </w:tcPr>
          <w:p>
            <w:pPr>
              <w:pStyle w:val="TableParagraph"/>
              <w:rPr>
                <w:rFonts w:ascii="Times New Roman"/>
                <w:sz w:val="22"/>
              </w:rPr>
            </w:pPr>
          </w:p>
        </w:tc>
      </w:tr>
      <w:tr>
        <w:tblPrEx>
          <w:tblW w:w="0" w:type="auto"/>
          <w:tblInd w:w="324" w:type="dxa"/>
          <w:tblLayout w:type="fixed"/>
          <w:tblCellMar>
            <w:top w:w="0" w:type="dxa"/>
            <w:left w:w="0" w:type="dxa"/>
            <w:bottom w:w="0" w:type="dxa"/>
            <w:right w:w="0" w:type="dxa"/>
          </w:tblCellMar>
        </w:tblPrEx>
        <w:trPr>
          <w:trHeight w:val="1079"/>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1170"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48"/>
              <w:ind w:left="146" w:right="132"/>
              <w:jc w:val="center"/>
              <w:rPr>
                <w:sz w:val="21"/>
              </w:rPr>
            </w:pPr>
            <w:r>
              <w:rPr>
                <w:sz w:val="21"/>
              </w:rPr>
              <w:t>大气</w:t>
            </w:r>
          </w:p>
        </w:tc>
        <w:tc>
          <w:tcPr>
            <w:tcW w:w="3375"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72" w:firstLine="12"/>
              <w:jc w:val="both"/>
              <w:rPr>
                <w:sz w:val="21"/>
              </w:rPr>
            </w:pPr>
            <w:r>
              <w:rPr>
                <w:sz w:val="21"/>
              </w:rPr>
              <w:t>排放废气含有有毒有害污染物、二</w:t>
            </w:r>
            <w:r>
              <w:rPr>
                <w:w w:val="95"/>
                <w:sz w:val="21"/>
              </w:rPr>
              <w:t>噁英、苯并</w:t>
            </w:r>
            <w:r>
              <w:rPr>
                <w:rFonts w:ascii="Times New Roman" w:eastAsia="Times New Roman"/>
                <w:w w:val="95"/>
                <w:sz w:val="21"/>
              </w:rPr>
              <w:t>[a]</w:t>
            </w:r>
            <w:r>
              <w:rPr>
                <w:w w:val="95"/>
                <w:sz w:val="21"/>
              </w:rPr>
              <w:t>芘、氰化物、氯气且</w:t>
            </w:r>
            <w:r>
              <w:rPr>
                <w:spacing w:val="-15"/>
                <w:sz w:val="21"/>
              </w:rPr>
              <w:t xml:space="preserve">厂界外 </w:t>
            </w:r>
            <w:r>
              <w:rPr>
                <w:rFonts w:ascii="Times New Roman" w:eastAsia="Times New Roman"/>
                <w:sz w:val="21"/>
              </w:rPr>
              <w:t xml:space="preserve">500 </w:t>
            </w:r>
            <w:r>
              <w:rPr>
                <w:sz w:val="21"/>
              </w:rPr>
              <w:t>米范围内有环境空气保</w:t>
            </w:r>
          </w:p>
          <w:p>
            <w:pPr>
              <w:pStyle w:val="TableParagraph"/>
              <w:spacing w:line="247" w:lineRule="exact"/>
              <w:ind w:left="864"/>
              <w:rPr>
                <w:sz w:val="21"/>
              </w:rPr>
            </w:pPr>
            <w:r>
              <w:rPr>
                <w:sz w:val="21"/>
              </w:rPr>
              <w:t>护目标的建设项目</w:t>
            </w:r>
          </w:p>
        </w:tc>
        <w:tc>
          <w:tcPr>
            <w:tcW w:w="2978" w:type="dxa"/>
            <w:tcBorders>
              <w:top w:val="single" w:sz="4" w:space="0" w:color="000000"/>
              <w:left w:val="single" w:sz="4" w:space="0" w:color="000000"/>
              <w:bottom w:val="single" w:sz="4" w:space="0" w:color="000000"/>
              <w:right w:val="single" w:sz="4" w:space="0" w:color="000000"/>
            </w:tcBorders>
          </w:tcPr>
          <w:p>
            <w:pPr>
              <w:pStyle w:val="TableParagraph"/>
              <w:spacing w:before="130" w:line="242" w:lineRule="auto"/>
              <w:ind w:left="141" w:right="95"/>
              <w:jc w:val="center"/>
              <w:rPr>
                <w:sz w:val="21"/>
              </w:rPr>
            </w:pPr>
            <w:r>
              <w:rPr>
                <w:w w:val="95"/>
                <w:sz w:val="21"/>
              </w:rPr>
              <w:t>本项目废气不涉及有毒有害污染物，因此本次评价无需设置</w:t>
            </w:r>
            <w:r>
              <w:rPr>
                <w:sz w:val="21"/>
              </w:rPr>
              <w:t>大气专项评价</w:t>
            </w:r>
          </w:p>
        </w:tc>
        <w:tc>
          <w:tcPr>
            <w:tcW w:w="232"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805"/>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1170" w:type="dxa"/>
            <w:tcBorders>
              <w:top w:val="single" w:sz="4" w:space="0" w:color="000000"/>
              <w:left w:val="single" w:sz="4" w:space="0" w:color="000000"/>
              <w:bottom w:val="single" w:sz="12" w:space="0" w:color="000000"/>
              <w:right w:val="single" w:sz="4" w:space="0" w:color="000000"/>
            </w:tcBorders>
          </w:tcPr>
          <w:p>
            <w:pPr>
              <w:pStyle w:val="TableParagraph"/>
              <w:spacing w:before="11"/>
              <w:rPr>
                <w:b/>
                <w:sz w:val="20"/>
              </w:rPr>
            </w:pPr>
          </w:p>
          <w:p>
            <w:pPr>
              <w:pStyle w:val="TableParagraph"/>
              <w:ind w:left="148" w:right="129"/>
              <w:jc w:val="center"/>
              <w:rPr>
                <w:sz w:val="21"/>
              </w:rPr>
            </w:pPr>
            <w:r>
              <w:rPr>
                <w:sz w:val="21"/>
              </w:rPr>
              <w:t>地表水</w:t>
            </w:r>
          </w:p>
        </w:tc>
        <w:tc>
          <w:tcPr>
            <w:tcW w:w="3375" w:type="dxa"/>
            <w:gridSpan w:val="2"/>
            <w:tcBorders>
              <w:top w:val="single" w:sz="4" w:space="0" w:color="000000"/>
              <w:left w:val="single" w:sz="4" w:space="0" w:color="000000"/>
              <w:bottom w:val="single" w:sz="12" w:space="0" w:color="000000"/>
              <w:right w:val="single" w:sz="4" w:space="0" w:color="000000"/>
            </w:tcBorders>
          </w:tcPr>
          <w:p>
            <w:pPr>
              <w:pStyle w:val="TableParagraph"/>
              <w:spacing w:line="242" w:lineRule="auto"/>
              <w:ind w:left="129" w:right="84"/>
              <w:jc w:val="center"/>
              <w:rPr>
                <w:sz w:val="21"/>
              </w:rPr>
            </w:pPr>
            <w:r>
              <w:rPr>
                <w:w w:val="95"/>
                <w:sz w:val="21"/>
              </w:rPr>
              <w:t>新增工业废水直排建设项目（槽罐车外送污水处理厂的除外）；新增</w:t>
            </w:r>
          </w:p>
          <w:p>
            <w:pPr>
              <w:pStyle w:val="TableParagraph"/>
              <w:spacing w:line="244" w:lineRule="exact"/>
              <w:ind w:left="125" w:right="84"/>
              <w:jc w:val="center"/>
              <w:rPr>
                <w:sz w:val="21"/>
              </w:rPr>
            </w:pPr>
            <w:r>
              <w:rPr>
                <w:sz w:val="21"/>
              </w:rPr>
              <w:t>废水直排的污水集中处理厂</w:t>
            </w:r>
          </w:p>
        </w:tc>
        <w:tc>
          <w:tcPr>
            <w:tcW w:w="2978" w:type="dxa"/>
            <w:tcBorders>
              <w:top w:val="single" w:sz="4" w:space="0" w:color="000000"/>
              <w:left w:val="single" w:sz="4" w:space="0" w:color="000000"/>
              <w:bottom w:val="single" w:sz="12" w:space="0" w:color="000000"/>
              <w:right w:val="single" w:sz="4" w:space="0" w:color="000000"/>
            </w:tcBorders>
          </w:tcPr>
          <w:p>
            <w:pPr>
              <w:pStyle w:val="TableParagraph"/>
              <w:spacing w:line="242" w:lineRule="auto"/>
              <w:ind w:left="141" w:right="95"/>
              <w:jc w:val="center"/>
              <w:rPr>
                <w:sz w:val="21"/>
              </w:rPr>
            </w:pPr>
            <w:r>
              <w:rPr>
                <w:w w:val="95"/>
                <w:sz w:val="21"/>
              </w:rPr>
              <w:t>本项目不涉及直排废水，因此本次评价无需设置地表水专项</w:t>
            </w:r>
          </w:p>
          <w:p>
            <w:pPr>
              <w:pStyle w:val="TableParagraph"/>
              <w:spacing w:line="244" w:lineRule="exact"/>
              <w:ind w:left="141" w:right="95"/>
              <w:jc w:val="center"/>
              <w:rPr>
                <w:sz w:val="21"/>
              </w:rPr>
            </w:pPr>
            <w:r>
              <w:rPr>
                <w:sz w:val="21"/>
              </w:rPr>
              <w:t>评价</w:t>
            </w:r>
          </w:p>
        </w:tc>
        <w:tc>
          <w:tcPr>
            <w:tcW w:w="232" w:type="dxa"/>
            <w:vMerge/>
            <w:tcBorders>
              <w:top w:val="nil"/>
              <w:left w:val="single" w:sz="4" w:space="0" w:color="000000"/>
            </w:tcBorders>
          </w:tcPr>
          <w:p>
            <w:pPr>
              <w:rPr>
                <w:sz w:val="2"/>
                <w:szCs w:val="2"/>
              </w:rPr>
            </w:pPr>
          </w:p>
        </w:tc>
      </w:tr>
    </w:tbl>
    <w:p>
      <w:pPr>
        <w:spacing w:after="0"/>
        <w:rPr>
          <w:sz w:val="2"/>
          <w:szCs w:val="2"/>
        </w:rPr>
        <w:sectPr>
          <w:footerReference w:type="default" r:id="rId5"/>
          <w:pgSz w:w="11910" w:h="16840"/>
          <w:pgMar w:top="1380" w:right="1119" w:bottom="1120" w:left="1120" w:header="0" w:footer="939" w:gutter="0"/>
          <w:pgNumType w:start="1"/>
          <w:cols w:num="1" w:space="720"/>
        </w:sect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113"/>
        <w:gridCol w:w="1170"/>
        <w:gridCol w:w="3402"/>
        <w:gridCol w:w="2952"/>
        <w:gridCol w:w="233"/>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40"/>
        </w:trPr>
        <w:tc>
          <w:tcPr>
            <w:tcW w:w="1168" w:type="dxa"/>
            <w:vMerge w:val="restart"/>
          </w:tcPr>
          <w:p>
            <w:pPr>
              <w:pStyle w:val="TableParagraph"/>
              <w:rPr>
                <w:rFonts w:ascii="Times New Roman"/>
                <w:sz w:val="22"/>
              </w:rPr>
            </w:pPr>
          </w:p>
        </w:tc>
        <w:tc>
          <w:tcPr>
            <w:tcW w:w="113" w:type="dxa"/>
            <w:vMerge w:val="restart"/>
            <w:tcBorders>
              <w:bottom w:val="nil"/>
              <w:right w:val="single" w:sz="4" w:space="0" w:color="000000"/>
            </w:tcBorders>
          </w:tcPr>
          <w:p>
            <w:pPr>
              <w:pStyle w:val="TableParagraph"/>
              <w:rPr>
                <w:rFonts w:ascii="Times New Roman"/>
                <w:sz w:val="22"/>
              </w:rPr>
            </w:pPr>
          </w:p>
        </w:tc>
        <w:tc>
          <w:tcPr>
            <w:tcW w:w="1170" w:type="dxa"/>
            <w:tcBorders>
              <w:top w:val="single" w:sz="12" w:space="0" w:color="000000"/>
              <w:left w:val="single" w:sz="4" w:space="0" w:color="000000"/>
              <w:bottom w:val="single" w:sz="4" w:space="0" w:color="000000"/>
              <w:right w:val="single" w:sz="4" w:space="0" w:color="000000"/>
            </w:tcBorders>
          </w:tcPr>
          <w:p>
            <w:pPr>
              <w:pStyle w:val="TableParagraph"/>
              <w:spacing w:before="1"/>
              <w:ind w:left="148" w:right="129"/>
              <w:jc w:val="center"/>
              <w:rPr>
                <w:sz w:val="21"/>
              </w:rPr>
            </w:pPr>
            <w:r>
              <w:rPr>
                <w:sz w:val="21"/>
              </w:rPr>
              <w:t>环境风</w:t>
            </w:r>
          </w:p>
          <w:p>
            <w:pPr>
              <w:pStyle w:val="TableParagraph"/>
              <w:spacing w:before="2" w:line="248" w:lineRule="exact"/>
              <w:ind w:left="17"/>
              <w:jc w:val="center"/>
              <w:rPr>
                <w:sz w:val="21"/>
              </w:rPr>
            </w:pPr>
            <w:r>
              <w:rPr>
                <w:w w:val="99"/>
                <w:sz w:val="21"/>
              </w:rPr>
              <w:t>险</w:t>
            </w:r>
          </w:p>
        </w:tc>
        <w:tc>
          <w:tcPr>
            <w:tcW w:w="3402" w:type="dxa"/>
            <w:tcBorders>
              <w:top w:val="single" w:sz="12" w:space="0" w:color="000000"/>
              <w:left w:val="single" w:sz="4" w:space="0" w:color="000000"/>
              <w:bottom w:val="single" w:sz="4" w:space="0" w:color="000000"/>
              <w:right w:val="single" w:sz="4" w:space="0" w:color="000000"/>
            </w:tcBorders>
          </w:tcPr>
          <w:p>
            <w:pPr>
              <w:pStyle w:val="TableParagraph"/>
              <w:spacing w:before="1"/>
              <w:ind w:left="109" w:right="93"/>
              <w:jc w:val="center"/>
              <w:rPr>
                <w:sz w:val="21"/>
              </w:rPr>
            </w:pPr>
            <w:r>
              <w:rPr>
                <w:sz w:val="21"/>
              </w:rPr>
              <w:t>有毒有害和易燃易爆危险物质存储</w:t>
            </w:r>
          </w:p>
          <w:p>
            <w:pPr>
              <w:pStyle w:val="TableParagraph"/>
              <w:spacing w:before="2" w:line="248" w:lineRule="exact"/>
              <w:ind w:left="109" w:right="93"/>
              <w:jc w:val="center"/>
              <w:rPr>
                <w:sz w:val="21"/>
              </w:rPr>
            </w:pPr>
            <w:r>
              <w:rPr>
                <w:sz w:val="21"/>
              </w:rPr>
              <w:t>量超过临界量的建设项目</w:t>
            </w:r>
          </w:p>
        </w:tc>
        <w:tc>
          <w:tcPr>
            <w:tcW w:w="2952" w:type="dxa"/>
            <w:tcBorders>
              <w:top w:val="single" w:sz="12" w:space="0" w:color="000000"/>
              <w:left w:val="single" w:sz="4" w:space="0" w:color="000000"/>
              <w:bottom w:val="single" w:sz="4" w:space="0" w:color="000000"/>
              <w:right w:val="single" w:sz="4" w:space="0" w:color="000000"/>
            </w:tcBorders>
          </w:tcPr>
          <w:p>
            <w:pPr>
              <w:pStyle w:val="TableParagraph"/>
              <w:spacing w:before="1"/>
              <w:ind w:left="123"/>
              <w:rPr>
                <w:sz w:val="21"/>
              </w:rPr>
            </w:pPr>
            <w:r>
              <w:rPr>
                <w:spacing w:val="-20"/>
                <w:sz w:val="21"/>
              </w:rPr>
              <w:t xml:space="preserve">项目 </w:t>
            </w:r>
            <w:r>
              <w:rPr>
                <w:rFonts w:ascii="Times New Roman" w:eastAsia="Times New Roman"/>
                <w:sz w:val="21"/>
              </w:rPr>
              <w:t>Q</w:t>
            </w:r>
            <w:r>
              <w:rPr>
                <w:rFonts w:ascii="Times New Roman" w:eastAsia="Times New Roman"/>
                <w:spacing w:val="-13"/>
                <w:sz w:val="21"/>
              </w:rPr>
              <w:t xml:space="preserve"> </w:t>
            </w:r>
            <w:r>
              <w:rPr>
                <w:spacing w:val="-15"/>
                <w:sz w:val="21"/>
              </w:rPr>
              <w:t xml:space="preserve">值小于 </w:t>
            </w:r>
            <w:r>
              <w:rPr>
                <w:rFonts w:ascii="Times New Roman" w:eastAsia="Times New Roman"/>
                <w:sz w:val="21"/>
              </w:rPr>
              <w:t>1</w:t>
            </w:r>
            <w:r>
              <w:rPr>
                <w:sz w:val="21"/>
              </w:rPr>
              <w:t>，因此本次评</w:t>
            </w:r>
          </w:p>
          <w:p>
            <w:pPr>
              <w:pStyle w:val="TableParagraph"/>
              <w:spacing w:before="2" w:line="248" w:lineRule="exact"/>
              <w:ind w:left="114"/>
              <w:rPr>
                <w:sz w:val="21"/>
              </w:rPr>
            </w:pPr>
            <w:r>
              <w:rPr>
                <w:w w:val="95"/>
                <w:sz w:val="21"/>
              </w:rPr>
              <w:t>价无需设置环境风险专项评价</w:t>
            </w:r>
          </w:p>
        </w:tc>
        <w:tc>
          <w:tcPr>
            <w:tcW w:w="233" w:type="dxa"/>
            <w:vMerge w:val="restart"/>
            <w:tcBorders>
              <w:left w:val="single" w:sz="4" w:space="0" w:color="000000"/>
              <w:bottom w:val="nil"/>
            </w:tcBorders>
          </w:tcPr>
          <w:p>
            <w:pPr>
              <w:pStyle w:val="TableParagraph"/>
              <w:rPr>
                <w:rFonts w:ascii="Times New Roman"/>
                <w:sz w:val="22"/>
              </w:rPr>
            </w:pPr>
          </w:p>
        </w:tc>
      </w:tr>
      <w:tr>
        <w:tblPrEx>
          <w:tblW w:w="0" w:type="auto"/>
          <w:tblInd w:w="324" w:type="dxa"/>
          <w:tblLayout w:type="fixed"/>
          <w:tblCellMar>
            <w:top w:w="0" w:type="dxa"/>
            <w:left w:w="0" w:type="dxa"/>
            <w:bottom w:w="0" w:type="dxa"/>
            <w:right w:w="0" w:type="dxa"/>
          </w:tblCellMar>
        </w:tblPrEx>
        <w:trPr>
          <w:trHeight w:val="1078"/>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170"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47"/>
              <w:ind w:left="146" w:right="132"/>
              <w:jc w:val="center"/>
              <w:rPr>
                <w:sz w:val="21"/>
              </w:rPr>
            </w:pPr>
            <w:r>
              <w:rPr>
                <w:sz w:val="21"/>
              </w:rPr>
              <w:t>生态</w:t>
            </w:r>
          </w:p>
        </w:tc>
        <w:tc>
          <w:tcPr>
            <w:tcW w:w="340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30" w:right="111" w:firstLine="4"/>
              <w:jc w:val="both"/>
              <w:rPr>
                <w:sz w:val="21"/>
              </w:rPr>
            </w:pPr>
            <w:r>
              <w:rPr>
                <w:spacing w:val="-10"/>
                <w:sz w:val="21"/>
              </w:rPr>
              <w:t xml:space="preserve">取水口下游 </w:t>
            </w:r>
            <w:r>
              <w:rPr>
                <w:rFonts w:ascii="Times New Roman" w:eastAsia="Times New Roman"/>
                <w:sz w:val="21"/>
              </w:rPr>
              <w:t xml:space="preserve">500 </w:t>
            </w:r>
            <w:r>
              <w:rPr>
                <w:sz w:val="21"/>
              </w:rPr>
              <w:t>米范围内有重要水</w:t>
            </w:r>
            <w:r>
              <w:rPr>
                <w:spacing w:val="-1"/>
                <w:sz w:val="21"/>
              </w:rPr>
              <w:t>生生物的自然产卵场、索饵场、越冬场和洄游通道的新增河道取水的</w:t>
            </w:r>
          </w:p>
          <w:p>
            <w:pPr>
              <w:pStyle w:val="TableParagraph"/>
              <w:spacing w:line="247" w:lineRule="exact"/>
              <w:ind w:left="970"/>
              <w:rPr>
                <w:sz w:val="21"/>
              </w:rPr>
            </w:pPr>
            <w:r>
              <w:rPr>
                <w:sz w:val="21"/>
              </w:rPr>
              <w:t>污染类建设项目</w:t>
            </w:r>
          </w:p>
        </w:tc>
        <w:tc>
          <w:tcPr>
            <w:tcW w:w="2952" w:type="dxa"/>
            <w:tcBorders>
              <w:top w:val="single" w:sz="4" w:space="0" w:color="000000"/>
              <w:left w:val="single" w:sz="4" w:space="0" w:color="000000"/>
              <w:bottom w:val="single" w:sz="4" w:space="0" w:color="000000"/>
              <w:right w:val="single" w:sz="4" w:space="0" w:color="000000"/>
            </w:tcBorders>
          </w:tcPr>
          <w:p>
            <w:pPr>
              <w:pStyle w:val="TableParagraph"/>
              <w:spacing w:before="130" w:line="242" w:lineRule="auto"/>
              <w:ind w:left="114" w:right="96"/>
              <w:jc w:val="center"/>
              <w:rPr>
                <w:sz w:val="21"/>
              </w:rPr>
            </w:pPr>
            <w:r>
              <w:rPr>
                <w:w w:val="95"/>
                <w:sz w:val="21"/>
              </w:rPr>
              <w:t>本项目不涉及直接取水，因此本次评价无需设置生态专项评</w:t>
            </w:r>
            <w:r>
              <w:rPr>
                <w:sz w:val="21"/>
              </w:rPr>
              <w:t>价</w:t>
            </w:r>
          </w:p>
        </w:tc>
        <w:tc>
          <w:tcPr>
            <w:tcW w:w="233" w:type="dxa"/>
            <w:vMerge/>
            <w:tcBorders>
              <w:top w:val="nil"/>
              <w:left w:val="single" w:sz="4" w:space="0" w:color="000000"/>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807"/>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170" w:type="dxa"/>
            <w:tcBorders>
              <w:top w:val="single" w:sz="4" w:space="0" w:color="000000"/>
              <w:left w:val="single" w:sz="4" w:space="0" w:color="000000"/>
              <w:bottom w:val="single" w:sz="4" w:space="0" w:color="000000"/>
              <w:right w:val="single" w:sz="4" w:space="0" w:color="000000"/>
            </w:tcBorders>
          </w:tcPr>
          <w:p>
            <w:pPr>
              <w:pStyle w:val="TableParagraph"/>
              <w:spacing w:before="10"/>
              <w:rPr>
                <w:b/>
                <w:sz w:val="20"/>
              </w:rPr>
            </w:pPr>
          </w:p>
          <w:p>
            <w:pPr>
              <w:pStyle w:val="TableParagraph"/>
              <w:ind w:left="146" w:right="132"/>
              <w:jc w:val="center"/>
              <w:rPr>
                <w:sz w:val="21"/>
              </w:rPr>
            </w:pPr>
            <w:r>
              <w:rPr>
                <w:sz w:val="21"/>
              </w:rPr>
              <w:t>海洋</w:t>
            </w:r>
          </w:p>
        </w:tc>
        <w:tc>
          <w:tcPr>
            <w:tcW w:w="3402" w:type="dxa"/>
            <w:tcBorders>
              <w:top w:val="single" w:sz="4" w:space="0" w:color="000000"/>
              <w:left w:val="single" w:sz="4" w:space="0" w:color="000000"/>
              <w:bottom w:val="single" w:sz="4" w:space="0" w:color="000000"/>
              <w:right w:val="single" w:sz="4" w:space="0" w:color="000000"/>
            </w:tcBorders>
          </w:tcPr>
          <w:p>
            <w:pPr>
              <w:pStyle w:val="TableParagraph"/>
              <w:spacing w:before="132" w:line="242" w:lineRule="auto"/>
              <w:ind w:left="1389" w:right="111" w:hanging="1260"/>
              <w:rPr>
                <w:sz w:val="21"/>
              </w:rPr>
            </w:pPr>
            <w:r>
              <w:rPr>
                <w:sz w:val="21"/>
              </w:rPr>
              <w:t>直接向海排放污染物的海洋工程建设项目</w:t>
            </w:r>
          </w:p>
        </w:tc>
        <w:tc>
          <w:tcPr>
            <w:tcW w:w="295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4" w:right="96"/>
              <w:jc w:val="center"/>
              <w:rPr>
                <w:sz w:val="21"/>
              </w:rPr>
            </w:pPr>
            <w:r>
              <w:rPr>
                <w:w w:val="95"/>
                <w:sz w:val="21"/>
              </w:rPr>
              <w:t>本项目不涉及直接向海排放污染物，因此本次评价无需设置</w:t>
            </w:r>
          </w:p>
          <w:p>
            <w:pPr>
              <w:pStyle w:val="TableParagraph"/>
              <w:spacing w:line="246" w:lineRule="exact"/>
              <w:ind w:left="114" w:right="96"/>
              <w:jc w:val="center"/>
              <w:rPr>
                <w:sz w:val="21"/>
              </w:rPr>
            </w:pPr>
            <w:r>
              <w:rPr>
                <w:sz w:val="21"/>
              </w:rPr>
              <w:t>海洋专项评价</w:t>
            </w:r>
          </w:p>
        </w:tc>
        <w:tc>
          <w:tcPr>
            <w:tcW w:w="233" w:type="dxa"/>
            <w:vMerge/>
            <w:tcBorders>
              <w:top w:val="nil"/>
              <w:left w:val="single" w:sz="4" w:space="0" w:color="000000"/>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897"/>
        </w:trPr>
        <w:tc>
          <w:tcPr>
            <w:tcW w:w="1168" w:type="dxa"/>
            <w:vMerge/>
            <w:tcBorders>
              <w:top w:val="nil"/>
            </w:tcBorders>
          </w:tcPr>
          <w:p>
            <w:pPr>
              <w:rPr>
                <w:sz w:val="2"/>
                <w:szCs w:val="2"/>
              </w:rPr>
            </w:pPr>
          </w:p>
        </w:tc>
        <w:tc>
          <w:tcPr>
            <w:tcW w:w="7870" w:type="dxa"/>
            <w:gridSpan w:val="5"/>
            <w:tcBorders>
              <w:top w:val="nil"/>
            </w:tcBorders>
          </w:tcPr>
          <w:p>
            <w:pPr>
              <w:pStyle w:val="TableParagraph"/>
              <w:spacing w:before="112"/>
              <w:ind w:left="527"/>
              <w:rPr>
                <w:b/>
                <w:sz w:val="21"/>
              </w:rPr>
            </w:pPr>
            <w:r>
              <w:rPr>
                <w:b/>
                <w:sz w:val="21"/>
              </w:rPr>
              <w:t>注：</w:t>
            </w:r>
            <w:r>
              <w:rPr>
                <w:rFonts w:ascii="Times New Roman" w:eastAsia="Times New Roman"/>
                <w:b/>
                <w:sz w:val="21"/>
              </w:rPr>
              <w:t>1.</w:t>
            </w:r>
            <w:r>
              <w:rPr>
                <w:b/>
                <w:sz w:val="21"/>
              </w:rPr>
              <w:t>废气中有毒有害污染物指纳入《有毒有害大气污染物名录》的污染物</w:t>
            </w:r>
          </w:p>
          <w:p>
            <w:pPr>
              <w:pStyle w:val="TableParagraph"/>
              <w:spacing w:before="139"/>
              <w:ind w:left="107"/>
              <w:rPr>
                <w:b/>
                <w:sz w:val="21"/>
              </w:rPr>
            </w:pPr>
            <w:r>
              <w:rPr>
                <w:b/>
                <w:sz w:val="21"/>
              </w:rPr>
              <w:t>（不包括无排放标准的污染物）。</w:t>
            </w:r>
          </w:p>
          <w:p>
            <w:pPr>
              <w:pStyle w:val="TableParagraph"/>
              <w:numPr>
                <w:ilvl w:val="0"/>
                <w:numId w:val="22"/>
              </w:numPr>
              <w:tabs>
                <w:tab w:val="left" w:pos="688"/>
              </w:tabs>
              <w:spacing w:before="139" w:after="0" w:line="364" w:lineRule="auto"/>
              <w:ind w:left="107" w:right="89" w:firstLine="420"/>
              <w:jc w:val="left"/>
              <w:rPr>
                <w:b/>
                <w:sz w:val="21"/>
              </w:rPr>
            </w:pPr>
            <w:r>
              <w:rPr>
                <w:b/>
                <w:spacing w:val="3"/>
                <w:w w:val="95"/>
                <w:sz w:val="21"/>
              </w:rPr>
              <w:t xml:space="preserve">环境空气保护目标指自然保护区、风景名胜区、居住区、文化区和农村地区 </w:t>
            </w:r>
            <w:r>
              <w:rPr>
                <w:b/>
                <w:spacing w:val="3"/>
                <w:sz w:val="21"/>
              </w:rPr>
              <w:t>中人群较集中的区域。</w:t>
            </w:r>
          </w:p>
          <w:p>
            <w:pPr>
              <w:pStyle w:val="TableParagraph"/>
              <w:numPr>
                <w:ilvl w:val="0"/>
                <w:numId w:val="22"/>
              </w:numPr>
              <w:tabs>
                <w:tab w:val="left" w:pos="696"/>
              </w:tabs>
              <w:spacing w:before="0" w:after="0" w:line="267" w:lineRule="exact"/>
              <w:ind w:left="695" w:right="0" w:hanging="169"/>
              <w:jc w:val="left"/>
              <w:rPr>
                <w:rFonts w:ascii="Times New Roman" w:eastAsia="Times New Roman"/>
                <w:b/>
                <w:sz w:val="21"/>
              </w:rPr>
            </w:pPr>
            <w:r>
              <w:rPr>
                <w:b/>
                <w:spacing w:val="11"/>
                <w:sz w:val="21"/>
              </w:rPr>
              <w:t>临界量及其计算方法可参考《建设项目环境风险评价技术导则》</w:t>
            </w:r>
            <w:r>
              <w:rPr>
                <w:b/>
                <w:sz w:val="21"/>
              </w:rPr>
              <w:t>（</w:t>
            </w:r>
            <w:r>
              <w:rPr>
                <w:rFonts w:ascii="Times New Roman" w:eastAsia="Times New Roman"/>
                <w:b/>
                <w:sz w:val="21"/>
              </w:rPr>
              <w:t>HJ169-</w:t>
            </w:r>
          </w:p>
          <w:p>
            <w:pPr>
              <w:pStyle w:val="TableParagraph"/>
              <w:spacing w:before="139"/>
              <w:ind w:left="107"/>
              <w:rPr>
                <w:b/>
                <w:sz w:val="21"/>
              </w:rPr>
            </w:pPr>
            <w:r>
              <w:rPr>
                <w:rFonts w:ascii="Times New Roman" w:eastAsia="Times New Roman"/>
                <w:b/>
                <w:sz w:val="21"/>
              </w:rPr>
              <w:t>2018</w:t>
            </w:r>
            <w:r>
              <w:rPr>
                <w:b/>
                <w:sz w:val="21"/>
              </w:rPr>
              <w:t xml:space="preserve">）附录 </w:t>
            </w:r>
            <w:r>
              <w:rPr>
                <w:rFonts w:ascii="Times New Roman" w:eastAsia="Times New Roman"/>
                <w:b/>
                <w:sz w:val="21"/>
              </w:rPr>
              <w:t>B</w:t>
            </w:r>
            <w:r>
              <w:rPr>
                <w:b/>
                <w:sz w:val="21"/>
              </w:rPr>
              <w:t xml:space="preserve">、附录 </w:t>
            </w:r>
            <w:r>
              <w:rPr>
                <w:rFonts w:ascii="Times New Roman" w:eastAsia="Times New Roman"/>
                <w:b/>
                <w:sz w:val="21"/>
              </w:rPr>
              <w:t>C</w:t>
            </w:r>
            <w:r>
              <w:rPr>
                <w:b/>
                <w:sz w:val="21"/>
              </w:rPr>
              <w:t>。</w:t>
            </w:r>
          </w:p>
          <w:p>
            <w:pPr>
              <w:pStyle w:val="TableParagraph"/>
              <w:spacing w:before="142"/>
              <w:ind w:left="587"/>
              <w:rPr>
                <w:sz w:val="24"/>
              </w:rPr>
            </w:pPr>
            <w:r>
              <w:rPr>
                <w:sz w:val="24"/>
              </w:rPr>
              <w:t>综上，本项目无需设置专项评价。</w:t>
            </w:r>
          </w:p>
        </w:tc>
      </w:tr>
      <w:tr>
        <w:tblPrEx>
          <w:tblW w:w="0" w:type="auto"/>
          <w:tblInd w:w="324" w:type="dxa"/>
          <w:tblLayout w:type="fixed"/>
          <w:tblCellMar>
            <w:top w:w="0" w:type="dxa"/>
            <w:left w:w="0" w:type="dxa"/>
            <w:bottom w:w="0" w:type="dxa"/>
            <w:right w:w="0" w:type="dxa"/>
          </w:tblCellMar>
        </w:tblPrEx>
        <w:trPr>
          <w:trHeight w:val="1401"/>
        </w:trPr>
        <w:tc>
          <w:tcPr>
            <w:tcW w:w="1168" w:type="dxa"/>
          </w:tcPr>
          <w:p>
            <w:pPr>
              <w:pStyle w:val="TableParagraph"/>
              <w:spacing w:before="11"/>
              <w:rPr>
                <w:b/>
                <w:sz w:val="26"/>
              </w:rPr>
            </w:pPr>
          </w:p>
          <w:p>
            <w:pPr>
              <w:pStyle w:val="TableParagraph"/>
              <w:spacing w:line="278" w:lineRule="auto"/>
              <w:ind w:left="344" w:right="323"/>
              <w:rPr>
                <w:sz w:val="24"/>
              </w:rPr>
            </w:pPr>
            <w:r>
              <w:rPr>
                <w:sz w:val="24"/>
              </w:rPr>
              <w:t>规划情况</w:t>
            </w:r>
          </w:p>
        </w:tc>
        <w:tc>
          <w:tcPr>
            <w:tcW w:w="7870" w:type="dxa"/>
            <w:gridSpan w:val="5"/>
          </w:tcPr>
          <w:p>
            <w:pPr>
              <w:pStyle w:val="TableParagraph"/>
              <w:spacing w:before="3" w:line="362" w:lineRule="auto"/>
              <w:ind w:left="107" w:right="300" w:firstLine="480"/>
              <w:rPr>
                <w:sz w:val="24"/>
              </w:rPr>
            </w:pPr>
            <w:r>
              <w:rPr>
                <w:sz w:val="24"/>
              </w:rPr>
              <w:t>审批机关：山东省人民政府审查文件名称：《山东省人民政府关于济南槐荫工业园区等设立为省级开发区的通知》</w:t>
            </w:r>
          </w:p>
          <w:p>
            <w:pPr>
              <w:pStyle w:val="TableParagraph"/>
              <w:spacing w:before="3"/>
              <w:ind w:left="587"/>
              <w:rPr>
                <w:sz w:val="24"/>
              </w:rPr>
            </w:pPr>
            <w:r>
              <w:rPr>
                <w:sz w:val="24"/>
              </w:rPr>
              <w:t>审查文号：鲁政字</w:t>
            </w:r>
            <w:r>
              <w:rPr>
                <w:rFonts w:ascii="Times New Roman" w:eastAsia="Times New Roman"/>
                <w:sz w:val="24"/>
              </w:rPr>
              <w:t xml:space="preserve">[2006]71 </w:t>
            </w:r>
            <w:r>
              <w:rPr>
                <w:sz w:val="24"/>
              </w:rPr>
              <w:t>号</w:t>
            </w:r>
          </w:p>
        </w:tc>
      </w:tr>
      <w:tr>
        <w:tblPrEx>
          <w:tblW w:w="0" w:type="auto"/>
          <w:tblInd w:w="324" w:type="dxa"/>
          <w:tblLayout w:type="fixed"/>
          <w:tblCellMar>
            <w:top w:w="0" w:type="dxa"/>
            <w:left w:w="0" w:type="dxa"/>
            <w:bottom w:w="0" w:type="dxa"/>
            <w:right w:w="0" w:type="dxa"/>
          </w:tblCellMar>
        </w:tblPrEx>
        <w:trPr>
          <w:trHeight w:val="2800"/>
        </w:trPr>
        <w:tc>
          <w:tcPr>
            <w:tcW w:w="1168" w:type="dxa"/>
          </w:tcPr>
          <w:p>
            <w:pPr>
              <w:pStyle w:val="TableParagraph"/>
              <w:rPr>
                <w:b/>
                <w:sz w:val="24"/>
              </w:rPr>
            </w:pPr>
          </w:p>
          <w:p>
            <w:pPr>
              <w:pStyle w:val="TableParagraph"/>
              <w:spacing w:before="5"/>
              <w:rPr>
                <w:b/>
                <w:sz w:val="29"/>
              </w:rPr>
            </w:pPr>
          </w:p>
          <w:p>
            <w:pPr>
              <w:pStyle w:val="TableParagraph"/>
              <w:spacing w:line="278" w:lineRule="auto"/>
              <w:ind w:left="224" w:right="203"/>
              <w:jc w:val="center"/>
              <w:rPr>
                <w:sz w:val="24"/>
              </w:rPr>
            </w:pPr>
            <w:r>
              <w:rPr>
                <w:sz w:val="24"/>
              </w:rPr>
              <w:t>规划环境影响评价情况</w:t>
            </w:r>
          </w:p>
        </w:tc>
        <w:tc>
          <w:tcPr>
            <w:tcW w:w="7870" w:type="dxa"/>
            <w:gridSpan w:val="5"/>
          </w:tcPr>
          <w:p>
            <w:pPr>
              <w:pStyle w:val="TableParagraph"/>
              <w:spacing w:line="362" w:lineRule="auto"/>
              <w:ind w:left="107" w:right="300" w:firstLine="480"/>
              <w:rPr>
                <w:sz w:val="24"/>
              </w:rPr>
            </w:pPr>
            <w:r>
              <w:rPr>
                <w:sz w:val="24"/>
              </w:rPr>
              <w:t>文件名称：《山东宁津经济开发区环境影响报告书》，《山东宁津经济开发区环境影响跟踪评价报告书》；</w:t>
            </w:r>
          </w:p>
          <w:p>
            <w:pPr>
              <w:pStyle w:val="TableParagraph"/>
              <w:spacing w:before="5"/>
              <w:ind w:left="587"/>
              <w:rPr>
                <w:sz w:val="24"/>
              </w:rPr>
            </w:pPr>
            <w:r>
              <w:rPr>
                <w:sz w:val="24"/>
              </w:rPr>
              <w:t>审查机关：山东省生态环境厅（原山东省环境保护厅）</w:t>
            </w:r>
          </w:p>
          <w:p>
            <w:pPr>
              <w:pStyle w:val="TableParagraph"/>
              <w:spacing w:before="161" w:line="362" w:lineRule="auto"/>
              <w:ind w:left="107" w:right="221" w:firstLine="480"/>
              <w:rPr>
                <w:sz w:val="24"/>
              </w:rPr>
            </w:pPr>
            <w:r>
              <w:rPr>
                <w:sz w:val="24"/>
              </w:rPr>
              <w:t>审查文件名称及文号：《关于山东宁津经济开发区环境影响报告书的审查意见》（鲁环审</w:t>
            </w:r>
            <w:r>
              <w:rPr>
                <w:rFonts w:ascii="Times New Roman" w:eastAsia="Times New Roman"/>
                <w:sz w:val="24"/>
              </w:rPr>
              <w:t>[200919</w:t>
            </w:r>
            <w:r>
              <w:rPr>
                <w:sz w:val="24"/>
              </w:rPr>
              <w:t>号），《山东宁津经济开发区环境影响跟</w:t>
            </w:r>
          </w:p>
          <w:p>
            <w:pPr>
              <w:pStyle w:val="TableParagraph"/>
              <w:spacing w:before="5"/>
              <w:ind w:left="107"/>
              <w:rPr>
                <w:sz w:val="24"/>
              </w:rPr>
            </w:pPr>
            <w:r>
              <w:rPr>
                <w:sz w:val="24"/>
              </w:rPr>
              <w:t>踪评价报告书审查小组意见》。</w:t>
            </w:r>
          </w:p>
        </w:tc>
      </w:tr>
      <w:tr>
        <w:tblPrEx>
          <w:tblW w:w="0" w:type="auto"/>
          <w:tblInd w:w="324" w:type="dxa"/>
          <w:tblLayout w:type="fixed"/>
          <w:tblCellMar>
            <w:top w:w="0" w:type="dxa"/>
            <w:left w:w="0" w:type="dxa"/>
            <w:bottom w:w="0" w:type="dxa"/>
            <w:right w:w="0" w:type="dxa"/>
          </w:tblCellMar>
        </w:tblPrEx>
        <w:trPr>
          <w:trHeight w:val="4200"/>
        </w:trPr>
        <w:tc>
          <w:tcPr>
            <w:tcW w:w="1168" w:type="dxa"/>
          </w:tcPr>
          <w:p>
            <w:pPr>
              <w:pStyle w:val="TableParagraph"/>
              <w:rPr>
                <w:b/>
                <w:sz w:val="24"/>
              </w:rPr>
            </w:pPr>
          </w:p>
          <w:p>
            <w:pPr>
              <w:pStyle w:val="TableParagraph"/>
              <w:rPr>
                <w:b/>
                <w:sz w:val="24"/>
              </w:rPr>
            </w:pPr>
          </w:p>
          <w:p>
            <w:pPr>
              <w:pStyle w:val="TableParagraph"/>
              <w:spacing w:before="4"/>
              <w:rPr>
                <w:b/>
                <w:sz w:val="32"/>
              </w:rPr>
            </w:pPr>
          </w:p>
          <w:p>
            <w:pPr>
              <w:pStyle w:val="TableParagraph"/>
              <w:spacing w:line="278" w:lineRule="auto"/>
              <w:ind w:left="224" w:right="203"/>
              <w:jc w:val="center"/>
              <w:rPr>
                <w:sz w:val="24"/>
              </w:rPr>
            </w:pPr>
            <w:r>
              <w:rPr>
                <w:sz w:val="24"/>
              </w:rPr>
              <w:t>规划及规划环境影响评价符合性分析</w:t>
            </w:r>
          </w:p>
        </w:tc>
        <w:tc>
          <w:tcPr>
            <w:tcW w:w="7870" w:type="dxa"/>
            <w:gridSpan w:val="5"/>
          </w:tcPr>
          <w:p>
            <w:pPr>
              <w:pStyle w:val="TableParagraph"/>
              <w:spacing w:before="2"/>
              <w:ind w:left="587"/>
              <w:rPr>
                <w:sz w:val="24"/>
              </w:rPr>
            </w:pPr>
            <w:r>
              <w:rPr>
                <w:rFonts w:ascii="Times New Roman" w:eastAsia="Times New Roman"/>
                <w:sz w:val="24"/>
              </w:rPr>
              <w:t>1</w:t>
            </w:r>
            <w:r>
              <w:rPr>
                <w:sz w:val="24"/>
              </w:rPr>
              <w:t>、宁津县城市总体规划符合性分析</w:t>
            </w:r>
          </w:p>
          <w:p>
            <w:pPr>
              <w:pStyle w:val="TableParagraph"/>
              <w:spacing w:before="158" w:line="364" w:lineRule="auto"/>
              <w:ind w:left="107" w:right="87" w:firstLine="480"/>
              <w:rPr>
                <w:sz w:val="24"/>
              </w:rPr>
            </w:pPr>
            <w:r>
              <w:rPr>
                <w:sz w:val="24"/>
              </w:rPr>
              <w:t>根据《宁津县城市总体规划（</w:t>
            </w:r>
            <w:r>
              <w:rPr>
                <w:rFonts w:ascii="Times New Roman" w:eastAsia="Times New Roman"/>
                <w:sz w:val="24"/>
              </w:rPr>
              <w:t>2011-2030</w:t>
            </w:r>
            <w:r>
              <w:rPr>
                <w:sz w:val="24"/>
              </w:rPr>
              <w:t>年）》（见附图</w:t>
            </w:r>
            <w:r>
              <w:rPr>
                <w:rFonts w:ascii="Times New Roman" w:eastAsia="Times New Roman"/>
                <w:sz w:val="24"/>
              </w:rPr>
              <w:t>4</w:t>
            </w:r>
            <w:r>
              <w:rPr>
                <w:sz w:val="24"/>
              </w:rPr>
              <w:t>），项目所在地块规划为工业用地，符合宁津县城市总体规划（</w:t>
            </w:r>
            <w:r>
              <w:rPr>
                <w:rFonts w:ascii="Times New Roman" w:eastAsia="Times New Roman"/>
                <w:sz w:val="24"/>
              </w:rPr>
              <w:t>2011-2030</w:t>
            </w:r>
            <w:r>
              <w:rPr>
                <w:sz w:val="24"/>
              </w:rPr>
              <w:t>年）。</w:t>
            </w:r>
          </w:p>
          <w:p>
            <w:pPr>
              <w:pStyle w:val="TableParagraph"/>
              <w:spacing w:line="306" w:lineRule="exact"/>
              <w:ind w:left="587"/>
              <w:rPr>
                <w:sz w:val="24"/>
              </w:rPr>
            </w:pPr>
            <w:r>
              <w:rPr>
                <w:rFonts w:ascii="Times New Roman" w:eastAsia="Times New Roman"/>
                <w:sz w:val="24"/>
              </w:rPr>
              <w:t>2</w:t>
            </w:r>
            <w:r>
              <w:rPr>
                <w:sz w:val="24"/>
              </w:rPr>
              <w:t>、山东宁津经济开发区环境影响报告书审查意见符合性分析</w:t>
            </w:r>
          </w:p>
          <w:p>
            <w:pPr>
              <w:pStyle w:val="TableParagraph"/>
              <w:spacing w:before="160" w:line="364" w:lineRule="auto"/>
              <w:ind w:left="107" w:right="87" w:firstLine="480"/>
              <w:jc w:val="both"/>
              <w:rPr>
                <w:sz w:val="24"/>
              </w:rPr>
            </w:pPr>
            <w:r>
              <w:rPr>
                <w:spacing w:val="7"/>
                <w:sz w:val="24"/>
              </w:rPr>
              <w:t>根据《关于山东宁津经济开发区环境影响报告书的审查意见》（</w:t>
            </w:r>
            <w:r>
              <w:rPr>
                <w:spacing w:val="-10"/>
                <w:sz w:val="24"/>
              </w:rPr>
              <w:t>鲁</w:t>
            </w:r>
            <w:r>
              <w:rPr>
                <w:spacing w:val="5"/>
                <w:sz w:val="24"/>
              </w:rPr>
              <w:t>环审</w:t>
            </w:r>
            <w:r>
              <w:rPr>
                <w:rFonts w:ascii="Times New Roman" w:eastAsia="Times New Roman"/>
                <w:sz w:val="24"/>
              </w:rPr>
              <w:t>[2009]9</w:t>
            </w:r>
            <w:r>
              <w:rPr>
                <w:spacing w:val="7"/>
                <w:sz w:val="24"/>
              </w:rPr>
              <w:t>号</w:t>
            </w:r>
            <w:r>
              <w:rPr>
                <w:spacing w:val="5"/>
                <w:sz w:val="24"/>
              </w:rPr>
              <w:t>）</w:t>
            </w:r>
            <w:r>
              <w:rPr>
                <w:spacing w:val="3"/>
                <w:sz w:val="24"/>
              </w:rPr>
              <w:t>，省政府批复的开发区主导产业为家具、生物技术和机</w:t>
            </w:r>
            <w:r>
              <w:rPr>
                <w:spacing w:val="5"/>
                <w:sz w:val="24"/>
              </w:rPr>
              <w:t>电。开发区规划的主导产业在省政府批复的产业定位基础上，适当引进</w:t>
            </w:r>
            <w:r>
              <w:rPr>
                <w:spacing w:val="13"/>
                <w:sz w:val="24"/>
              </w:rPr>
              <w:t>少量其他清洁型、无污染或轻污染的项目，形成机电、家具、生物技</w:t>
            </w:r>
          </w:p>
          <w:p>
            <w:pPr>
              <w:pStyle w:val="TableParagraph"/>
              <w:spacing w:line="305" w:lineRule="exact"/>
              <w:ind w:left="107"/>
              <w:rPr>
                <w:sz w:val="24"/>
              </w:rPr>
            </w:pPr>
            <w:r>
              <w:rPr>
                <w:spacing w:val="5"/>
                <w:sz w:val="24"/>
              </w:rPr>
              <w:t>术、纺织地毯等主导优势产业集群。开发区规划总体布局为“一心、三</w:t>
            </w:r>
          </w:p>
        </w:tc>
      </w:tr>
    </w:tbl>
    <w:p>
      <w:pPr>
        <w:spacing w:after="0" w:line="305" w:lineRule="exact"/>
        <w:rPr>
          <w:sz w:val="24"/>
        </w:rPr>
        <w:sectPr>
          <w:footerReference w:type="default" r:id="rId6"/>
          <w:pgSz w:w="11910" w:h="16840"/>
          <w:pgMar w:top="1420" w:right="1119" w:bottom="1120" w:left="1120" w:header="0" w:footer="939" w:gutter="0"/>
          <w:pgNumType w:start="2"/>
          <w:cols w:num="1" w:space="720"/>
        </w:sect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113"/>
        <w:gridCol w:w="681"/>
        <w:gridCol w:w="3891"/>
        <w:gridCol w:w="2952"/>
        <w:gridCol w:w="233"/>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174"/>
        </w:trPr>
        <w:tc>
          <w:tcPr>
            <w:tcW w:w="1168" w:type="dxa"/>
            <w:vMerge w:val="restart"/>
          </w:tcPr>
          <w:p>
            <w:pPr>
              <w:pStyle w:val="TableParagraph"/>
              <w:rPr>
                <w:rFonts w:ascii="Times New Roman"/>
                <w:sz w:val="20"/>
              </w:rPr>
            </w:pPr>
          </w:p>
        </w:tc>
        <w:tc>
          <w:tcPr>
            <w:tcW w:w="7870" w:type="dxa"/>
            <w:gridSpan w:val="5"/>
            <w:tcBorders>
              <w:bottom w:val="nil"/>
            </w:tcBorders>
          </w:tcPr>
          <w:p>
            <w:pPr>
              <w:pStyle w:val="TableParagraph"/>
              <w:spacing w:before="3" w:line="362" w:lineRule="auto"/>
              <w:ind w:left="107" w:right="87"/>
              <w:rPr>
                <w:sz w:val="24"/>
              </w:rPr>
            </w:pPr>
            <w:r>
              <w:rPr>
                <w:sz w:val="24"/>
              </w:rPr>
              <w:t>区’即围绕位于开发区阳光大街中段的“行政中心”，规划建设“居住区、公共设施区、工业区”三大功能区。</w:t>
            </w:r>
          </w:p>
          <w:p>
            <w:pPr>
              <w:pStyle w:val="TableParagraph"/>
              <w:spacing w:before="2" w:line="364" w:lineRule="auto"/>
              <w:ind w:left="107" w:right="84" w:firstLine="480"/>
              <w:rPr>
                <w:sz w:val="24"/>
              </w:rPr>
            </w:pPr>
            <w:r>
              <w:rPr>
                <w:sz w:val="24"/>
              </w:rPr>
              <w:t>本项目为塑料板材项目，属于轻污染项目，位于山东宁津经济开发区工业区，符合山东宁津经济开发区产业定位及准入条件。</w:t>
            </w:r>
          </w:p>
          <w:p>
            <w:pPr>
              <w:pStyle w:val="TableParagraph"/>
              <w:spacing w:before="1" w:line="284" w:lineRule="exact"/>
              <w:ind w:left="1835"/>
              <w:rPr>
                <w:b/>
                <w:sz w:val="24"/>
              </w:rPr>
            </w:pPr>
            <w:r>
              <w:rPr>
                <w:b/>
                <w:sz w:val="24"/>
              </w:rPr>
              <w:t xml:space="preserve">表 </w:t>
            </w:r>
            <w:r>
              <w:rPr>
                <w:rFonts w:ascii="Times New Roman" w:eastAsia="Times New Roman"/>
                <w:b/>
                <w:sz w:val="24"/>
              </w:rPr>
              <w:t xml:space="preserve">2 </w:t>
            </w:r>
            <w:r>
              <w:rPr>
                <w:b/>
                <w:sz w:val="24"/>
              </w:rPr>
              <w:t>与园区规划环评及审查意见的符合性</w:t>
            </w:r>
          </w:p>
        </w:tc>
      </w:tr>
      <w:tr>
        <w:tblPrEx>
          <w:tblW w:w="0" w:type="auto"/>
          <w:tblInd w:w="324" w:type="dxa"/>
          <w:tblLayout w:type="fixed"/>
          <w:tblCellMar>
            <w:top w:w="0" w:type="dxa"/>
            <w:left w:w="0" w:type="dxa"/>
            <w:bottom w:w="0" w:type="dxa"/>
            <w:right w:w="0" w:type="dxa"/>
          </w:tblCellMar>
        </w:tblPrEx>
        <w:trPr>
          <w:trHeight w:val="387"/>
        </w:trPr>
        <w:tc>
          <w:tcPr>
            <w:tcW w:w="1168"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0"/>
              </w:rPr>
            </w:pPr>
          </w:p>
        </w:tc>
        <w:tc>
          <w:tcPr>
            <w:tcW w:w="681" w:type="dxa"/>
            <w:tcBorders>
              <w:top w:val="single" w:sz="4" w:space="0" w:color="000000"/>
              <w:left w:val="single" w:sz="4" w:space="0" w:color="000000"/>
              <w:bottom w:val="single" w:sz="4" w:space="0" w:color="000000"/>
              <w:right w:val="single" w:sz="4" w:space="0" w:color="000000"/>
            </w:tcBorders>
          </w:tcPr>
          <w:p>
            <w:pPr>
              <w:pStyle w:val="TableParagraph"/>
              <w:spacing w:before="56"/>
              <w:ind w:left="112" w:right="99"/>
              <w:jc w:val="center"/>
              <w:rPr>
                <w:sz w:val="21"/>
              </w:rPr>
            </w:pPr>
            <w:r>
              <w:rPr>
                <w:sz w:val="21"/>
              </w:rPr>
              <w:t>序号</w:t>
            </w:r>
          </w:p>
        </w:tc>
        <w:tc>
          <w:tcPr>
            <w:tcW w:w="3891" w:type="dxa"/>
            <w:tcBorders>
              <w:top w:val="single" w:sz="4" w:space="0" w:color="000000"/>
              <w:left w:val="single" w:sz="4" w:space="0" w:color="000000"/>
              <w:bottom w:val="single" w:sz="4" w:space="0" w:color="000000"/>
              <w:right w:val="single" w:sz="4" w:space="0" w:color="000000"/>
            </w:tcBorders>
          </w:tcPr>
          <w:p>
            <w:pPr>
              <w:pStyle w:val="TableParagraph"/>
              <w:spacing w:before="56"/>
              <w:ind w:left="1507" w:right="1494"/>
              <w:jc w:val="center"/>
              <w:rPr>
                <w:sz w:val="21"/>
              </w:rPr>
            </w:pPr>
            <w:r>
              <w:rPr>
                <w:sz w:val="21"/>
              </w:rPr>
              <w:t>文件要求</w:t>
            </w:r>
          </w:p>
        </w:tc>
        <w:tc>
          <w:tcPr>
            <w:tcW w:w="2952" w:type="dxa"/>
            <w:tcBorders>
              <w:top w:val="single" w:sz="4" w:space="0" w:color="000000"/>
              <w:left w:val="single" w:sz="4" w:space="0" w:color="000000"/>
              <w:bottom w:val="single" w:sz="4" w:space="0" w:color="000000"/>
              <w:right w:val="single" w:sz="4" w:space="0" w:color="000000"/>
            </w:tcBorders>
          </w:tcPr>
          <w:p>
            <w:pPr>
              <w:pStyle w:val="TableParagraph"/>
              <w:spacing w:before="56"/>
              <w:ind w:left="954"/>
              <w:rPr>
                <w:sz w:val="21"/>
              </w:rPr>
            </w:pPr>
            <w:r>
              <w:rPr>
                <w:sz w:val="21"/>
              </w:rPr>
              <w:t>符合性分析</w:t>
            </w:r>
          </w:p>
        </w:tc>
        <w:tc>
          <w:tcPr>
            <w:tcW w:w="233" w:type="dxa"/>
            <w:vMerge w:val="restart"/>
            <w:tcBorders>
              <w:top w:val="nil"/>
              <w:left w:val="single" w:sz="4" w:space="0" w:color="000000"/>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351"/>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81" w:type="dxa"/>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2"/>
              <w:rPr>
                <w:b/>
                <w:sz w:val="21"/>
              </w:rPr>
            </w:pPr>
          </w:p>
          <w:p>
            <w:pPr>
              <w:pStyle w:val="TableParagraph"/>
              <w:spacing w:before="1"/>
              <w:ind w:left="17"/>
              <w:jc w:val="center"/>
              <w:rPr>
                <w:rFonts w:ascii="Times New Roman"/>
                <w:sz w:val="21"/>
              </w:rPr>
            </w:pPr>
            <w:r>
              <w:rPr>
                <w:rFonts w:ascii="Times New Roman"/>
                <w:w w:val="99"/>
                <w:sz w:val="21"/>
              </w:rPr>
              <w:t>1</w:t>
            </w:r>
          </w:p>
        </w:tc>
        <w:tc>
          <w:tcPr>
            <w:tcW w:w="389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97" w:firstLine="420"/>
              <w:rPr>
                <w:sz w:val="21"/>
              </w:rPr>
            </w:pPr>
            <w:r>
              <w:rPr>
                <w:spacing w:val="-1"/>
                <w:sz w:val="21"/>
              </w:rPr>
              <w:t>根据《规划环境影响评价条例》等</w:t>
            </w:r>
            <w:r>
              <w:rPr>
                <w:sz w:val="21"/>
              </w:rPr>
              <w:t xml:space="preserve">有关要求，规划在实施范围、适用期 </w:t>
            </w:r>
            <w:r>
              <w:rPr>
                <w:w w:val="95"/>
                <w:sz w:val="21"/>
              </w:rPr>
              <w:t>限、规模、结构和布局等方面进行重大调整或者修订的，应当重新或补充开展</w:t>
            </w:r>
          </w:p>
          <w:p>
            <w:pPr>
              <w:pStyle w:val="TableParagraph"/>
              <w:spacing w:line="246" w:lineRule="exact"/>
              <w:ind w:left="112"/>
              <w:rPr>
                <w:sz w:val="21"/>
              </w:rPr>
            </w:pPr>
            <w:r>
              <w:rPr>
                <w:sz w:val="21"/>
              </w:rPr>
              <w:t>环境影响评价。</w:t>
            </w:r>
          </w:p>
        </w:tc>
        <w:tc>
          <w:tcPr>
            <w:tcW w:w="2952" w:type="dxa"/>
            <w:tcBorders>
              <w:top w:val="single" w:sz="4" w:space="0" w:color="000000"/>
              <w:left w:val="single" w:sz="4" w:space="0" w:color="000000"/>
              <w:bottom w:val="single" w:sz="4" w:space="0" w:color="000000"/>
              <w:right w:val="single" w:sz="4" w:space="0" w:color="000000"/>
            </w:tcBorders>
          </w:tcPr>
          <w:p>
            <w:pPr>
              <w:pStyle w:val="TableParagraph"/>
              <w:spacing w:before="9"/>
              <w:rPr>
                <w:b/>
                <w:sz w:val="20"/>
              </w:rPr>
            </w:pPr>
          </w:p>
          <w:p>
            <w:pPr>
              <w:pStyle w:val="TableParagraph"/>
              <w:spacing w:before="1" w:line="242" w:lineRule="auto"/>
              <w:ind w:left="112" w:right="99" w:firstLine="420"/>
              <w:rPr>
                <w:sz w:val="21"/>
              </w:rPr>
            </w:pPr>
            <w:r>
              <w:rPr>
                <w:sz w:val="21"/>
              </w:rPr>
              <w:t xml:space="preserve">符合。本项目为新建项 </w:t>
            </w:r>
            <w:r>
              <w:rPr>
                <w:spacing w:val="-1"/>
                <w:sz w:val="21"/>
              </w:rPr>
              <w:t>目，还未进行建设，严格进行</w:t>
            </w:r>
            <w:r>
              <w:rPr>
                <w:sz w:val="21"/>
              </w:rPr>
              <w:t>环境影响评价工作。</w:t>
            </w:r>
          </w:p>
        </w:tc>
        <w:tc>
          <w:tcPr>
            <w:tcW w:w="233"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807"/>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81" w:type="dxa"/>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ind w:left="17"/>
              <w:jc w:val="center"/>
              <w:rPr>
                <w:rFonts w:ascii="Times New Roman"/>
                <w:sz w:val="21"/>
              </w:rPr>
            </w:pPr>
            <w:r>
              <w:rPr>
                <w:rFonts w:ascii="Times New Roman"/>
                <w:w w:val="99"/>
                <w:sz w:val="21"/>
              </w:rPr>
              <w:t>2</w:t>
            </w:r>
          </w:p>
        </w:tc>
        <w:tc>
          <w:tcPr>
            <w:tcW w:w="389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97" w:firstLine="420"/>
              <w:rPr>
                <w:sz w:val="21"/>
              </w:rPr>
            </w:pPr>
            <w:r>
              <w:rPr>
                <w:sz w:val="21"/>
              </w:rPr>
              <w:t>结合环境质量改善目标、污染防治</w:t>
            </w:r>
            <w:r>
              <w:rPr>
                <w:w w:val="95"/>
                <w:sz w:val="21"/>
              </w:rPr>
              <w:t>方案、“十四五”减排任务、完善开发</w:t>
            </w:r>
          </w:p>
          <w:p>
            <w:pPr>
              <w:pStyle w:val="TableParagraph"/>
              <w:spacing w:line="248" w:lineRule="exact"/>
              <w:ind w:left="112"/>
              <w:rPr>
                <w:sz w:val="21"/>
              </w:rPr>
            </w:pPr>
            <w:r>
              <w:rPr>
                <w:sz w:val="21"/>
              </w:rPr>
              <w:t>区污染物减排方案。</w:t>
            </w:r>
          </w:p>
        </w:tc>
        <w:tc>
          <w:tcPr>
            <w:tcW w:w="295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99" w:firstLine="420"/>
              <w:rPr>
                <w:sz w:val="21"/>
              </w:rPr>
            </w:pPr>
            <w:r>
              <w:rPr>
                <w:sz w:val="21"/>
              </w:rPr>
              <w:t>符合。本项目废气经收集处理后达标排放，并按要求申</w:t>
            </w:r>
          </w:p>
          <w:p>
            <w:pPr>
              <w:pStyle w:val="TableParagraph"/>
              <w:spacing w:line="248" w:lineRule="exact"/>
              <w:ind w:left="112"/>
              <w:rPr>
                <w:sz w:val="21"/>
              </w:rPr>
            </w:pPr>
            <w:r>
              <w:rPr>
                <w:sz w:val="21"/>
              </w:rPr>
              <w:t>请总量指标。</w:t>
            </w:r>
          </w:p>
        </w:tc>
        <w:tc>
          <w:tcPr>
            <w:tcW w:w="233"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1078"/>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81" w:type="dxa"/>
            <w:tcBorders>
              <w:top w:val="single" w:sz="4" w:space="0" w:color="000000"/>
              <w:left w:val="single" w:sz="4" w:space="0" w:color="000000"/>
              <w:bottom w:val="single" w:sz="4" w:space="0" w:color="000000"/>
              <w:right w:val="single" w:sz="4" w:space="0" w:color="000000"/>
            </w:tcBorders>
          </w:tcPr>
          <w:p>
            <w:pPr>
              <w:pStyle w:val="TableParagraph"/>
              <w:spacing w:before="6"/>
              <w:rPr>
                <w:b/>
                <w:sz w:val="32"/>
              </w:rPr>
            </w:pPr>
          </w:p>
          <w:p>
            <w:pPr>
              <w:pStyle w:val="TableParagraph"/>
              <w:ind w:left="17"/>
              <w:jc w:val="center"/>
              <w:rPr>
                <w:rFonts w:ascii="Times New Roman"/>
                <w:sz w:val="21"/>
              </w:rPr>
            </w:pPr>
            <w:r>
              <w:rPr>
                <w:rFonts w:ascii="Times New Roman"/>
                <w:w w:val="99"/>
                <w:sz w:val="21"/>
              </w:rPr>
              <w:t>3</w:t>
            </w:r>
          </w:p>
        </w:tc>
        <w:tc>
          <w:tcPr>
            <w:tcW w:w="389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97" w:firstLine="420"/>
              <w:jc w:val="both"/>
              <w:rPr>
                <w:sz w:val="21"/>
              </w:rPr>
            </w:pPr>
            <w:r>
              <w:rPr>
                <w:sz w:val="21"/>
              </w:rPr>
              <w:t>优化产业定位，按照跟踪评价提出</w:t>
            </w:r>
            <w:r>
              <w:rPr>
                <w:w w:val="95"/>
                <w:sz w:val="21"/>
              </w:rPr>
              <w:t>的行业准入控制要求筛选入区项目。对不符合开发区准入要求的现有化工企业</w:t>
            </w:r>
          </w:p>
          <w:p>
            <w:pPr>
              <w:pStyle w:val="TableParagraph"/>
              <w:spacing w:line="246" w:lineRule="exact"/>
              <w:ind w:left="112"/>
              <w:rPr>
                <w:sz w:val="21"/>
              </w:rPr>
            </w:pPr>
            <w:r>
              <w:rPr>
                <w:sz w:val="21"/>
              </w:rPr>
              <w:t>加强管控，适时进行搬迁。</w:t>
            </w:r>
          </w:p>
        </w:tc>
        <w:tc>
          <w:tcPr>
            <w:tcW w:w="2952"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112" w:right="99" w:firstLine="420"/>
              <w:jc w:val="both"/>
              <w:rPr>
                <w:sz w:val="21"/>
              </w:rPr>
            </w:pPr>
            <w:r>
              <w:rPr>
                <w:sz w:val="21"/>
              </w:rPr>
              <w:t>符合。本项目符合开发区准入要求，不在开发区各行业环境准入负面清单范围内。</w:t>
            </w:r>
          </w:p>
        </w:tc>
        <w:tc>
          <w:tcPr>
            <w:tcW w:w="233"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1623"/>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81" w:type="dxa"/>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11"/>
              <w:rPr>
                <w:b/>
                <w:sz w:val="31"/>
              </w:rPr>
            </w:pPr>
          </w:p>
          <w:p>
            <w:pPr>
              <w:pStyle w:val="TableParagraph"/>
              <w:ind w:left="17"/>
              <w:jc w:val="center"/>
              <w:rPr>
                <w:rFonts w:ascii="Times New Roman"/>
                <w:sz w:val="21"/>
              </w:rPr>
            </w:pPr>
            <w:r>
              <w:rPr>
                <w:rFonts w:ascii="Times New Roman"/>
                <w:w w:val="99"/>
                <w:sz w:val="21"/>
              </w:rPr>
              <w:t>4</w:t>
            </w:r>
          </w:p>
        </w:tc>
        <w:tc>
          <w:tcPr>
            <w:tcW w:w="389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97" w:firstLine="420"/>
              <w:jc w:val="both"/>
              <w:rPr>
                <w:sz w:val="21"/>
              </w:rPr>
            </w:pPr>
            <w:r>
              <w:rPr>
                <w:sz w:val="21"/>
              </w:rPr>
              <w:t>完善基础设施建设。加大污水处理</w:t>
            </w:r>
            <w:r>
              <w:rPr>
                <w:w w:val="95"/>
                <w:sz w:val="21"/>
              </w:rPr>
              <w:t>中水回用力度进一步采取有效的环境治理措施进行区域环境整治，使开发区环境质量得到改善。根据宁津东部产业新</w:t>
            </w:r>
          </w:p>
          <w:p>
            <w:pPr>
              <w:pStyle w:val="TableParagraph"/>
              <w:spacing w:line="270" w:lineRule="atLeast"/>
              <w:ind w:left="112" w:right="197"/>
              <w:rPr>
                <w:sz w:val="21"/>
              </w:rPr>
            </w:pPr>
            <w:r>
              <w:rPr>
                <w:w w:val="95"/>
                <w:sz w:val="21"/>
              </w:rPr>
              <w:t>区区域集中供热热源点的建设进度，适</w:t>
            </w:r>
            <w:r>
              <w:rPr>
                <w:sz w:val="21"/>
              </w:rPr>
              <w:t>时实施开发区集中供热。</w:t>
            </w:r>
          </w:p>
        </w:tc>
        <w:tc>
          <w:tcPr>
            <w:tcW w:w="2952"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
              <w:rPr>
                <w:b/>
                <w:sz w:val="22"/>
              </w:rPr>
            </w:pPr>
          </w:p>
          <w:p>
            <w:pPr>
              <w:pStyle w:val="TableParagraph"/>
              <w:spacing w:line="242" w:lineRule="auto"/>
              <w:ind w:left="112" w:right="100" w:firstLine="420"/>
              <w:rPr>
                <w:sz w:val="21"/>
              </w:rPr>
            </w:pPr>
            <w:r>
              <w:rPr>
                <w:sz w:val="21"/>
              </w:rPr>
              <w:t>符合。本项目无生产废水排放，生产上热源由电提供。</w:t>
            </w:r>
          </w:p>
        </w:tc>
        <w:tc>
          <w:tcPr>
            <w:tcW w:w="233"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1621"/>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81" w:type="dxa"/>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8"/>
              <w:rPr>
                <w:b/>
                <w:sz w:val="31"/>
              </w:rPr>
            </w:pPr>
          </w:p>
          <w:p>
            <w:pPr>
              <w:pStyle w:val="TableParagraph"/>
              <w:ind w:left="17"/>
              <w:jc w:val="center"/>
              <w:rPr>
                <w:rFonts w:ascii="Times New Roman"/>
                <w:sz w:val="21"/>
              </w:rPr>
            </w:pPr>
            <w:r>
              <w:rPr>
                <w:rFonts w:ascii="Times New Roman"/>
                <w:w w:val="99"/>
                <w:sz w:val="21"/>
              </w:rPr>
              <w:t>5</w:t>
            </w:r>
          </w:p>
        </w:tc>
        <w:tc>
          <w:tcPr>
            <w:tcW w:w="389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45" w:firstLine="420"/>
              <w:rPr>
                <w:sz w:val="21"/>
              </w:rPr>
            </w:pPr>
            <w:r>
              <w:rPr>
                <w:sz w:val="21"/>
              </w:rPr>
              <w:t>落实空间管控要求。规划区域内存在的基本农田禁止开发区内《宁津县城市总体规划（</w:t>
            </w:r>
            <w:r>
              <w:rPr>
                <w:rFonts w:ascii="Times New Roman" w:eastAsia="Times New Roman"/>
                <w:sz w:val="21"/>
              </w:rPr>
              <w:t xml:space="preserve">2011-2030 </w:t>
            </w:r>
            <w:r>
              <w:rPr>
                <w:sz w:val="21"/>
              </w:rPr>
              <w:t>年）》中规划的公共绿地和防护绿 地列为限制开发区，</w:t>
            </w:r>
          </w:p>
          <w:p>
            <w:pPr>
              <w:pStyle w:val="TableParagraph"/>
              <w:spacing w:line="270" w:lineRule="atLeast"/>
              <w:ind w:left="112" w:right="197"/>
              <w:rPr>
                <w:sz w:val="21"/>
              </w:rPr>
            </w:pPr>
            <w:r>
              <w:rPr>
                <w:w w:val="95"/>
                <w:sz w:val="21"/>
              </w:rPr>
              <w:t>在上位规划调整前限制进行工业开发建</w:t>
            </w:r>
            <w:r>
              <w:rPr>
                <w:sz w:val="21"/>
              </w:rPr>
              <w:t>设。</w:t>
            </w:r>
          </w:p>
        </w:tc>
        <w:tc>
          <w:tcPr>
            <w:tcW w:w="2952"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43" w:line="242" w:lineRule="auto"/>
              <w:ind w:left="112" w:right="99" w:firstLine="420"/>
              <w:jc w:val="both"/>
              <w:rPr>
                <w:sz w:val="21"/>
              </w:rPr>
            </w:pPr>
            <w:r>
              <w:rPr>
                <w:sz w:val="21"/>
              </w:rPr>
              <w:t>符合。本项目占地为工业用地，不涉及基本农田、公共绿地和防护绿地。</w:t>
            </w:r>
          </w:p>
        </w:tc>
        <w:tc>
          <w:tcPr>
            <w:tcW w:w="233"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1072"/>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81" w:type="dxa"/>
            <w:tcBorders>
              <w:top w:val="single" w:sz="4" w:space="0" w:color="000000"/>
              <w:left w:val="single" w:sz="4" w:space="0" w:color="000000"/>
              <w:bottom w:val="single" w:sz="4" w:space="0" w:color="000000"/>
              <w:right w:val="single" w:sz="4" w:space="0" w:color="000000"/>
            </w:tcBorders>
          </w:tcPr>
          <w:p>
            <w:pPr>
              <w:pStyle w:val="TableParagraph"/>
              <w:spacing w:before="2"/>
              <w:rPr>
                <w:b/>
                <w:sz w:val="32"/>
              </w:rPr>
            </w:pPr>
          </w:p>
          <w:p>
            <w:pPr>
              <w:pStyle w:val="TableParagraph"/>
              <w:spacing w:before="1"/>
              <w:ind w:left="17"/>
              <w:jc w:val="center"/>
              <w:rPr>
                <w:rFonts w:ascii="Times New Roman"/>
                <w:sz w:val="21"/>
              </w:rPr>
            </w:pPr>
            <w:r>
              <w:rPr>
                <w:rFonts w:ascii="Times New Roman"/>
                <w:w w:val="99"/>
                <w:sz w:val="21"/>
              </w:rPr>
              <w:t>6</w:t>
            </w:r>
          </w:p>
        </w:tc>
        <w:tc>
          <w:tcPr>
            <w:tcW w:w="389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56" w:firstLine="420"/>
              <w:jc w:val="both"/>
              <w:rPr>
                <w:sz w:val="21"/>
              </w:rPr>
            </w:pPr>
            <w:r>
              <w:rPr>
                <w:sz w:val="21"/>
              </w:rPr>
              <w:t>采取精细化管控手段，强化区内污</w:t>
            </w:r>
            <w:r>
              <w:rPr>
                <w:spacing w:val="-13"/>
                <w:sz w:val="21"/>
              </w:rPr>
              <w:t xml:space="preserve">染源控 制，对区内 </w:t>
            </w:r>
            <w:r>
              <w:rPr>
                <w:rFonts w:ascii="Times New Roman" w:eastAsia="Times New Roman" w:hAnsi="Times New Roman"/>
                <w:sz w:val="21"/>
              </w:rPr>
              <w:t xml:space="preserve">VOCs </w:t>
            </w:r>
            <w:r>
              <w:rPr>
                <w:sz w:val="21"/>
              </w:rPr>
              <w:t>排放量较大的重点企业开展“一厂一策”、消减</w:t>
            </w:r>
          </w:p>
          <w:p>
            <w:pPr>
              <w:pStyle w:val="TableParagraph"/>
              <w:spacing w:line="246" w:lineRule="exact"/>
              <w:ind w:left="112"/>
              <w:rPr>
                <w:sz w:val="21"/>
              </w:rPr>
            </w:pPr>
            <w:r>
              <w:rPr>
                <w:rFonts w:ascii="Times New Roman" w:eastAsia="Times New Roman"/>
                <w:sz w:val="21"/>
              </w:rPr>
              <w:t xml:space="preserve">VOCs </w:t>
            </w:r>
            <w:r>
              <w:rPr>
                <w:sz w:val="21"/>
              </w:rPr>
              <w:t>排放。</w:t>
            </w:r>
          </w:p>
        </w:tc>
        <w:tc>
          <w:tcPr>
            <w:tcW w:w="2952" w:type="dxa"/>
            <w:tcBorders>
              <w:top w:val="single" w:sz="4" w:space="0" w:color="000000"/>
              <w:left w:val="single" w:sz="4" w:space="0" w:color="000000"/>
              <w:bottom w:val="single" w:sz="4" w:space="0" w:color="000000"/>
              <w:right w:val="single" w:sz="4" w:space="0" w:color="000000"/>
            </w:tcBorders>
          </w:tcPr>
          <w:p>
            <w:pPr>
              <w:pStyle w:val="TableParagraph"/>
              <w:spacing w:before="5"/>
              <w:rPr>
                <w:b/>
                <w:sz w:val="20"/>
              </w:rPr>
            </w:pPr>
          </w:p>
          <w:p>
            <w:pPr>
              <w:pStyle w:val="TableParagraph"/>
              <w:spacing w:before="1" w:line="242" w:lineRule="auto"/>
              <w:ind w:left="112" w:right="39" w:firstLine="420"/>
              <w:rPr>
                <w:sz w:val="21"/>
              </w:rPr>
            </w:pPr>
            <w:r>
              <w:rPr>
                <w:sz w:val="21"/>
              </w:rPr>
              <w:t xml:space="preserve">符合。本项目 </w:t>
            </w:r>
            <w:r>
              <w:rPr>
                <w:rFonts w:ascii="Times New Roman" w:eastAsia="Times New Roman"/>
                <w:sz w:val="21"/>
              </w:rPr>
              <w:t xml:space="preserve">VOCs </w:t>
            </w:r>
            <w:r>
              <w:rPr>
                <w:sz w:val="21"/>
              </w:rPr>
              <w:t>经收集处理后排放量较小。</w:t>
            </w:r>
          </w:p>
        </w:tc>
        <w:tc>
          <w:tcPr>
            <w:tcW w:w="233"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810"/>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681" w:type="dxa"/>
            <w:tcBorders>
              <w:top w:val="single" w:sz="4" w:space="0" w:color="000000"/>
              <w:left w:val="single" w:sz="4" w:space="0" w:color="000000"/>
              <w:bottom w:val="thickThinMediumGap" w:sz="4" w:space="0" w:color="000000"/>
              <w:right w:val="single" w:sz="4" w:space="0" w:color="000000"/>
            </w:tcBorders>
          </w:tcPr>
          <w:p>
            <w:pPr>
              <w:pStyle w:val="TableParagraph"/>
              <w:rPr>
                <w:b/>
                <w:sz w:val="22"/>
              </w:rPr>
            </w:pPr>
          </w:p>
          <w:p>
            <w:pPr>
              <w:pStyle w:val="TableParagraph"/>
              <w:ind w:left="17"/>
              <w:jc w:val="center"/>
              <w:rPr>
                <w:rFonts w:ascii="Times New Roman"/>
                <w:sz w:val="21"/>
              </w:rPr>
            </w:pPr>
            <w:r>
              <w:rPr>
                <w:rFonts w:ascii="Times New Roman"/>
                <w:w w:val="99"/>
                <w:sz w:val="21"/>
              </w:rPr>
              <w:t>7</w:t>
            </w:r>
          </w:p>
        </w:tc>
        <w:tc>
          <w:tcPr>
            <w:tcW w:w="3891"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2" w:right="197" w:firstLine="420"/>
              <w:rPr>
                <w:sz w:val="21"/>
              </w:rPr>
            </w:pPr>
            <w:r>
              <w:rPr>
                <w:sz w:val="21"/>
              </w:rPr>
              <w:t>强化环境与风险管理。按照制定的</w:t>
            </w:r>
            <w:r>
              <w:rPr>
                <w:w w:val="95"/>
                <w:sz w:val="21"/>
              </w:rPr>
              <w:t>应急预案开展定期演练，加强与企业之</w:t>
            </w:r>
          </w:p>
          <w:p>
            <w:pPr>
              <w:pStyle w:val="TableParagraph"/>
              <w:spacing w:line="250" w:lineRule="exact"/>
              <w:ind w:left="112"/>
              <w:rPr>
                <w:sz w:val="21"/>
              </w:rPr>
            </w:pPr>
            <w:r>
              <w:rPr>
                <w:sz w:val="21"/>
              </w:rPr>
              <w:t>间的应急联动。</w:t>
            </w:r>
          </w:p>
        </w:tc>
        <w:tc>
          <w:tcPr>
            <w:tcW w:w="2952"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2" w:right="99" w:firstLine="420"/>
              <w:rPr>
                <w:sz w:val="21"/>
              </w:rPr>
            </w:pPr>
            <w:r>
              <w:rPr>
                <w:sz w:val="21"/>
              </w:rPr>
              <w:t>符合。本项目建设完成后将按要求编制突发环境事件应</w:t>
            </w:r>
          </w:p>
          <w:p>
            <w:pPr>
              <w:pStyle w:val="TableParagraph"/>
              <w:spacing w:line="250" w:lineRule="exact"/>
              <w:ind w:left="112"/>
              <w:rPr>
                <w:sz w:val="21"/>
              </w:rPr>
            </w:pPr>
            <w:r>
              <w:rPr>
                <w:sz w:val="21"/>
              </w:rPr>
              <w:t>急预案并定期组织演练。</w:t>
            </w:r>
          </w:p>
        </w:tc>
        <w:tc>
          <w:tcPr>
            <w:tcW w:w="233"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514"/>
        </w:trPr>
        <w:tc>
          <w:tcPr>
            <w:tcW w:w="1168" w:type="dxa"/>
            <w:tcBorders>
              <w:bottom w:val="nil"/>
            </w:tcBorders>
          </w:tcPr>
          <w:p>
            <w:pPr>
              <w:pStyle w:val="TableParagraph"/>
              <w:rPr>
                <w:rFonts w:ascii="Times New Roman"/>
                <w:sz w:val="20"/>
              </w:rPr>
            </w:pPr>
          </w:p>
        </w:tc>
        <w:tc>
          <w:tcPr>
            <w:tcW w:w="7870" w:type="dxa"/>
            <w:gridSpan w:val="5"/>
            <w:tcBorders>
              <w:bottom w:val="nil"/>
            </w:tcBorders>
          </w:tcPr>
          <w:p>
            <w:pPr>
              <w:pStyle w:val="TableParagraph"/>
              <w:spacing w:before="122"/>
              <w:ind w:left="107"/>
              <w:rPr>
                <w:b/>
                <w:sz w:val="24"/>
              </w:rPr>
            </w:pPr>
            <w:r>
              <w:rPr>
                <w:rFonts w:ascii="Times New Roman" w:eastAsia="Times New Roman"/>
                <w:b/>
                <w:sz w:val="24"/>
              </w:rPr>
              <w:t>1</w:t>
            </w:r>
            <w:r>
              <w:rPr>
                <w:b/>
                <w:sz w:val="24"/>
              </w:rPr>
              <w:t>、产业政策的符合性</w:t>
            </w:r>
          </w:p>
        </w:tc>
      </w:tr>
      <w:tr>
        <w:tblPrEx>
          <w:tblW w:w="0" w:type="auto"/>
          <w:tblInd w:w="324" w:type="dxa"/>
          <w:tblLayout w:type="fixed"/>
          <w:tblCellMar>
            <w:top w:w="0" w:type="dxa"/>
            <w:left w:w="0" w:type="dxa"/>
            <w:bottom w:w="0" w:type="dxa"/>
            <w:right w:w="0" w:type="dxa"/>
          </w:tblCellMar>
        </w:tblPrEx>
        <w:trPr>
          <w:trHeight w:val="511"/>
        </w:trPr>
        <w:tc>
          <w:tcPr>
            <w:tcW w:w="1168" w:type="dxa"/>
            <w:tcBorders>
              <w:top w:val="nil"/>
              <w:bottom w:val="nil"/>
            </w:tcBorders>
          </w:tcPr>
          <w:p>
            <w:pPr>
              <w:pStyle w:val="TableParagraph"/>
              <w:spacing w:before="179"/>
              <w:ind w:left="84" w:right="64"/>
              <w:jc w:val="center"/>
              <w:rPr>
                <w:sz w:val="24"/>
              </w:rPr>
            </w:pPr>
            <w:r>
              <w:rPr>
                <w:sz w:val="24"/>
              </w:rPr>
              <w:t>其他符</w:t>
            </w:r>
          </w:p>
        </w:tc>
        <w:tc>
          <w:tcPr>
            <w:tcW w:w="7870" w:type="dxa"/>
            <w:gridSpan w:val="5"/>
            <w:tcBorders>
              <w:top w:val="nil"/>
              <w:bottom w:val="nil"/>
            </w:tcBorders>
          </w:tcPr>
          <w:p>
            <w:pPr>
              <w:pStyle w:val="TableParagraph"/>
              <w:spacing w:before="76"/>
              <w:ind w:left="601"/>
              <w:rPr>
                <w:sz w:val="24"/>
              </w:rPr>
            </w:pPr>
            <w:r>
              <w:rPr>
                <w:sz w:val="24"/>
              </w:rPr>
              <w:t>根据国家发展和改革委员公布的《产业结构调整指导目录（</w:t>
            </w:r>
            <w:r>
              <w:rPr>
                <w:rFonts w:ascii="Times New Roman" w:eastAsia="Times New Roman"/>
                <w:sz w:val="24"/>
              </w:rPr>
              <w:t xml:space="preserve">2019 </w:t>
            </w:r>
            <w:r>
              <w:rPr>
                <w:sz w:val="24"/>
              </w:rPr>
              <w:t>年</w:t>
            </w:r>
          </w:p>
        </w:tc>
      </w:tr>
      <w:tr>
        <w:tblPrEx>
          <w:tblW w:w="0" w:type="auto"/>
          <w:tblInd w:w="324" w:type="dxa"/>
          <w:tblLayout w:type="fixed"/>
          <w:tblCellMar>
            <w:top w:w="0" w:type="dxa"/>
            <w:left w:w="0" w:type="dxa"/>
            <w:bottom w:w="0" w:type="dxa"/>
            <w:right w:w="0" w:type="dxa"/>
          </w:tblCellMar>
        </w:tblPrEx>
        <w:trPr>
          <w:trHeight w:val="360"/>
        </w:trPr>
        <w:tc>
          <w:tcPr>
            <w:tcW w:w="1168" w:type="dxa"/>
            <w:tcBorders>
              <w:top w:val="nil"/>
              <w:bottom w:val="nil"/>
            </w:tcBorders>
          </w:tcPr>
          <w:p>
            <w:pPr>
              <w:pStyle w:val="TableParagraph"/>
              <w:spacing w:before="25"/>
              <w:ind w:left="84" w:right="64"/>
              <w:jc w:val="center"/>
              <w:rPr>
                <w:sz w:val="24"/>
              </w:rPr>
            </w:pPr>
            <w:r>
              <w:rPr>
                <w:sz w:val="24"/>
              </w:rPr>
              <w:t>合性分</w:t>
            </w:r>
          </w:p>
        </w:tc>
        <w:tc>
          <w:tcPr>
            <w:tcW w:w="7870" w:type="dxa"/>
            <w:gridSpan w:val="5"/>
            <w:tcBorders>
              <w:top w:val="nil"/>
              <w:bottom w:val="nil"/>
            </w:tcBorders>
          </w:tcPr>
          <w:p>
            <w:pPr>
              <w:pStyle w:val="TableParagraph"/>
              <w:spacing w:before="30"/>
              <w:ind w:left="107"/>
              <w:rPr>
                <w:sz w:val="24"/>
              </w:rPr>
            </w:pPr>
            <w:r>
              <w:rPr>
                <w:sz w:val="24"/>
              </w:rPr>
              <w:t>本）》，本项目不在鼓励、限制、淘汰类之内，为允许建设项目，因此</w:t>
            </w:r>
          </w:p>
        </w:tc>
      </w:tr>
      <w:tr>
        <w:tblPrEx>
          <w:tblW w:w="0" w:type="auto"/>
          <w:tblInd w:w="324" w:type="dxa"/>
          <w:tblLayout w:type="fixed"/>
          <w:tblCellMar>
            <w:top w:w="0" w:type="dxa"/>
            <w:left w:w="0" w:type="dxa"/>
            <w:bottom w:w="0" w:type="dxa"/>
            <w:right w:w="0" w:type="dxa"/>
          </w:tblCellMar>
        </w:tblPrEx>
        <w:trPr>
          <w:trHeight w:val="520"/>
        </w:trPr>
        <w:tc>
          <w:tcPr>
            <w:tcW w:w="1168" w:type="dxa"/>
            <w:tcBorders>
              <w:top w:val="nil"/>
              <w:bottom w:val="nil"/>
            </w:tcBorders>
          </w:tcPr>
          <w:p>
            <w:pPr>
              <w:pStyle w:val="TableParagraph"/>
              <w:spacing w:before="22"/>
              <w:ind w:left="20"/>
              <w:jc w:val="center"/>
              <w:rPr>
                <w:sz w:val="24"/>
              </w:rPr>
            </w:pPr>
            <w:r>
              <w:rPr>
                <w:sz w:val="24"/>
              </w:rPr>
              <w:t>析</w:t>
            </w:r>
          </w:p>
        </w:tc>
        <w:tc>
          <w:tcPr>
            <w:tcW w:w="7870" w:type="dxa"/>
            <w:gridSpan w:val="5"/>
            <w:tcBorders>
              <w:top w:val="nil"/>
              <w:bottom w:val="nil"/>
            </w:tcBorders>
          </w:tcPr>
          <w:p>
            <w:pPr>
              <w:pStyle w:val="TableParagraph"/>
              <w:spacing w:before="138"/>
              <w:ind w:left="107"/>
              <w:rPr>
                <w:sz w:val="24"/>
              </w:rPr>
            </w:pPr>
            <w:r>
              <w:rPr>
                <w:sz w:val="24"/>
              </w:rPr>
              <w:t>符合国家产业政策。本项目已通过宁津县行政审批服务局备案，备案号</w:t>
            </w:r>
          </w:p>
        </w:tc>
      </w:tr>
      <w:tr>
        <w:tblPrEx>
          <w:tblW w:w="0" w:type="auto"/>
          <w:tblInd w:w="324" w:type="dxa"/>
          <w:tblLayout w:type="fixed"/>
          <w:tblCellMar>
            <w:top w:w="0" w:type="dxa"/>
            <w:left w:w="0" w:type="dxa"/>
            <w:bottom w:w="0" w:type="dxa"/>
            <w:right w:w="0" w:type="dxa"/>
          </w:tblCellMar>
        </w:tblPrEx>
        <w:trPr>
          <w:trHeight w:val="567"/>
        </w:trPr>
        <w:tc>
          <w:tcPr>
            <w:tcW w:w="1168" w:type="dxa"/>
            <w:tcBorders>
              <w:top w:val="nil"/>
            </w:tcBorders>
          </w:tcPr>
          <w:p>
            <w:pPr>
              <w:pStyle w:val="TableParagraph"/>
              <w:rPr>
                <w:rFonts w:ascii="Times New Roman"/>
                <w:sz w:val="20"/>
              </w:rPr>
            </w:pPr>
          </w:p>
        </w:tc>
        <w:tc>
          <w:tcPr>
            <w:tcW w:w="7870" w:type="dxa"/>
            <w:gridSpan w:val="5"/>
            <w:tcBorders>
              <w:top w:val="nil"/>
            </w:tcBorders>
          </w:tcPr>
          <w:p>
            <w:pPr>
              <w:pStyle w:val="TableParagraph"/>
              <w:spacing w:before="83"/>
              <w:ind w:left="107"/>
              <w:rPr>
                <w:sz w:val="24"/>
              </w:rPr>
            </w:pPr>
            <w:r>
              <w:rPr>
                <w:sz w:val="24"/>
              </w:rPr>
              <w:t xml:space="preserve">为 </w:t>
            </w:r>
            <w:r>
              <w:rPr>
                <w:rFonts w:ascii="Times New Roman" w:eastAsia="Times New Roman"/>
                <w:sz w:val="24"/>
              </w:rPr>
              <w:t>2312-371422-89-05-276100</w:t>
            </w:r>
            <w:r>
              <w:rPr>
                <w:sz w:val="24"/>
              </w:rPr>
              <w:t>。</w:t>
            </w:r>
          </w:p>
        </w:tc>
      </w:tr>
    </w:tbl>
    <w:p>
      <w:pPr>
        <w:spacing w:after="0"/>
        <w:rPr>
          <w:sz w:val="24"/>
        </w:rPr>
        <w:sectPr>
          <w:footerReference w:type="default" r:id="rId7"/>
          <w:pgSz w:w="11910" w:h="16840"/>
          <w:pgMar w:top="1420" w:right="1119" w:bottom="1120" w:left="1120" w:header="0" w:footer="939" w:gutter="0"/>
          <w:pgNumType w:start="3"/>
          <w:cols w:num="1" w:space="720"/>
        </w:sectPr>
      </w:pPr>
    </w:p>
    <w:p>
      <w:pPr>
        <w:pStyle w:val="Heading5"/>
        <w:spacing w:before="64"/>
        <w:ind w:left="1589"/>
      </w:pPr>
      <w:r>
        <w:pict>
          <v:shape id="_x0000_s1026" o:spid="_x0000_s1025" style="width:452.9pt;height:692.45pt;margin-top:77.45pt;margin-left:71.2pt;mso-height-relative:page;mso-position-horizontal-relative:page;mso-position-vertical-relative:page;mso-width-relative:page;position:absolute;z-index:-251658240" coordorigin="1424,1549" coordsize="9058,13849" path="m1424,1450l10482,1450m1424,15289l10482,15289m1434,1440l1434,15279m2602,1440l2602,15279m10472,1440l10472,15279e" filled="f" stroked="t" strokecolor="black">
            <v:path arrowok="t"/>
          </v:shape>
        </w:pict>
      </w:r>
      <w:r>
        <w:rPr>
          <w:rFonts w:ascii="Times New Roman" w:eastAsia="Times New Roman" w:hAnsi="Times New Roman"/>
        </w:rPr>
        <w:t>2</w:t>
      </w:r>
      <w:r>
        <w:t>、与</w:t>
      </w:r>
      <w:r>
        <w:rPr>
          <w:rFonts w:ascii="Times New Roman" w:eastAsia="Times New Roman" w:hAnsi="Times New Roman"/>
        </w:rPr>
        <w:t>“</w:t>
      </w:r>
      <w:r>
        <w:t>三线一单</w:t>
      </w:r>
      <w:r>
        <w:rPr>
          <w:rFonts w:ascii="Times New Roman" w:eastAsia="Times New Roman" w:hAnsi="Times New Roman"/>
        </w:rPr>
        <w:t>”</w:t>
      </w:r>
      <w:r>
        <w:t>符合性分析</w:t>
      </w:r>
    </w:p>
    <w:p>
      <w:pPr>
        <w:pStyle w:val="BodyText"/>
        <w:spacing w:before="158" w:line="364" w:lineRule="auto"/>
        <w:ind w:left="1589" w:right="419" w:firstLine="480"/>
        <w:jc w:val="both"/>
      </w:pPr>
      <w:r>
        <w:rPr>
          <w:spacing w:val="-6"/>
        </w:rPr>
        <w:t xml:space="preserve">根据德州市人民政府 </w:t>
      </w:r>
      <w:r>
        <w:rPr>
          <w:rFonts w:ascii="Times New Roman" w:eastAsia="Times New Roman" w:hAnsi="Times New Roman"/>
        </w:rPr>
        <w:t>2021</w:t>
      </w:r>
      <w:r>
        <w:rPr>
          <w:rFonts w:ascii="Times New Roman" w:eastAsia="Times New Roman" w:hAnsi="Times New Roman"/>
          <w:spacing w:val="-12"/>
        </w:rPr>
        <w:t xml:space="preserve"> </w:t>
      </w:r>
      <w:r>
        <w:rPr>
          <w:spacing w:val="-29"/>
        </w:rPr>
        <w:t xml:space="preserve">年 </w:t>
      </w:r>
      <w:r>
        <w:rPr>
          <w:rFonts w:ascii="Times New Roman" w:eastAsia="Times New Roman" w:hAnsi="Times New Roman"/>
        </w:rPr>
        <w:t>6</w:t>
      </w:r>
      <w:r>
        <w:rPr>
          <w:rFonts w:ascii="Times New Roman" w:eastAsia="Times New Roman" w:hAnsi="Times New Roman"/>
          <w:spacing w:val="-11"/>
        </w:rPr>
        <w:t xml:space="preserve"> </w:t>
      </w:r>
      <w:r>
        <w:rPr>
          <w:spacing w:val="-30"/>
        </w:rPr>
        <w:t xml:space="preserve">月 </w:t>
      </w:r>
      <w:r>
        <w:rPr>
          <w:rFonts w:ascii="Times New Roman" w:eastAsia="Times New Roman" w:hAnsi="Times New Roman"/>
        </w:rPr>
        <w:t>28</w:t>
      </w:r>
      <w:r>
        <w:rPr>
          <w:rFonts w:ascii="Times New Roman" w:eastAsia="Times New Roman" w:hAnsi="Times New Roman"/>
          <w:spacing w:val="-11"/>
        </w:rPr>
        <w:t xml:space="preserve"> </w:t>
      </w:r>
      <w:r>
        <w:rPr>
          <w:spacing w:val="-1"/>
        </w:rPr>
        <w:t>日引发的《德州市人民政府关于</w:t>
      </w:r>
      <w:r>
        <w:t>印发德州市“三线一单”生态环境分区管控方案的通知》德政字</w:t>
      </w:r>
      <w:r>
        <w:rPr>
          <w:rFonts w:ascii="Times New Roman" w:eastAsia="Times New Roman" w:hAnsi="Times New Roman"/>
        </w:rPr>
        <w:t xml:space="preserve">[2021]19 </w:t>
      </w:r>
      <w:r>
        <w:rPr>
          <w:spacing w:val="-3"/>
        </w:rPr>
        <w:t xml:space="preserve">号文、德州市生态环境保护委员会办公室 </w:t>
      </w:r>
      <w:r>
        <w:rPr>
          <w:rFonts w:ascii="Times New Roman" w:eastAsia="Times New Roman" w:hAnsi="Times New Roman"/>
        </w:rPr>
        <w:t>2023</w:t>
      </w:r>
      <w:r>
        <w:rPr>
          <w:rFonts w:ascii="Times New Roman" w:eastAsia="Times New Roman" w:hAnsi="Times New Roman"/>
          <w:spacing w:val="-4"/>
        </w:rPr>
        <w:t xml:space="preserve"> </w:t>
      </w:r>
      <w:r>
        <w:rPr>
          <w:spacing w:val="-29"/>
        </w:rPr>
        <w:t xml:space="preserve">年 </w:t>
      </w:r>
      <w:r>
        <w:rPr>
          <w:rFonts w:ascii="Times New Roman" w:eastAsia="Times New Roman" w:hAnsi="Times New Roman"/>
        </w:rPr>
        <w:t>4</w:t>
      </w:r>
      <w:r>
        <w:rPr>
          <w:rFonts w:ascii="Times New Roman" w:eastAsia="Times New Roman" w:hAnsi="Times New Roman"/>
          <w:spacing w:val="-7"/>
        </w:rPr>
        <w:t xml:space="preserve"> </w:t>
      </w:r>
      <w:r>
        <w:rPr>
          <w:spacing w:val="-27"/>
        </w:rPr>
        <w:t xml:space="preserve">月 </w:t>
      </w:r>
      <w:r>
        <w:rPr>
          <w:rFonts w:ascii="Times New Roman" w:eastAsia="Times New Roman" w:hAnsi="Times New Roman"/>
        </w:rPr>
        <w:t>7</w:t>
      </w:r>
      <w:r>
        <w:rPr>
          <w:rFonts w:ascii="Times New Roman" w:eastAsia="Times New Roman" w:hAnsi="Times New Roman"/>
          <w:spacing w:val="-7"/>
        </w:rPr>
        <w:t xml:space="preserve"> </w:t>
      </w:r>
      <w:r>
        <w:rPr>
          <w:spacing w:val="2"/>
        </w:rPr>
        <w:t>日印发的《关于</w:t>
      </w:r>
    </w:p>
    <w:p>
      <w:pPr>
        <w:pStyle w:val="BodyText"/>
        <w:spacing w:line="364" w:lineRule="auto"/>
        <w:ind w:left="1589" w:right="421"/>
        <w:jc w:val="both"/>
      </w:pPr>
      <w:r>
        <w:t xml:space="preserve">印发《德州市“三线一单”生态环境分区管控方案 </w:t>
      </w:r>
      <w:r>
        <w:rPr>
          <w:rFonts w:ascii="Times New Roman" w:eastAsia="Times New Roman" w:hAnsi="Times New Roman"/>
        </w:rPr>
        <w:t xml:space="preserve">2022 </w:t>
      </w:r>
      <w:r>
        <w:t>年度更新内容》的通知》（德环委办字</w:t>
      </w:r>
      <w:r>
        <w:rPr>
          <w:rFonts w:ascii="Times New Roman" w:eastAsia="Times New Roman" w:hAnsi="Times New Roman"/>
        </w:rPr>
        <w:t xml:space="preserve">[2023]8 </w:t>
      </w:r>
      <w:r>
        <w:t>号）文，分析本项目“三线一单”的符合性分析，具体分析如下：</w:t>
      </w:r>
    </w:p>
    <w:p>
      <w:pPr>
        <w:pStyle w:val="Heading5"/>
        <w:numPr>
          <w:ilvl w:val="0"/>
          <w:numId w:val="23"/>
        </w:numPr>
        <w:tabs>
          <w:tab w:val="left" w:pos="2672"/>
        </w:tabs>
        <w:spacing w:before="0" w:after="0" w:line="304" w:lineRule="exact"/>
        <w:ind w:left="2672" w:right="0" w:hanging="603"/>
        <w:jc w:val="left"/>
      </w:pPr>
      <w:r>
        <w:t>生态保护红线与一般生态空间管控</w:t>
      </w:r>
    </w:p>
    <w:p>
      <w:pPr>
        <w:pStyle w:val="Heading5"/>
        <w:spacing w:before="160"/>
        <w:ind w:left="2069"/>
      </w:pPr>
      <w:r>
        <w:t>①与生态保护红线的符合性分析</w:t>
      </w:r>
    </w:p>
    <w:p>
      <w:pPr>
        <w:tabs>
          <w:tab w:val="left" w:pos="4181"/>
        </w:tabs>
        <w:spacing w:before="158" w:line="364" w:lineRule="auto"/>
        <w:ind w:left="3550" w:right="1595" w:hanging="1481"/>
        <w:jc w:val="left"/>
        <w:rPr>
          <w:b/>
          <w:sz w:val="24"/>
        </w:rPr>
      </w:pPr>
      <w:r>
        <w:pict>
          <v:shapetype id="_x0000_t202" coordsize="21600,21600" o:spt="202" path="m,l,21600r21600,l21600,xe">
            <v:stroke joinstyle="miter"/>
            <v:path gradientshapeok="t" o:connecttype="rect"/>
          </v:shapetype>
          <v:shape id="_x0000_s1027" o:spid="_x0000_s1026" type="#_x0000_t202" style="width:383.2pt;height:61.55pt;margin-top:46.75pt;margin-left:135.35pt;mso-height-relative:page;mso-position-horizontal-relative:page;mso-width-relative:page;position:absolute;z-index:25165926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90"/>
                    <w:gridCol w:w="2348"/>
                    <w:gridCol w:w="2201"/>
                    <w:gridCol w:w="2210"/>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6"/>
                    </w:trPr>
                    <w:tc>
                      <w:tcPr>
                        <w:tcW w:w="890" w:type="dxa"/>
                      </w:tcPr>
                      <w:p>
                        <w:pPr>
                          <w:pStyle w:val="TableParagraph"/>
                          <w:spacing w:before="63"/>
                          <w:ind w:left="213" w:right="206"/>
                          <w:jc w:val="center"/>
                          <w:rPr>
                            <w:sz w:val="21"/>
                          </w:rPr>
                        </w:pPr>
                        <w:r>
                          <w:rPr>
                            <w:sz w:val="21"/>
                          </w:rPr>
                          <w:t>序号</w:t>
                        </w:r>
                      </w:p>
                    </w:tc>
                    <w:tc>
                      <w:tcPr>
                        <w:tcW w:w="2348" w:type="dxa"/>
                      </w:tcPr>
                      <w:p>
                        <w:pPr>
                          <w:pStyle w:val="TableParagraph"/>
                          <w:spacing w:before="63"/>
                          <w:ind w:left="331" w:right="327"/>
                          <w:jc w:val="center"/>
                          <w:rPr>
                            <w:sz w:val="21"/>
                          </w:rPr>
                        </w:pPr>
                        <w:r>
                          <w:rPr>
                            <w:sz w:val="21"/>
                          </w:rPr>
                          <w:t>编号</w:t>
                        </w:r>
                      </w:p>
                    </w:tc>
                    <w:tc>
                      <w:tcPr>
                        <w:tcW w:w="2201" w:type="dxa"/>
                      </w:tcPr>
                      <w:p>
                        <w:pPr>
                          <w:pStyle w:val="TableParagraph"/>
                          <w:spacing w:before="63"/>
                          <w:ind w:left="448" w:right="442"/>
                          <w:jc w:val="center"/>
                          <w:rPr>
                            <w:sz w:val="21"/>
                          </w:rPr>
                        </w:pPr>
                        <w:r>
                          <w:rPr>
                            <w:sz w:val="21"/>
                          </w:rPr>
                          <w:t>生态保护红线</w:t>
                        </w:r>
                      </w:p>
                    </w:tc>
                    <w:tc>
                      <w:tcPr>
                        <w:tcW w:w="2210" w:type="dxa"/>
                      </w:tcPr>
                      <w:p>
                        <w:pPr>
                          <w:pStyle w:val="TableParagraph"/>
                          <w:spacing w:before="63"/>
                          <w:ind w:left="497" w:right="488"/>
                          <w:jc w:val="center"/>
                          <w:rPr>
                            <w:sz w:val="21"/>
                          </w:rPr>
                        </w:pPr>
                        <w:r>
                          <w:rPr>
                            <w:sz w:val="21"/>
                          </w:rPr>
                          <w:t>面积（</w:t>
                        </w:r>
                        <w:r>
                          <w:rPr>
                            <w:rFonts w:ascii="Times New Roman" w:eastAsia="Times New Roman"/>
                            <w:sz w:val="21"/>
                          </w:rPr>
                          <w:t>km</w:t>
                        </w:r>
                        <w:r>
                          <w:rPr>
                            <w:rFonts w:ascii="Times New Roman" w:eastAsia="Times New Roman"/>
                            <w:position w:val="7"/>
                            <w:sz w:val="13"/>
                          </w:rPr>
                          <w:t>2</w:t>
                        </w:r>
                        <w:r>
                          <w:rPr>
                            <w:sz w:val="21"/>
                          </w:rPr>
                          <w:t>）</w:t>
                        </w:r>
                      </w:p>
                    </w:tc>
                  </w:tr>
                  <w:tr>
                    <w:tblPrEx>
                      <w:tblW w:w="0" w:type="auto"/>
                      <w:tblInd w:w="5" w:type="dxa"/>
                      <w:tblLayout w:type="fixed"/>
                      <w:tblCellMar>
                        <w:top w:w="0" w:type="dxa"/>
                        <w:left w:w="0" w:type="dxa"/>
                        <w:bottom w:w="0" w:type="dxa"/>
                        <w:right w:w="0" w:type="dxa"/>
                      </w:tblCellMar>
                    </w:tblPrEx>
                    <w:trPr>
                      <w:trHeight w:val="397"/>
                    </w:trPr>
                    <w:tc>
                      <w:tcPr>
                        <w:tcW w:w="890" w:type="dxa"/>
                      </w:tcPr>
                      <w:p>
                        <w:pPr>
                          <w:pStyle w:val="TableParagraph"/>
                          <w:spacing w:before="76"/>
                          <w:ind w:left="6"/>
                          <w:jc w:val="center"/>
                          <w:rPr>
                            <w:rFonts w:ascii="Times New Roman"/>
                            <w:sz w:val="21"/>
                          </w:rPr>
                        </w:pPr>
                        <w:r>
                          <w:rPr>
                            <w:rFonts w:ascii="Times New Roman"/>
                            <w:w w:val="99"/>
                            <w:sz w:val="21"/>
                          </w:rPr>
                          <w:t>1</w:t>
                        </w:r>
                      </w:p>
                    </w:tc>
                    <w:tc>
                      <w:tcPr>
                        <w:tcW w:w="2348" w:type="dxa"/>
                      </w:tcPr>
                      <w:p>
                        <w:pPr>
                          <w:pStyle w:val="TableParagraph"/>
                          <w:spacing w:before="76"/>
                          <w:ind w:left="337" w:right="327"/>
                          <w:jc w:val="center"/>
                          <w:rPr>
                            <w:rFonts w:ascii="Times New Roman"/>
                            <w:sz w:val="21"/>
                          </w:rPr>
                        </w:pPr>
                        <w:r>
                          <w:rPr>
                            <w:rFonts w:ascii="Times New Roman"/>
                            <w:sz w:val="21"/>
                          </w:rPr>
                          <w:t>YS3714221110007</w:t>
                        </w:r>
                      </w:p>
                    </w:tc>
                    <w:tc>
                      <w:tcPr>
                        <w:tcW w:w="2201" w:type="dxa"/>
                      </w:tcPr>
                      <w:p>
                        <w:pPr>
                          <w:pStyle w:val="TableParagraph"/>
                          <w:spacing w:before="62"/>
                          <w:ind w:left="445" w:right="442"/>
                          <w:jc w:val="center"/>
                          <w:rPr>
                            <w:sz w:val="21"/>
                          </w:rPr>
                        </w:pPr>
                        <w:r>
                          <w:rPr>
                            <w:sz w:val="21"/>
                          </w:rPr>
                          <w:t>大柳水库</w:t>
                        </w:r>
                      </w:p>
                    </w:tc>
                    <w:tc>
                      <w:tcPr>
                        <w:tcW w:w="2210" w:type="dxa"/>
                      </w:tcPr>
                      <w:p>
                        <w:pPr>
                          <w:pStyle w:val="TableParagraph"/>
                          <w:spacing w:before="76"/>
                          <w:ind w:left="497" w:right="487"/>
                          <w:jc w:val="center"/>
                          <w:rPr>
                            <w:rFonts w:ascii="Times New Roman"/>
                            <w:sz w:val="21"/>
                          </w:rPr>
                        </w:pPr>
                        <w:r>
                          <w:rPr>
                            <w:rFonts w:ascii="Times New Roman"/>
                            <w:sz w:val="21"/>
                          </w:rPr>
                          <w:t>1.19</w:t>
                        </w:r>
                      </w:p>
                    </w:tc>
                  </w:tr>
                  <w:tr>
                    <w:tblPrEx>
                      <w:tblW w:w="0" w:type="auto"/>
                      <w:tblInd w:w="5" w:type="dxa"/>
                      <w:tblLayout w:type="fixed"/>
                      <w:tblCellMar>
                        <w:top w:w="0" w:type="dxa"/>
                        <w:left w:w="0" w:type="dxa"/>
                        <w:bottom w:w="0" w:type="dxa"/>
                        <w:right w:w="0" w:type="dxa"/>
                      </w:tblCellMar>
                    </w:tblPrEx>
                    <w:trPr>
                      <w:trHeight w:val="397"/>
                    </w:trPr>
                    <w:tc>
                      <w:tcPr>
                        <w:tcW w:w="890" w:type="dxa"/>
                      </w:tcPr>
                      <w:p>
                        <w:pPr>
                          <w:pStyle w:val="TableParagraph"/>
                          <w:spacing w:before="77"/>
                          <w:ind w:left="6"/>
                          <w:jc w:val="center"/>
                          <w:rPr>
                            <w:rFonts w:ascii="Times New Roman"/>
                            <w:sz w:val="21"/>
                          </w:rPr>
                        </w:pPr>
                        <w:r>
                          <w:rPr>
                            <w:rFonts w:ascii="Times New Roman"/>
                            <w:w w:val="99"/>
                            <w:sz w:val="21"/>
                          </w:rPr>
                          <w:t>2</w:t>
                        </w:r>
                      </w:p>
                    </w:tc>
                    <w:tc>
                      <w:tcPr>
                        <w:tcW w:w="2348" w:type="dxa"/>
                      </w:tcPr>
                      <w:p>
                        <w:pPr>
                          <w:pStyle w:val="TableParagraph"/>
                          <w:spacing w:before="77"/>
                          <w:ind w:left="337" w:right="327"/>
                          <w:jc w:val="center"/>
                          <w:rPr>
                            <w:rFonts w:ascii="Times New Roman"/>
                            <w:sz w:val="21"/>
                          </w:rPr>
                        </w:pPr>
                        <w:r>
                          <w:rPr>
                            <w:rFonts w:ascii="Times New Roman"/>
                            <w:sz w:val="21"/>
                          </w:rPr>
                          <w:t>YS3714221110008</w:t>
                        </w:r>
                      </w:p>
                    </w:tc>
                    <w:tc>
                      <w:tcPr>
                        <w:tcW w:w="2201" w:type="dxa"/>
                      </w:tcPr>
                      <w:p>
                        <w:pPr>
                          <w:pStyle w:val="TableParagraph"/>
                          <w:spacing w:before="63"/>
                          <w:ind w:left="445" w:right="442"/>
                          <w:jc w:val="center"/>
                          <w:rPr>
                            <w:sz w:val="21"/>
                          </w:rPr>
                        </w:pPr>
                        <w:r>
                          <w:rPr>
                            <w:sz w:val="21"/>
                          </w:rPr>
                          <w:t>宁津水库</w:t>
                        </w:r>
                      </w:p>
                    </w:tc>
                    <w:tc>
                      <w:tcPr>
                        <w:tcW w:w="2210" w:type="dxa"/>
                      </w:tcPr>
                      <w:p>
                        <w:pPr>
                          <w:pStyle w:val="TableParagraph"/>
                          <w:spacing w:before="77"/>
                          <w:ind w:left="497" w:right="487"/>
                          <w:jc w:val="center"/>
                          <w:rPr>
                            <w:rFonts w:ascii="Times New Roman"/>
                            <w:sz w:val="21"/>
                          </w:rPr>
                        </w:pPr>
                        <w:r>
                          <w:rPr>
                            <w:rFonts w:ascii="Times New Roman"/>
                            <w:sz w:val="21"/>
                          </w:rPr>
                          <w:t>0.86</w:t>
                        </w:r>
                      </w:p>
                    </w:tc>
                  </w:tr>
                </w:tbl>
                <w:p>
                  <w:pPr>
                    <w:pStyle w:val="BodyText"/>
                  </w:pPr>
                </w:p>
              </w:txbxContent>
            </v:textbox>
          </v:shape>
        </w:pict>
      </w:r>
      <w:r>
        <w:rPr>
          <w:sz w:val="24"/>
        </w:rPr>
        <w:t>本项目位于宁津县，项目区域内生态保护红线区见下表</w:t>
      </w:r>
      <w:r>
        <w:rPr>
          <w:spacing w:val="-17"/>
          <w:sz w:val="24"/>
        </w:rPr>
        <w:t>。</w:t>
      </w:r>
      <w:r>
        <w:rPr>
          <w:b/>
          <w:sz w:val="24"/>
        </w:rPr>
        <w:t>表</w:t>
      </w:r>
      <w:r>
        <w:rPr>
          <w:b/>
          <w:spacing w:val="-62"/>
          <w:sz w:val="24"/>
        </w:rPr>
        <w:t xml:space="preserve"> </w:t>
      </w:r>
      <w:r>
        <w:rPr>
          <w:rFonts w:ascii="Times New Roman" w:eastAsia="Times New Roman"/>
          <w:b/>
          <w:sz w:val="24"/>
        </w:rPr>
        <w:t>3</w:t>
      </w:r>
      <w:r>
        <w:rPr>
          <w:rFonts w:ascii="Times New Roman" w:eastAsia="Times New Roman"/>
          <w:b/>
          <w:sz w:val="24"/>
        </w:rPr>
        <w:tab/>
      </w:r>
      <w:r>
        <w:rPr>
          <w:b/>
          <w:sz w:val="24"/>
        </w:rPr>
        <w:t>宁津县生态保护红线信息表</w:t>
      </w:r>
    </w:p>
    <w:p>
      <w:pPr>
        <w:pStyle w:val="BodyText"/>
        <w:rPr>
          <w:b/>
          <w:sz w:val="26"/>
        </w:rPr>
      </w:pPr>
    </w:p>
    <w:p>
      <w:pPr>
        <w:pStyle w:val="BodyText"/>
        <w:rPr>
          <w:b/>
          <w:sz w:val="26"/>
        </w:rPr>
      </w:pPr>
    </w:p>
    <w:p>
      <w:pPr>
        <w:pStyle w:val="BodyText"/>
        <w:rPr>
          <w:b/>
          <w:sz w:val="26"/>
        </w:rPr>
      </w:pPr>
    </w:p>
    <w:p>
      <w:pPr>
        <w:pStyle w:val="BodyText"/>
        <w:spacing w:before="197" w:line="362" w:lineRule="auto"/>
        <w:ind w:left="1589" w:right="421" w:firstLine="480"/>
        <w:jc w:val="both"/>
      </w:pPr>
      <w:r>
        <w:t xml:space="preserve">本项目位于山东省德州市宁津县辽河大街东首路北，距离本项目最近的生态红线区为宁津水库，位于该红线区东北侧 </w:t>
      </w:r>
      <w:r>
        <w:rPr>
          <w:rFonts w:ascii="Times New Roman" w:eastAsia="Times New Roman"/>
        </w:rPr>
        <w:t>5.6km</w:t>
      </w:r>
      <w:r>
        <w:t>，本项目不在上述生态红线图范围内。</w:t>
      </w:r>
    </w:p>
    <w:p>
      <w:pPr>
        <w:pStyle w:val="Heading5"/>
        <w:spacing w:before="7"/>
        <w:ind w:left="2069"/>
      </w:pPr>
      <w:r>
        <w:t>②一般生态空间</w:t>
      </w:r>
    </w:p>
    <w:p>
      <w:pPr>
        <w:pStyle w:val="BodyText"/>
        <w:spacing w:before="160" w:line="364" w:lineRule="auto"/>
        <w:ind w:left="1589" w:right="422" w:firstLine="480"/>
        <w:jc w:val="both"/>
      </w:pPr>
      <w:r>
        <w:t>一般生态空间管控要求：一般生态空间原则上按禁止开发区和限制开发区域的要求进行管理。对一般生态空间依法实行区域准入和用途转用许可制度，严格控制各类开发利用活动对生态空间的占用和扰动，确保依法保护的生态空间面积不减少，生态功能不降低，生态服务保障能力逐渐提高。</w:t>
      </w:r>
    </w:p>
    <w:p>
      <w:pPr>
        <w:pStyle w:val="BodyText"/>
        <w:spacing w:line="364" w:lineRule="auto"/>
        <w:ind w:left="1589" w:right="421" w:firstLine="480"/>
        <w:jc w:val="both"/>
      </w:pPr>
      <w:r>
        <w:t>严格限制农业开发占用一般生态空间，符合条件的农业开发项目， 须依法由市县级及以上地方人民政府统筹安排。生态保护红线外的耕地，除符合国家生态退耕条件，并纳入国家生态退耕总体安排，或因国家重大生态工程建设需要外，不得随意转用。有序引导生态空间用途之间的相互转变，鼓励向有利于生态功能提升的方向转变，严格禁止不符合生态保护要求或有损生态功能的相互转换。</w:t>
      </w:r>
    </w:p>
    <w:p>
      <w:pPr>
        <w:pStyle w:val="BodyText"/>
        <w:spacing w:line="306" w:lineRule="exact"/>
        <w:ind w:left="2069"/>
      </w:pPr>
      <w:r>
        <w:t>严格控制新增建设占用一般生态空间。符合区域准入条件的建设项</w:t>
      </w:r>
    </w:p>
    <w:p>
      <w:pPr>
        <w:spacing w:after="0" w:line="306" w:lineRule="exact"/>
        <w:sectPr>
          <w:footerReference w:type="default" r:id="rId8"/>
          <w:pgSz w:w="11910" w:h="16840"/>
          <w:pgMar w:top="1380" w:right="1119" w:bottom="1120" w:left="1120" w:header="0" w:footer="939" w:gutter="0"/>
          <w:pgNumType w:start="4"/>
          <w:cols w:num="1" w:space="720"/>
        </w:sectPr>
      </w:pPr>
    </w:p>
    <w:p>
      <w:pPr>
        <w:pStyle w:val="BodyText"/>
        <w:spacing w:before="44" w:line="364" w:lineRule="auto"/>
        <w:ind w:left="1589" w:right="422"/>
        <w:jc w:val="both"/>
      </w:pPr>
      <w:r>
        <w:pict>
          <v:shape id="_x0000_s1028" o:spid="_x0000_s1027" style="width:452.9pt;height:679.45pt;margin-top:90.45pt;margin-left:71.2pt;mso-height-relative:page;mso-position-horizontal-relative:page;mso-position-vertical-relative:page;mso-width-relative:page;position:absolute;z-index:-251656192" coordorigin="1424,1809" coordsize="9058,13589" path="m1424,1450l10482,1450m1424,15029l10482,15029m1434,1440l1434,15019m2602,1440l2602,15019m10472,1440l10472,15019e" filled="f" stroked="t" strokecolor="black">
            <v:path arrowok="t"/>
          </v:shape>
        </w:pict>
      </w:r>
      <w:r>
        <w:t>目，涉及占用生态空间中的林地、草地等，按有关法律法规规定办理； 涉及占用生态空间中其他未作明确规定的用地，加强论证和管理。鼓励结合土地综合整治、工矿废弃地复垦利用等各类工程实施，引导生态空间内建设用地逐步有序退出。</w:t>
      </w:r>
    </w:p>
    <w:p>
      <w:pPr>
        <w:pStyle w:val="BodyText"/>
        <w:spacing w:line="362" w:lineRule="auto"/>
        <w:ind w:left="1589" w:right="421" w:firstLine="480"/>
      </w:pPr>
      <w:r>
        <w:t>本项目位于山东省德州市宁津县辽河大街东首路北，未包含在一般生态空间范围内。</w:t>
      </w:r>
    </w:p>
    <w:p>
      <w:pPr>
        <w:pStyle w:val="BodyText"/>
        <w:spacing w:before="3"/>
        <w:ind w:left="2069"/>
      </w:pPr>
      <w:r>
        <w:t>综上，本项目符合生态保护红线与一般生态空间管控的要求。</w:t>
      </w:r>
    </w:p>
    <w:p>
      <w:pPr>
        <w:pStyle w:val="Heading5"/>
        <w:numPr>
          <w:ilvl w:val="0"/>
          <w:numId w:val="2"/>
        </w:numPr>
        <w:tabs>
          <w:tab w:val="left" w:pos="2671"/>
        </w:tabs>
        <w:spacing w:before="158" w:after="0" w:line="240" w:lineRule="auto"/>
        <w:ind w:left="2670" w:right="0" w:hanging="602"/>
        <w:jc w:val="left"/>
      </w:pPr>
      <w:r>
        <w:t>环境质量底线及分区管控</w:t>
      </w:r>
    </w:p>
    <w:p>
      <w:pPr>
        <w:pStyle w:val="Heading5"/>
        <w:spacing w:before="160"/>
        <w:ind w:left="2069"/>
      </w:pPr>
      <w:r>
        <w:t>①大气环境质量底线及分区管控</w:t>
      </w:r>
    </w:p>
    <w:p>
      <w:pPr>
        <w:pStyle w:val="BodyText"/>
        <w:spacing w:before="159"/>
        <w:ind w:left="2069"/>
      </w:pPr>
      <w:r>
        <w:t>本项目位于宁城街道，属于重点管控区，执行重点控制区标准。</w:t>
      </w:r>
    </w:p>
    <w:p>
      <w:pPr>
        <w:pStyle w:val="BodyText"/>
        <w:spacing w:before="160"/>
        <w:ind w:left="2069"/>
      </w:pPr>
      <w:r>
        <w:rPr>
          <w:spacing w:val="-41"/>
        </w:rPr>
        <w:t>本 项 目 不 涉 及 执 行 《 区 域 性 大 气 污 染 物 综 合 排 放 标 准 》</w:t>
      </w:r>
    </w:p>
    <w:p>
      <w:pPr>
        <w:pStyle w:val="BodyText"/>
        <w:spacing w:before="158"/>
        <w:ind w:left="1589"/>
      </w:pPr>
      <w:r>
        <w:t>（</w:t>
      </w:r>
      <w:r>
        <w:rPr>
          <w:rFonts w:ascii="Times New Roman" w:eastAsia="Times New Roman"/>
        </w:rPr>
        <w:t>DB37/2376</w:t>
      </w:r>
      <w:r>
        <w:t>）（包括有分区要求的行业标准）的废气污染物排放。</w:t>
      </w:r>
    </w:p>
    <w:p>
      <w:pPr>
        <w:pStyle w:val="BodyText"/>
        <w:spacing w:before="161" w:line="362" w:lineRule="auto"/>
        <w:ind w:left="1589" w:right="421" w:firstLine="480"/>
        <w:jc w:val="both"/>
      </w:pPr>
      <w:r>
        <w:rPr>
          <w:spacing w:val="6"/>
        </w:rPr>
        <w:t>根据本项目所在区域环境空气质量现状监测与评价结果可知，评价</w:t>
      </w:r>
      <w:r>
        <w:rPr>
          <w:spacing w:val="-10"/>
          <w:position w:val="2"/>
        </w:rPr>
        <w:t xml:space="preserve">区域内 </w:t>
      </w:r>
      <w:r>
        <w:rPr>
          <w:rFonts w:ascii="Times New Roman" w:eastAsia="Times New Roman" w:hAnsi="Times New Roman"/>
          <w:position w:val="2"/>
        </w:rPr>
        <w:t>P</w:t>
      </w:r>
      <w:r>
        <w:rPr>
          <w:rFonts w:ascii="Times New Roman" w:eastAsia="Times New Roman" w:hAnsi="Times New Roman"/>
          <w:spacing w:val="-3"/>
          <w:position w:val="2"/>
        </w:rPr>
        <w:t>M</w:t>
      </w:r>
      <w:r>
        <w:rPr>
          <w:rFonts w:ascii="Times New Roman" w:eastAsia="Times New Roman" w:hAnsi="Times New Roman"/>
          <w:spacing w:val="1"/>
          <w:w w:val="103"/>
          <w:position w:val="2"/>
          <w:vertAlign w:val="subscript"/>
        </w:rPr>
        <w:t>1</w:t>
      </w:r>
      <w:r>
        <w:rPr>
          <w:rFonts w:ascii="Times New Roman" w:eastAsia="Times New Roman" w:hAnsi="Times New Roman"/>
          <w:spacing w:val="-2"/>
          <w:w w:val="103"/>
          <w:position w:val="2"/>
          <w:vertAlign w:val="subscript"/>
        </w:rPr>
        <w:t>0</w:t>
      </w:r>
      <w:r>
        <w:rPr>
          <w:position w:val="2"/>
          <w:vertAlign w:val="baseline"/>
        </w:rPr>
        <w:t>、</w:t>
      </w:r>
      <w:r>
        <w:rPr>
          <w:rFonts w:ascii="Times New Roman" w:eastAsia="Times New Roman" w:hAnsi="Times New Roman"/>
          <w:position w:val="2"/>
          <w:vertAlign w:val="baseline"/>
        </w:rPr>
        <w:t>P</w:t>
      </w:r>
      <w:r>
        <w:rPr>
          <w:rFonts w:ascii="Times New Roman" w:eastAsia="Times New Roman" w:hAnsi="Times New Roman"/>
          <w:spacing w:val="-3"/>
          <w:position w:val="2"/>
          <w:vertAlign w:val="baseline"/>
        </w:rPr>
        <w:t>M</w:t>
      </w:r>
      <w:r>
        <w:rPr>
          <w:rFonts w:ascii="Times New Roman" w:eastAsia="Times New Roman" w:hAnsi="Times New Roman"/>
          <w:spacing w:val="1"/>
          <w:w w:val="103"/>
          <w:position w:val="2"/>
          <w:vertAlign w:val="subscript"/>
        </w:rPr>
        <w:t>2</w:t>
      </w:r>
      <w:r>
        <w:rPr>
          <w:rFonts w:ascii="Times New Roman" w:eastAsia="Times New Roman" w:hAnsi="Times New Roman"/>
          <w:spacing w:val="-1"/>
          <w:w w:val="103"/>
          <w:position w:val="2"/>
          <w:vertAlign w:val="subscript"/>
        </w:rPr>
        <w:t>.</w:t>
      </w:r>
      <w:r>
        <w:rPr>
          <w:rFonts w:ascii="Times New Roman" w:eastAsia="Times New Roman" w:hAnsi="Times New Roman"/>
          <w:w w:val="103"/>
          <w:position w:val="2"/>
          <w:vertAlign w:val="subscript"/>
        </w:rPr>
        <w:t>5</w:t>
      </w:r>
      <w:r>
        <w:rPr>
          <w:rFonts w:ascii="Times New Roman" w:eastAsia="Times New Roman" w:hAnsi="Times New Roman"/>
          <w:spacing w:val="-30"/>
          <w:position w:val="2"/>
          <w:vertAlign w:val="baseline"/>
        </w:rPr>
        <w:t xml:space="preserve"> </w:t>
      </w:r>
      <w:r>
        <w:rPr>
          <w:spacing w:val="-6"/>
          <w:position w:val="2"/>
          <w:vertAlign w:val="baseline"/>
        </w:rPr>
        <w:t xml:space="preserve">的年平均质量浓度及 </w:t>
      </w:r>
      <w:r>
        <w:rPr>
          <w:rFonts w:ascii="Times New Roman" w:eastAsia="Times New Roman" w:hAnsi="Times New Roman"/>
          <w:position w:val="2"/>
          <w:vertAlign w:val="baseline"/>
        </w:rPr>
        <w:t>24h</w:t>
      </w:r>
      <w:r>
        <w:rPr>
          <w:rFonts w:ascii="Times New Roman" w:eastAsia="Times New Roman" w:hAnsi="Times New Roman"/>
          <w:spacing w:val="-12"/>
          <w:position w:val="2"/>
          <w:vertAlign w:val="baseline"/>
        </w:rPr>
        <w:t xml:space="preserve"> </w:t>
      </w:r>
      <w:r>
        <w:rPr>
          <w:spacing w:val="-15"/>
          <w:position w:val="2"/>
          <w:vertAlign w:val="baseline"/>
        </w:rPr>
        <w:t xml:space="preserve">平均第 </w:t>
      </w:r>
      <w:r>
        <w:rPr>
          <w:rFonts w:ascii="Times New Roman" w:eastAsia="Times New Roman" w:hAnsi="Times New Roman"/>
          <w:position w:val="2"/>
          <w:vertAlign w:val="baseline"/>
        </w:rPr>
        <w:t>95</w:t>
      </w:r>
      <w:r>
        <w:rPr>
          <w:rFonts w:ascii="Times New Roman" w:eastAsia="Times New Roman" w:hAnsi="Times New Roman"/>
          <w:spacing w:val="-12"/>
          <w:position w:val="2"/>
          <w:vertAlign w:val="baseline"/>
        </w:rPr>
        <w:t xml:space="preserve"> </w:t>
      </w:r>
      <w:r>
        <w:rPr>
          <w:position w:val="2"/>
          <w:vertAlign w:val="baseline"/>
        </w:rPr>
        <w:t>百分位数、</w:t>
      </w:r>
      <w:r>
        <w:rPr>
          <w:rFonts w:ascii="Times New Roman" w:eastAsia="Times New Roman" w:hAnsi="Times New Roman"/>
          <w:spacing w:val="-1"/>
          <w:position w:val="2"/>
          <w:vertAlign w:val="baseline"/>
        </w:rPr>
        <w:t>O</w:t>
      </w:r>
      <w:r>
        <w:rPr>
          <w:rFonts w:ascii="Microsoft Sans Serif" w:eastAsia="Microsoft Sans Serif" w:hAnsi="Microsoft Sans Serif"/>
          <w:w w:val="300"/>
          <w:position w:val="2"/>
          <w:vertAlign w:val="baseline"/>
        </w:rPr>
        <w:t>₃</w:t>
      </w:r>
      <w:r>
        <w:rPr>
          <w:spacing w:val="-23"/>
          <w:position w:val="2"/>
          <w:vertAlign w:val="baseline"/>
        </w:rPr>
        <w:t>日</w:t>
      </w:r>
      <w:r>
        <w:rPr>
          <w:spacing w:val="-7"/>
          <w:vertAlign w:val="baseline"/>
        </w:rPr>
        <w:t xml:space="preserve">最大 </w:t>
      </w:r>
      <w:r>
        <w:rPr>
          <w:rFonts w:ascii="Times New Roman" w:eastAsia="Times New Roman" w:hAnsi="Times New Roman"/>
          <w:vertAlign w:val="baseline"/>
        </w:rPr>
        <w:t>8</w:t>
      </w:r>
      <w:r>
        <w:rPr>
          <w:rFonts w:ascii="Times New Roman" w:eastAsia="Times New Roman" w:hAnsi="Times New Roman"/>
          <w:spacing w:val="9"/>
          <w:vertAlign w:val="baseline"/>
        </w:rPr>
        <w:t xml:space="preserve"> </w:t>
      </w:r>
      <w:r>
        <w:rPr>
          <w:spacing w:val="10"/>
          <w:vertAlign w:val="baseline"/>
        </w:rPr>
        <w:t xml:space="preserve">小时平均值的第 </w:t>
      </w:r>
      <w:r>
        <w:rPr>
          <w:rFonts w:ascii="Times New Roman" w:eastAsia="Times New Roman" w:hAnsi="Times New Roman"/>
          <w:vertAlign w:val="baseline"/>
        </w:rPr>
        <w:t>90</w:t>
      </w:r>
      <w:r>
        <w:rPr>
          <w:rFonts w:ascii="Times New Roman" w:eastAsia="Times New Roman" w:hAnsi="Times New Roman"/>
          <w:spacing w:val="9"/>
          <w:vertAlign w:val="baseline"/>
        </w:rPr>
        <w:t xml:space="preserve"> </w:t>
      </w:r>
      <w:r>
        <w:rPr>
          <w:spacing w:val="17"/>
          <w:vertAlign w:val="baseline"/>
        </w:rPr>
        <w:t>百分位数均不满足《环境空气质量标准》</w:t>
      </w:r>
    </w:p>
    <w:p>
      <w:pPr>
        <w:pStyle w:val="BodyText"/>
        <w:spacing w:before="4" w:line="364" w:lineRule="auto"/>
        <w:ind w:left="1589" w:right="421"/>
        <w:jc w:val="both"/>
      </w:pPr>
      <w:r>
        <w:t>（</w:t>
      </w:r>
      <w:r>
        <w:rPr>
          <w:rFonts w:ascii="Times New Roman" w:eastAsia="Times New Roman"/>
        </w:rPr>
        <w:t>GB3095-2012</w:t>
      </w:r>
      <w:r>
        <w:t>）中二级标准要求。确定本项目所在区域环境空气质量属于不达标区。本项目设置封闭式的生产车间，生产废气经有效收集处理后，污染物排放量较小，均能实现达标排放。</w:t>
      </w:r>
      <w:r>
        <w:rPr>
          <w:rFonts w:ascii="Times New Roman" w:eastAsia="Times New Roman"/>
        </w:rPr>
        <w:t xml:space="preserve">VOCs </w:t>
      </w:r>
      <w:r>
        <w:t>废气已按要求申请总量指标，因此，本项目的建设运行对当地大气环境功能影响相对较小。</w:t>
      </w:r>
    </w:p>
    <w:p>
      <w:pPr>
        <w:pStyle w:val="Heading5"/>
        <w:spacing w:line="305" w:lineRule="exact"/>
        <w:ind w:left="2069"/>
      </w:pPr>
      <w:r>
        <w:t>②水环境质量底线及分区管控</w:t>
      </w:r>
    </w:p>
    <w:p>
      <w:pPr>
        <w:pStyle w:val="BodyText"/>
        <w:spacing w:before="160" w:line="364" w:lineRule="auto"/>
        <w:ind w:left="1589" w:right="421" w:firstLine="480"/>
        <w:jc w:val="both"/>
      </w:pPr>
      <w:r>
        <w:t>本项目位于宁城街道道控制单元，属于水环境重点管控区，本项目无生产废水排放，生活污水经化粪池处理后通过市政污水管网排入宁津县嘉诚水质净化有限公司深度处理，对区域地表水环境功能影响较小。</w:t>
      </w:r>
    </w:p>
    <w:p>
      <w:pPr>
        <w:pStyle w:val="Heading5"/>
        <w:spacing w:line="304" w:lineRule="exact"/>
        <w:ind w:left="2069"/>
      </w:pPr>
      <w:r>
        <w:t>③土壤环境风险防控底线及分区管控</w:t>
      </w:r>
    </w:p>
    <w:p>
      <w:pPr>
        <w:pStyle w:val="BodyText"/>
        <w:spacing w:before="161" w:line="362" w:lineRule="auto"/>
        <w:ind w:left="1589" w:right="421" w:firstLine="480"/>
      </w:pPr>
      <w:r>
        <w:t>本项目属于建设用地一般管控单元，占地为工业用地，厂区根据功能分区按要求进行分区防渗，本项目的建设运行对土壤影响轻微。</w:t>
      </w:r>
    </w:p>
    <w:p>
      <w:pPr>
        <w:pStyle w:val="Heading5"/>
        <w:numPr>
          <w:ilvl w:val="0"/>
          <w:numId w:val="2"/>
        </w:numPr>
        <w:tabs>
          <w:tab w:val="left" w:pos="2672"/>
        </w:tabs>
        <w:spacing w:before="5" w:after="0" w:line="240" w:lineRule="auto"/>
        <w:ind w:left="2672" w:right="0" w:hanging="603"/>
        <w:jc w:val="left"/>
      </w:pPr>
      <w:r>
        <w:t>资源利用上线及分区管控</w:t>
      </w:r>
    </w:p>
    <w:p>
      <w:pPr>
        <w:pStyle w:val="BodyText"/>
        <w:spacing w:before="160" w:line="362" w:lineRule="auto"/>
        <w:ind w:left="1589" w:right="421" w:firstLine="480"/>
      </w:pPr>
      <w:r>
        <w:t>本项目生产上利用的资源主要为水和电。用电由宁津县供电管网提供，用水由城市供水管网提供，用电和用水量均较少，不会对当地的资</w:t>
      </w:r>
    </w:p>
    <w:p>
      <w:pPr>
        <w:spacing w:after="0" w:line="362" w:lineRule="auto"/>
        <w:sectPr>
          <w:footerReference w:type="default" r:id="rId9"/>
          <w:pgSz w:w="11910" w:h="16840"/>
          <w:pgMar w:top="1400" w:right="1119" w:bottom="1200" w:left="1120" w:header="0" w:footer="939" w:gutter="0"/>
          <w:pgNumType w:start="5"/>
          <w:cols w:num="1" w:space="720"/>
        </w:sect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237"/>
        <w:gridCol w:w="1146"/>
        <w:gridCol w:w="3684"/>
        <w:gridCol w:w="2565"/>
        <w:gridCol w:w="238"/>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041"/>
        </w:trPr>
        <w:tc>
          <w:tcPr>
            <w:tcW w:w="1168" w:type="dxa"/>
            <w:vMerge w:val="restart"/>
          </w:tcPr>
          <w:p>
            <w:pPr>
              <w:pStyle w:val="TableParagraph"/>
              <w:rPr>
                <w:rFonts w:ascii="Times New Roman"/>
                <w:sz w:val="20"/>
              </w:rPr>
            </w:pPr>
          </w:p>
        </w:tc>
        <w:tc>
          <w:tcPr>
            <w:tcW w:w="7870" w:type="dxa"/>
            <w:gridSpan w:val="5"/>
            <w:tcBorders>
              <w:bottom w:val="nil"/>
            </w:tcBorders>
          </w:tcPr>
          <w:p>
            <w:pPr>
              <w:pStyle w:val="TableParagraph"/>
              <w:spacing w:before="3"/>
              <w:ind w:left="107"/>
              <w:rPr>
                <w:sz w:val="24"/>
              </w:rPr>
            </w:pPr>
            <w:r>
              <w:rPr>
                <w:sz w:val="24"/>
              </w:rPr>
              <w:t>源供应产生明显的影响。</w:t>
            </w:r>
          </w:p>
          <w:p>
            <w:pPr>
              <w:pStyle w:val="TableParagraph"/>
              <w:spacing w:before="158"/>
              <w:ind w:left="587"/>
              <w:rPr>
                <w:b/>
                <w:sz w:val="24"/>
              </w:rPr>
            </w:pPr>
            <w:r>
              <w:rPr>
                <w:b/>
                <w:sz w:val="24"/>
              </w:rPr>
              <w:t>（</w:t>
            </w:r>
            <w:r>
              <w:rPr>
                <w:rFonts w:ascii="Times New Roman" w:eastAsia="Times New Roman"/>
                <w:b/>
                <w:sz w:val="24"/>
              </w:rPr>
              <w:t>4</w:t>
            </w:r>
            <w:r>
              <w:rPr>
                <w:b/>
                <w:sz w:val="24"/>
              </w:rPr>
              <w:t>）生态环境准入要求</w:t>
            </w:r>
          </w:p>
          <w:p>
            <w:pPr>
              <w:pStyle w:val="TableParagraph"/>
              <w:spacing w:before="158"/>
              <w:ind w:left="587"/>
              <w:rPr>
                <w:b/>
                <w:sz w:val="24"/>
              </w:rPr>
            </w:pPr>
            <w:r>
              <w:rPr>
                <w:b/>
                <w:sz w:val="24"/>
              </w:rPr>
              <w:t>①总则符合性分析</w:t>
            </w:r>
          </w:p>
          <w:p>
            <w:pPr>
              <w:pStyle w:val="TableParagraph"/>
              <w:spacing w:before="160" w:line="364" w:lineRule="auto"/>
              <w:ind w:left="107" w:right="87" w:firstLine="480"/>
              <w:jc w:val="both"/>
              <w:rPr>
                <w:sz w:val="24"/>
              </w:rPr>
            </w:pPr>
            <w:r>
              <w:rPr>
                <w:sz w:val="24"/>
              </w:rPr>
              <w:t>本项目属于塑料板材项目，不属于空间布局约束中禁止开发建设活动，不位于敏感区，不属于限制开发建设活动，不属于限制开发建设的工业项目，满足空间布局约束要求。满足污染物排放管控要求。满足环境风险控制要求，满足资源利用效率要求。</w:t>
            </w:r>
          </w:p>
          <w:p>
            <w:pPr>
              <w:pStyle w:val="TableParagraph"/>
              <w:spacing w:line="305" w:lineRule="exact"/>
              <w:ind w:left="587"/>
              <w:rPr>
                <w:b/>
                <w:sz w:val="24"/>
              </w:rPr>
            </w:pPr>
            <w:r>
              <w:rPr>
                <w:b/>
                <w:sz w:val="24"/>
              </w:rPr>
              <w:t>②单元符合性分析</w:t>
            </w:r>
          </w:p>
          <w:p>
            <w:pPr>
              <w:pStyle w:val="TableParagraph"/>
              <w:tabs>
                <w:tab w:val="left" w:pos="628"/>
              </w:tabs>
              <w:spacing w:before="161" w:line="284" w:lineRule="exact"/>
              <w:ind w:right="188"/>
              <w:jc w:val="center"/>
              <w:rPr>
                <w:b/>
                <w:sz w:val="24"/>
              </w:rPr>
            </w:pPr>
            <w:r>
              <w:rPr>
                <w:b/>
                <w:sz w:val="24"/>
              </w:rPr>
              <w:t>表</w:t>
            </w:r>
            <w:r>
              <w:rPr>
                <w:b/>
                <w:spacing w:val="-62"/>
                <w:sz w:val="24"/>
              </w:rPr>
              <w:t xml:space="preserve"> </w:t>
            </w:r>
            <w:r>
              <w:rPr>
                <w:rFonts w:ascii="Times New Roman" w:eastAsia="Times New Roman"/>
                <w:b/>
                <w:sz w:val="24"/>
              </w:rPr>
              <w:t>4</w:t>
            </w:r>
            <w:r>
              <w:rPr>
                <w:rFonts w:ascii="Times New Roman" w:eastAsia="Times New Roman"/>
                <w:b/>
                <w:sz w:val="24"/>
              </w:rPr>
              <w:tab/>
            </w:r>
            <w:r>
              <w:rPr>
                <w:b/>
                <w:sz w:val="24"/>
              </w:rPr>
              <w:t>与德州市生态环境准入清单（单元）符合性分析</w:t>
            </w:r>
          </w:p>
        </w:tc>
      </w:tr>
      <w:tr>
        <w:tblPrEx>
          <w:tblW w:w="0" w:type="auto"/>
          <w:tblInd w:w="324" w:type="dxa"/>
          <w:tblLayout w:type="fixed"/>
          <w:tblCellMar>
            <w:top w:w="0" w:type="dxa"/>
            <w:left w:w="0" w:type="dxa"/>
            <w:bottom w:w="0" w:type="dxa"/>
            <w:right w:w="0" w:type="dxa"/>
          </w:tblCellMar>
        </w:tblPrEx>
        <w:trPr>
          <w:trHeight w:val="257"/>
        </w:trPr>
        <w:tc>
          <w:tcPr>
            <w:tcW w:w="1168" w:type="dxa"/>
            <w:vMerge/>
            <w:tcBorders>
              <w:top w:val="nil"/>
            </w:tcBorders>
          </w:tcPr>
          <w:p>
            <w:pPr>
              <w:rPr>
                <w:sz w:val="2"/>
                <w:szCs w:val="2"/>
              </w:rPr>
            </w:pPr>
          </w:p>
        </w:tc>
        <w:tc>
          <w:tcPr>
            <w:tcW w:w="237" w:type="dxa"/>
            <w:vMerge w:val="restart"/>
            <w:tcBorders>
              <w:top w:val="nil"/>
              <w:right w:val="single" w:sz="4" w:space="0" w:color="000000"/>
            </w:tcBorders>
          </w:tcPr>
          <w:p>
            <w:pPr>
              <w:pStyle w:val="TableParagraph"/>
              <w:rPr>
                <w:rFonts w:ascii="Times New Roman"/>
                <w:sz w:val="20"/>
              </w:rPr>
            </w:pPr>
          </w:p>
        </w:tc>
        <w:tc>
          <w:tcPr>
            <w:tcW w:w="1146" w:type="dxa"/>
            <w:tcBorders>
              <w:top w:val="single" w:sz="4" w:space="0" w:color="000000"/>
              <w:left w:val="single" w:sz="4" w:space="0" w:color="000000"/>
              <w:bottom w:val="nil"/>
              <w:right w:val="single" w:sz="4" w:space="0" w:color="000000"/>
            </w:tcBorders>
          </w:tcPr>
          <w:p>
            <w:pPr>
              <w:pStyle w:val="TableParagraph"/>
              <w:spacing w:line="237" w:lineRule="exact"/>
              <w:ind w:left="135" w:right="117"/>
              <w:jc w:val="center"/>
              <w:rPr>
                <w:b/>
                <w:sz w:val="21"/>
              </w:rPr>
            </w:pPr>
            <w:r>
              <w:rPr>
                <w:b/>
                <w:sz w:val="21"/>
              </w:rPr>
              <w:t>环境管控</w:t>
            </w:r>
          </w:p>
        </w:tc>
        <w:tc>
          <w:tcPr>
            <w:tcW w:w="6249"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before="145"/>
              <w:ind w:left="2058" w:right="2040"/>
              <w:jc w:val="center"/>
              <w:rPr>
                <w:rFonts w:ascii="Times New Roman"/>
                <w:sz w:val="21"/>
              </w:rPr>
            </w:pPr>
            <w:r>
              <w:rPr>
                <w:rFonts w:ascii="Times New Roman"/>
                <w:sz w:val="21"/>
              </w:rPr>
              <w:t>ZH37142220004</w:t>
            </w:r>
          </w:p>
        </w:tc>
        <w:tc>
          <w:tcPr>
            <w:tcW w:w="238" w:type="dxa"/>
            <w:vMerge w:val="restart"/>
            <w:tcBorders>
              <w:top w:val="nil"/>
              <w:left w:val="single" w:sz="4" w:space="0" w:color="000000"/>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257"/>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nil"/>
              <w:left w:val="single" w:sz="4" w:space="0" w:color="000000"/>
              <w:bottom w:val="single" w:sz="4" w:space="0" w:color="000000"/>
              <w:right w:val="single" w:sz="4" w:space="0" w:color="000000"/>
            </w:tcBorders>
          </w:tcPr>
          <w:p>
            <w:pPr>
              <w:pStyle w:val="TableParagraph"/>
              <w:spacing w:line="238" w:lineRule="exact"/>
              <w:ind w:left="135" w:right="117"/>
              <w:jc w:val="center"/>
              <w:rPr>
                <w:b/>
                <w:sz w:val="21"/>
              </w:rPr>
            </w:pPr>
            <w:r>
              <w:rPr>
                <w:b/>
                <w:sz w:val="21"/>
              </w:rPr>
              <w:t>单元编码</w:t>
            </w:r>
          </w:p>
        </w:tc>
        <w:tc>
          <w:tcPr>
            <w:tcW w:w="6249" w:type="dxa"/>
            <w:gridSpan w:val="2"/>
            <w:vMerge/>
            <w:tcBorders>
              <w:top w:val="nil"/>
              <w:left w:val="single" w:sz="4" w:space="0" w:color="000000"/>
              <w:bottom w:val="single" w:sz="4" w:space="0" w:color="000000"/>
              <w:right w:val="single" w:sz="4" w:space="0" w:color="000000"/>
            </w:tcBorders>
          </w:tcPr>
          <w:p>
            <w:pPr>
              <w:rPr>
                <w:sz w:val="2"/>
                <w:szCs w:val="2"/>
              </w:rPr>
            </w:pP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56"/>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single" w:sz="4" w:space="0" w:color="000000"/>
              <w:left w:val="single" w:sz="4" w:space="0" w:color="000000"/>
              <w:bottom w:val="nil"/>
              <w:right w:val="single" w:sz="4" w:space="0" w:color="000000"/>
            </w:tcBorders>
          </w:tcPr>
          <w:p>
            <w:pPr>
              <w:pStyle w:val="TableParagraph"/>
              <w:spacing w:line="236" w:lineRule="exact"/>
              <w:ind w:left="135" w:right="117"/>
              <w:jc w:val="center"/>
              <w:rPr>
                <w:b/>
                <w:sz w:val="21"/>
              </w:rPr>
            </w:pPr>
            <w:r>
              <w:rPr>
                <w:b/>
                <w:sz w:val="21"/>
              </w:rPr>
              <w:t>环境管控</w:t>
            </w:r>
          </w:p>
        </w:tc>
        <w:tc>
          <w:tcPr>
            <w:tcW w:w="6249"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before="130"/>
              <w:ind w:left="2058" w:right="2041"/>
              <w:jc w:val="center"/>
              <w:rPr>
                <w:sz w:val="21"/>
              </w:rPr>
            </w:pPr>
            <w:r>
              <w:rPr>
                <w:sz w:val="21"/>
              </w:rPr>
              <w:t>宁津经济开发区工业区</w:t>
            </w: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58"/>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nil"/>
              <w:left w:val="single" w:sz="4" w:space="0" w:color="000000"/>
              <w:bottom w:val="single" w:sz="4" w:space="0" w:color="000000"/>
              <w:right w:val="single" w:sz="4" w:space="0" w:color="000000"/>
            </w:tcBorders>
          </w:tcPr>
          <w:p>
            <w:pPr>
              <w:pStyle w:val="TableParagraph"/>
              <w:spacing w:line="239" w:lineRule="exact"/>
              <w:ind w:left="135" w:right="117"/>
              <w:jc w:val="center"/>
              <w:rPr>
                <w:b/>
                <w:sz w:val="21"/>
              </w:rPr>
            </w:pPr>
            <w:r>
              <w:rPr>
                <w:b/>
                <w:sz w:val="21"/>
              </w:rPr>
              <w:t>单元名称</w:t>
            </w:r>
          </w:p>
        </w:tc>
        <w:tc>
          <w:tcPr>
            <w:tcW w:w="6249" w:type="dxa"/>
            <w:gridSpan w:val="2"/>
            <w:vMerge/>
            <w:tcBorders>
              <w:top w:val="nil"/>
              <w:left w:val="single" w:sz="4" w:space="0" w:color="000000"/>
              <w:bottom w:val="single" w:sz="4" w:space="0" w:color="000000"/>
              <w:right w:val="single" w:sz="4" w:space="0" w:color="000000"/>
            </w:tcBorders>
          </w:tcPr>
          <w:p>
            <w:pPr>
              <w:rPr>
                <w:sz w:val="2"/>
                <w:szCs w:val="2"/>
              </w:rPr>
            </w:pP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87"/>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single" w:sz="4" w:space="0" w:color="000000"/>
              <w:left w:val="single" w:sz="4" w:space="0" w:color="000000"/>
              <w:bottom w:val="nil"/>
              <w:right w:val="single" w:sz="4" w:space="0" w:color="000000"/>
            </w:tcBorders>
          </w:tcPr>
          <w:p>
            <w:pPr>
              <w:pStyle w:val="TableParagraph"/>
              <w:spacing w:before="26" w:line="240" w:lineRule="exact"/>
              <w:ind w:left="135" w:right="117"/>
              <w:jc w:val="center"/>
              <w:rPr>
                <w:b/>
                <w:sz w:val="21"/>
              </w:rPr>
            </w:pPr>
            <w:r>
              <w:rPr>
                <w:b/>
                <w:sz w:val="21"/>
              </w:rPr>
              <w:t>管控单元</w:t>
            </w:r>
          </w:p>
        </w:tc>
        <w:tc>
          <w:tcPr>
            <w:tcW w:w="6249"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before="161"/>
              <w:ind w:left="2058" w:right="2041"/>
              <w:jc w:val="center"/>
              <w:rPr>
                <w:sz w:val="21"/>
              </w:rPr>
            </w:pPr>
            <w:r>
              <w:rPr>
                <w:sz w:val="21"/>
              </w:rPr>
              <w:t>重点管控单元</w:t>
            </w: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89"/>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nil"/>
              <w:left w:val="single" w:sz="4" w:space="0" w:color="000000"/>
              <w:bottom w:val="single" w:sz="4" w:space="0" w:color="000000"/>
              <w:right w:val="single" w:sz="4" w:space="0" w:color="000000"/>
            </w:tcBorders>
          </w:tcPr>
          <w:p>
            <w:pPr>
              <w:pStyle w:val="TableParagraph"/>
              <w:spacing w:line="260" w:lineRule="exact"/>
              <w:ind w:left="135" w:right="117"/>
              <w:jc w:val="center"/>
              <w:rPr>
                <w:b/>
                <w:sz w:val="21"/>
              </w:rPr>
            </w:pPr>
            <w:r>
              <w:rPr>
                <w:b/>
                <w:sz w:val="21"/>
              </w:rPr>
              <w:t>分类</w:t>
            </w:r>
          </w:p>
        </w:tc>
        <w:tc>
          <w:tcPr>
            <w:tcW w:w="6249" w:type="dxa"/>
            <w:gridSpan w:val="2"/>
            <w:vMerge/>
            <w:tcBorders>
              <w:top w:val="nil"/>
              <w:left w:val="single" w:sz="4" w:space="0" w:color="000000"/>
              <w:bottom w:val="single" w:sz="4" w:space="0" w:color="000000"/>
              <w:right w:val="single" w:sz="4" w:space="0" w:color="000000"/>
            </w:tcBorders>
          </w:tcPr>
          <w:p>
            <w:pPr>
              <w:rPr>
                <w:sz w:val="2"/>
                <w:szCs w:val="2"/>
              </w:rPr>
            </w:pP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395"/>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single" w:sz="4" w:space="0" w:color="000000"/>
              <w:left w:val="single" w:sz="4" w:space="0" w:color="000000"/>
              <w:bottom w:val="single" w:sz="4" w:space="0" w:color="000000"/>
              <w:right w:val="single" w:sz="4" w:space="0" w:color="000000"/>
            </w:tcBorders>
          </w:tcPr>
          <w:p>
            <w:pPr>
              <w:pStyle w:val="TableParagraph"/>
              <w:spacing w:before="60"/>
              <w:ind w:left="135" w:right="117"/>
              <w:jc w:val="center"/>
              <w:rPr>
                <w:b/>
                <w:sz w:val="21"/>
              </w:rPr>
            </w:pPr>
            <w:r>
              <w:rPr>
                <w:b/>
                <w:sz w:val="21"/>
              </w:rPr>
              <w:t>内容</w:t>
            </w:r>
          </w:p>
        </w:tc>
        <w:tc>
          <w:tcPr>
            <w:tcW w:w="3684" w:type="dxa"/>
            <w:tcBorders>
              <w:top w:val="single" w:sz="4" w:space="0" w:color="000000"/>
              <w:left w:val="single" w:sz="4" w:space="0" w:color="000000"/>
              <w:bottom w:val="single" w:sz="4" w:space="0" w:color="000000"/>
              <w:right w:val="single" w:sz="4" w:space="0" w:color="000000"/>
            </w:tcBorders>
          </w:tcPr>
          <w:p>
            <w:pPr>
              <w:pStyle w:val="TableParagraph"/>
              <w:spacing w:before="60"/>
              <w:ind w:left="91" w:right="77"/>
              <w:jc w:val="center"/>
              <w:rPr>
                <w:b/>
                <w:sz w:val="21"/>
              </w:rPr>
            </w:pPr>
            <w:r>
              <w:rPr>
                <w:b/>
                <w:sz w:val="21"/>
              </w:rPr>
              <w:t>准入清单要求</w:t>
            </w:r>
          </w:p>
        </w:tc>
        <w:tc>
          <w:tcPr>
            <w:tcW w:w="2565" w:type="dxa"/>
            <w:tcBorders>
              <w:top w:val="single" w:sz="4" w:space="0" w:color="000000"/>
              <w:left w:val="single" w:sz="4" w:space="0" w:color="000000"/>
              <w:bottom w:val="single" w:sz="4" w:space="0" w:color="000000"/>
              <w:right w:val="single" w:sz="4" w:space="0" w:color="000000"/>
            </w:tcBorders>
          </w:tcPr>
          <w:p>
            <w:pPr>
              <w:pStyle w:val="TableParagraph"/>
              <w:spacing w:before="60"/>
              <w:ind w:left="759"/>
              <w:rPr>
                <w:b/>
                <w:sz w:val="21"/>
              </w:rPr>
            </w:pPr>
            <w:r>
              <w:rPr>
                <w:b/>
                <w:sz w:val="21"/>
              </w:rPr>
              <w:t>本项目情况</w:t>
            </w: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985"/>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2"/>
              <w:rPr>
                <w:sz w:val="15"/>
              </w:rPr>
            </w:pPr>
          </w:p>
          <w:p>
            <w:pPr>
              <w:pStyle w:val="TableParagraph"/>
              <w:spacing w:line="244" w:lineRule="auto"/>
              <w:ind w:left="367" w:right="137" w:hanging="209"/>
              <w:rPr>
                <w:sz w:val="21"/>
              </w:rPr>
            </w:pPr>
            <w:r>
              <w:rPr>
                <w:sz w:val="21"/>
              </w:rPr>
              <w:t>空间布局约束</w:t>
            </w:r>
          </w:p>
        </w:tc>
        <w:tc>
          <w:tcPr>
            <w:tcW w:w="3684" w:type="dxa"/>
            <w:tcBorders>
              <w:top w:val="single" w:sz="4" w:space="0" w:color="000000"/>
              <w:left w:val="single" w:sz="4" w:space="0" w:color="000000"/>
              <w:bottom w:val="single" w:sz="4" w:space="0" w:color="000000"/>
              <w:right w:val="single" w:sz="4" w:space="0" w:color="000000"/>
            </w:tcBorders>
          </w:tcPr>
          <w:p>
            <w:pPr>
              <w:pStyle w:val="TableParagraph"/>
              <w:numPr>
                <w:ilvl w:val="0"/>
                <w:numId w:val="3"/>
              </w:numPr>
              <w:tabs>
                <w:tab w:val="left" w:pos="271"/>
              </w:tabs>
              <w:spacing w:before="130" w:after="0" w:line="242" w:lineRule="auto"/>
              <w:ind w:left="111" w:right="253" w:firstLine="0"/>
              <w:jc w:val="left"/>
              <w:rPr>
                <w:sz w:val="21"/>
              </w:rPr>
            </w:pPr>
            <w:r>
              <w:rPr>
                <w:w w:val="95"/>
                <w:sz w:val="21"/>
              </w:rPr>
              <w:t>执行全市空间布局约束空间准入要</w:t>
            </w:r>
            <w:r>
              <w:rPr>
                <w:sz w:val="21"/>
              </w:rPr>
              <w:t>求。</w:t>
            </w:r>
          </w:p>
          <w:p>
            <w:pPr>
              <w:pStyle w:val="TableParagraph"/>
              <w:numPr>
                <w:ilvl w:val="0"/>
                <w:numId w:val="3"/>
              </w:numPr>
              <w:tabs>
                <w:tab w:val="left" w:pos="271"/>
              </w:tabs>
              <w:spacing w:before="1" w:after="0" w:line="244" w:lineRule="auto"/>
              <w:ind w:left="111" w:right="464" w:firstLine="0"/>
              <w:jc w:val="left"/>
              <w:rPr>
                <w:sz w:val="21"/>
              </w:rPr>
            </w:pPr>
            <w:r>
              <w:rPr>
                <w:w w:val="95"/>
                <w:sz w:val="21"/>
              </w:rPr>
              <w:t>满足开发区规划环评产业准入要</w:t>
            </w:r>
            <w:r>
              <w:rPr>
                <w:sz w:val="21"/>
              </w:rPr>
              <w:t>求。</w:t>
            </w:r>
          </w:p>
          <w:p>
            <w:pPr>
              <w:pStyle w:val="TableParagraph"/>
              <w:numPr>
                <w:ilvl w:val="0"/>
                <w:numId w:val="3"/>
              </w:numPr>
              <w:tabs>
                <w:tab w:val="left" w:pos="271"/>
              </w:tabs>
              <w:spacing w:before="0" w:after="0" w:line="242" w:lineRule="auto"/>
              <w:ind w:left="111" w:right="202" w:firstLine="0"/>
              <w:jc w:val="left"/>
              <w:rPr>
                <w:sz w:val="21"/>
              </w:rPr>
            </w:pPr>
            <w:r>
              <w:rPr>
                <w:sz w:val="21"/>
              </w:rPr>
              <w:t xml:space="preserve">限制制浆造纸、印染、制革、电 </w:t>
            </w:r>
            <w:r>
              <w:rPr>
                <w:w w:val="95"/>
                <w:sz w:val="21"/>
              </w:rPr>
              <w:t>镀、碳素等工业项目建设，控制铸造行业项目建设（满足山东省相关准入</w:t>
            </w:r>
            <w:r>
              <w:rPr>
                <w:sz w:val="21"/>
              </w:rPr>
              <w:t>要求）。</w:t>
            </w:r>
          </w:p>
          <w:p>
            <w:pPr>
              <w:pStyle w:val="TableParagraph"/>
              <w:numPr>
                <w:ilvl w:val="0"/>
                <w:numId w:val="3"/>
              </w:numPr>
              <w:tabs>
                <w:tab w:val="left" w:pos="271"/>
              </w:tabs>
              <w:spacing w:before="0" w:after="0" w:line="242" w:lineRule="auto"/>
              <w:ind w:left="111" w:right="464" w:firstLine="0"/>
              <w:jc w:val="left"/>
              <w:rPr>
                <w:sz w:val="21"/>
              </w:rPr>
            </w:pPr>
            <w:r>
              <w:rPr>
                <w:w w:val="95"/>
                <w:sz w:val="21"/>
              </w:rPr>
              <w:t>限制高耗水、高耗能（特别是煤</w:t>
            </w:r>
            <w:r>
              <w:rPr>
                <w:sz w:val="21"/>
              </w:rPr>
              <w:t>炭）工业项目建设。</w:t>
            </w:r>
          </w:p>
        </w:tc>
        <w:tc>
          <w:tcPr>
            <w:tcW w:w="2565"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11"/>
              <w:rPr>
                <w:sz w:val="21"/>
              </w:rPr>
            </w:pPr>
            <w:r>
              <w:rPr>
                <w:sz w:val="21"/>
              </w:rPr>
              <w:t>符合。</w:t>
            </w:r>
          </w:p>
          <w:p>
            <w:pPr>
              <w:pStyle w:val="TableParagraph"/>
              <w:spacing w:before="2" w:line="242" w:lineRule="auto"/>
              <w:ind w:left="111" w:right="185"/>
              <w:rPr>
                <w:sz w:val="21"/>
              </w:rPr>
            </w:pPr>
            <w:r>
              <w:rPr>
                <w:rFonts w:ascii="Times New Roman" w:eastAsia="Times New Roman"/>
                <w:sz w:val="21"/>
              </w:rPr>
              <w:t>1.</w:t>
            </w:r>
            <w:r>
              <w:rPr>
                <w:spacing w:val="-2"/>
                <w:sz w:val="21"/>
              </w:rPr>
              <w:t>本项目满足全市空间布</w:t>
            </w:r>
            <w:r>
              <w:rPr>
                <w:sz w:val="21"/>
              </w:rPr>
              <w:t xml:space="preserve">局约束空间准入要求。 </w:t>
            </w:r>
            <w:r>
              <w:rPr>
                <w:rFonts w:ascii="Times New Roman" w:eastAsia="Times New Roman"/>
                <w:sz w:val="21"/>
              </w:rPr>
              <w:t>2.</w:t>
            </w:r>
            <w:r>
              <w:rPr>
                <w:spacing w:val="-2"/>
                <w:sz w:val="21"/>
              </w:rPr>
              <w:t>本项目满足开发区规划</w:t>
            </w:r>
            <w:r>
              <w:rPr>
                <w:sz w:val="21"/>
              </w:rPr>
              <w:t>环评产业准入要求</w:t>
            </w:r>
          </w:p>
          <w:p>
            <w:pPr>
              <w:pStyle w:val="TableParagraph"/>
              <w:numPr>
                <w:ilvl w:val="0"/>
                <w:numId w:val="4"/>
              </w:numPr>
              <w:tabs>
                <w:tab w:val="left" w:pos="271"/>
              </w:tabs>
              <w:spacing w:before="2" w:after="0" w:line="242" w:lineRule="auto"/>
              <w:ind w:left="111" w:right="132" w:firstLine="0"/>
              <w:jc w:val="left"/>
              <w:rPr>
                <w:sz w:val="21"/>
              </w:rPr>
            </w:pPr>
            <w:r>
              <w:rPr>
                <w:sz w:val="21"/>
              </w:rPr>
              <w:t xml:space="preserve">本项目不属于左侧控 </w:t>
            </w:r>
            <w:r>
              <w:rPr>
                <w:spacing w:val="-2"/>
                <w:sz w:val="21"/>
              </w:rPr>
              <w:t>制、禁止和限制的工业项</w:t>
            </w:r>
            <w:r>
              <w:rPr>
                <w:sz w:val="21"/>
              </w:rPr>
              <w:t>目。</w:t>
            </w:r>
          </w:p>
          <w:p>
            <w:pPr>
              <w:pStyle w:val="TableParagraph"/>
              <w:numPr>
                <w:ilvl w:val="0"/>
                <w:numId w:val="4"/>
              </w:numPr>
              <w:tabs>
                <w:tab w:val="left" w:pos="271"/>
              </w:tabs>
              <w:spacing w:before="1" w:after="0" w:line="240" w:lineRule="auto"/>
              <w:ind w:left="270" w:right="0" w:hanging="160"/>
              <w:jc w:val="left"/>
              <w:rPr>
                <w:sz w:val="21"/>
              </w:rPr>
            </w:pPr>
            <w:r>
              <w:rPr>
                <w:sz w:val="21"/>
              </w:rPr>
              <w:t>本项目不属于限制高耗</w:t>
            </w:r>
          </w:p>
          <w:p>
            <w:pPr>
              <w:pStyle w:val="TableParagraph"/>
              <w:spacing w:before="4" w:line="270" w:lineRule="atLeast"/>
              <w:ind w:left="111" w:right="343"/>
              <w:rPr>
                <w:sz w:val="21"/>
              </w:rPr>
            </w:pPr>
            <w:r>
              <w:rPr>
                <w:sz w:val="21"/>
              </w:rPr>
              <w:t>水、高耗能（特别是煤炭）工业项目。</w:t>
            </w: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1612"/>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3684" w:type="dxa"/>
            <w:tcBorders>
              <w:top w:val="single" w:sz="4" w:space="0" w:color="000000"/>
              <w:left w:val="single" w:sz="4" w:space="0" w:color="000000"/>
              <w:bottom w:val="nil"/>
              <w:right w:val="single" w:sz="4" w:space="0" w:color="000000"/>
            </w:tcBorders>
          </w:tcPr>
          <w:p>
            <w:pPr>
              <w:pStyle w:val="TableParagraph"/>
              <w:numPr>
                <w:ilvl w:val="0"/>
                <w:numId w:val="5"/>
              </w:numPr>
              <w:tabs>
                <w:tab w:val="left" w:pos="271"/>
              </w:tabs>
              <w:spacing w:before="0" w:after="0" w:line="242" w:lineRule="auto"/>
              <w:ind w:left="111" w:right="130" w:firstLine="0"/>
              <w:jc w:val="left"/>
              <w:rPr>
                <w:sz w:val="21"/>
              </w:rPr>
            </w:pPr>
            <w:r>
              <w:rPr>
                <w:sz w:val="21"/>
              </w:rPr>
              <w:t>执行《区域性大气污染物综合排放</w:t>
            </w:r>
            <w:r>
              <w:rPr>
                <w:w w:val="95"/>
                <w:sz w:val="21"/>
              </w:rPr>
              <w:t>标准》（</w:t>
            </w:r>
            <w:r>
              <w:rPr>
                <w:rFonts w:ascii="Times New Roman" w:eastAsia="Times New Roman"/>
                <w:w w:val="95"/>
                <w:sz w:val="21"/>
              </w:rPr>
              <w:t>DB37/2376)(</w:t>
            </w:r>
            <w:r>
              <w:rPr>
                <w:w w:val="95"/>
                <w:sz w:val="21"/>
              </w:rPr>
              <w:t>包括有分区要求的行业标准</w:t>
            </w:r>
            <w:r>
              <w:rPr>
                <w:rFonts w:ascii="Times New Roman" w:eastAsia="Times New Roman"/>
                <w:w w:val="95"/>
                <w:sz w:val="21"/>
              </w:rPr>
              <w:t>)</w:t>
            </w:r>
            <w:r>
              <w:rPr>
                <w:w w:val="95"/>
                <w:sz w:val="21"/>
              </w:rPr>
              <w:t>规定的重点控制区排放标</w:t>
            </w:r>
            <w:r>
              <w:rPr>
                <w:sz w:val="21"/>
              </w:rPr>
              <w:t>准。</w:t>
            </w:r>
          </w:p>
          <w:p>
            <w:pPr>
              <w:pStyle w:val="TableParagraph"/>
              <w:numPr>
                <w:ilvl w:val="0"/>
                <w:numId w:val="5"/>
              </w:numPr>
              <w:tabs>
                <w:tab w:val="left" w:pos="271"/>
              </w:tabs>
              <w:spacing w:before="0" w:after="0" w:line="270" w:lineRule="atLeast"/>
              <w:ind w:left="111" w:right="202" w:firstLine="0"/>
              <w:jc w:val="left"/>
              <w:rPr>
                <w:sz w:val="21"/>
              </w:rPr>
            </w:pPr>
            <w:r>
              <w:rPr>
                <w:spacing w:val="-11"/>
                <w:sz w:val="21"/>
              </w:rPr>
              <w:t xml:space="preserve">严格控制 </w:t>
            </w:r>
            <w:r>
              <w:rPr>
                <w:rFonts w:ascii="Times New Roman" w:eastAsia="Times New Roman"/>
                <w:sz w:val="21"/>
              </w:rPr>
              <w:t>VOCs</w:t>
            </w:r>
            <w:r>
              <w:rPr>
                <w:rFonts w:ascii="Times New Roman" w:eastAsia="Times New Roman"/>
                <w:spacing w:val="-4"/>
                <w:sz w:val="21"/>
              </w:rPr>
              <w:t xml:space="preserve"> </w:t>
            </w:r>
            <w:r>
              <w:rPr>
                <w:sz w:val="21"/>
              </w:rPr>
              <w:t>排放重点行业新增</w:t>
            </w:r>
            <w:r>
              <w:rPr>
                <w:w w:val="95"/>
                <w:sz w:val="21"/>
              </w:rPr>
              <w:t>污染物排放量，单元内涉及挥发性有</w:t>
            </w:r>
          </w:p>
        </w:tc>
        <w:tc>
          <w:tcPr>
            <w:tcW w:w="2565"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spacing w:line="264" w:lineRule="exact"/>
              <w:ind w:left="111"/>
              <w:rPr>
                <w:sz w:val="21"/>
              </w:rPr>
            </w:pPr>
            <w:r>
              <w:rPr>
                <w:sz w:val="21"/>
              </w:rPr>
              <w:t>符合。</w:t>
            </w:r>
          </w:p>
          <w:p>
            <w:pPr>
              <w:pStyle w:val="TableParagraph"/>
              <w:numPr>
                <w:ilvl w:val="0"/>
                <w:numId w:val="6"/>
              </w:numPr>
              <w:tabs>
                <w:tab w:val="left" w:pos="271"/>
              </w:tabs>
              <w:spacing w:before="4" w:after="0" w:line="242" w:lineRule="auto"/>
              <w:ind w:left="111" w:right="132" w:firstLine="0"/>
              <w:jc w:val="both"/>
              <w:rPr>
                <w:sz w:val="21"/>
              </w:rPr>
            </w:pPr>
            <w:r>
              <w:rPr>
                <w:sz w:val="21"/>
              </w:rPr>
              <w:t>本项目不涉及执行《区</w:t>
            </w:r>
            <w:r>
              <w:rPr>
                <w:spacing w:val="-2"/>
                <w:sz w:val="21"/>
              </w:rPr>
              <w:t>域性大气污染物综合排放</w:t>
            </w:r>
            <w:r>
              <w:rPr>
                <w:sz w:val="21"/>
              </w:rPr>
              <w:t>标准》（</w:t>
            </w:r>
            <w:r>
              <w:rPr>
                <w:rFonts w:ascii="Times New Roman" w:eastAsia="Times New Roman"/>
                <w:sz w:val="21"/>
              </w:rPr>
              <w:t>DB37/2376</w:t>
            </w:r>
            <w:r>
              <w:rPr>
                <w:sz w:val="21"/>
              </w:rPr>
              <w:t>）</w:t>
            </w:r>
          </w:p>
          <w:p>
            <w:pPr>
              <w:pStyle w:val="TableParagraph"/>
              <w:spacing w:before="1" w:line="242" w:lineRule="auto"/>
              <w:ind w:left="111" w:right="132"/>
              <w:rPr>
                <w:sz w:val="21"/>
              </w:rPr>
            </w:pPr>
            <w:r>
              <w:rPr>
                <w:sz w:val="21"/>
              </w:rPr>
              <w:t>（</w:t>
            </w:r>
            <w:r>
              <w:rPr>
                <w:spacing w:val="-2"/>
                <w:sz w:val="21"/>
              </w:rPr>
              <w:t>包括有分区要求的行业</w:t>
            </w:r>
            <w:r>
              <w:rPr>
                <w:sz w:val="21"/>
              </w:rPr>
              <w:t>标准）的废气污染物排 放。</w:t>
            </w:r>
          </w:p>
          <w:p>
            <w:pPr>
              <w:pStyle w:val="TableParagraph"/>
              <w:numPr>
                <w:ilvl w:val="0"/>
                <w:numId w:val="6"/>
              </w:numPr>
              <w:tabs>
                <w:tab w:val="left" w:pos="282"/>
              </w:tabs>
              <w:spacing w:before="3" w:after="0" w:line="240" w:lineRule="auto"/>
              <w:ind w:left="282" w:right="0" w:hanging="171"/>
              <w:jc w:val="left"/>
              <w:rPr>
                <w:sz w:val="21"/>
              </w:rPr>
            </w:pPr>
            <w:r>
              <w:rPr>
                <w:spacing w:val="-14"/>
                <w:sz w:val="21"/>
              </w:rPr>
              <w:t xml:space="preserve">本项目 </w:t>
            </w:r>
            <w:r>
              <w:rPr>
                <w:rFonts w:ascii="Times New Roman" w:eastAsia="Times New Roman"/>
                <w:sz w:val="21"/>
              </w:rPr>
              <w:t>VOCs</w:t>
            </w:r>
            <w:r>
              <w:rPr>
                <w:rFonts w:ascii="Times New Roman" w:eastAsia="Times New Roman"/>
                <w:spacing w:val="-9"/>
                <w:sz w:val="21"/>
              </w:rPr>
              <w:t xml:space="preserve"> </w:t>
            </w:r>
            <w:r>
              <w:rPr>
                <w:sz w:val="21"/>
              </w:rPr>
              <w:t>废气执行</w:t>
            </w:r>
          </w:p>
          <w:p>
            <w:pPr>
              <w:pStyle w:val="TableParagraph"/>
              <w:spacing w:before="2" w:line="242" w:lineRule="auto"/>
              <w:ind w:left="111" w:right="66"/>
              <w:rPr>
                <w:rFonts w:ascii="Times New Roman" w:eastAsia="Times New Roman"/>
                <w:sz w:val="21"/>
              </w:rPr>
            </w:pPr>
            <w:r>
              <w:rPr>
                <w:sz w:val="21"/>
              </w:rPr>
              <w:t xml:space="preserve">《挥发性有机物排放标准第 </w:t>
            </w:r>
            <w:r>
              <w:rPr>
                <w:rFonts w:ascii="Times New Roman" w:eastAsia="Times New Roman"/>
                <w:sz w:val="21"/>
              </w:rPr>
              <w:t xml:space="preserve">6 </w:t>
            </w:r>
            <w:r>
              <w:rPr>
                <w:sz w:val="21"/>
              </w:rPr>
              <w:t>部分：有机化工行业》（</w:t>
            </w:r>
            <w:r>
              <w:rPr>
                <w:rFonts w:ascii="Times New Roman" w:eastAsia="Times New Roman"/>
                <w:sz w:val="21"/>
              </w:rPr>
              <w:t>DB37/2801.6-</w:t>
            </w:r>
          </w:p>
          <w:p>
            <w:pPr>
              <w:pStyle w:val="TableParagraph"/>
              <w:spacing w:before="1" w:line="244" w:lineRule="auto"/>
              <w:ind w:left="111" w:right="132"/>
              <w:rPr>
                <w:sz w:val="21"/>
              </w:rPr>
            </w:pPr>
            <w:r>
              <w:rPr>
                <w:rFonts w:ascii="Times New Roman" w:eastAsia="Times New Roman"/>
                <w:sz w:val="21"/>
              </w:rPr>
              <w:t>2018</w:t>
            </w:r>
            <w:r>
              <w:rPr>
                <w:sz w:val="21"/>
              </w:rPr>
              <w:t>）及《挥发性有机物无组织排放控制标准》</w:t>
            </w:r>
          </w:p>
          <w:p>
            <w:pPr>
              <w:pStyle w:val="TableParagraph"/>
              <w:spacing w:line="265" w:lineRule="exact"/>
              <w:ind w:left="111"/>
              <w:rPr>
                <w:sz w:val="21"/>
              </w:rPr>
            </w:pPr>
            <w:r>
              <w:rPr>
                <w:sz w:val="21"/>
              </w:rPr>
              <w:t>（</w:t>
            </w:r>
            <w:r>
              <w:rPr>
                <w:rFonts w:ascii="Times New Roman" w:eastAsia="Times New Roman"/>
                <w:sz w:val="21"/>
              </w:rPr>
              <w:t>GB37822-2019</w:t>
            </w:r>
            <w:r>
              <w:rPr>
                <w:sz w:val="21"/>
              </w:rPr>
              <w:t>）满足</w:t>
            </w:r>
          </w:p>
          <w:p>
            <w:pPr>
              <w:pStyle w:val="TableParagraph"/>
              <w:spacing w:before="5" w:line="242" w:lineRule="auto"/>
              <w:ind w:left="111" w:right="132"/>
              <w:rPr>
                <w:sz w:val="21"/>
              </w:rPr>
            </w:pPr>
            <w:r>
              <w:rPr>
                <w:sz w:val="21"/>
              </w:rPr>
              <w:t>《山东省涉挥发性有机物企业分行业治理指导意</w:t>
            </w:r>
          </w:p>
          <w:p>
            <w:pPr>
              <w:pStyle w:val="TableParagraph"/>
              <w:spacing w:before="1" w:line="254" w:lineRule="exact"/>
              <w:ind w:left="111"/>
              <w:rPr>
                <w:sz w:val="21"/>
              </w:rPr>
            </w:pPr>
            <w:r>
              <w:rPr>
                <w:sz w:val="21"/>
              </w:rPr>
              <w:t>见》要求。</w:t>
            </w: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29"/>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nil"/>
              <w:left w:val="single" w:sz="4" w:space="0" w:color="000000"/>
              <w:bottom w:val="nil"/>
              <w:right w:val="single" w:sz="4" w:space="0" w:color="000000"/>
            </w:tcBorders>
          </w:tcPr>
          <w:p>
            <w:pPr>
              <w:pStyle w:val="TableParagraph"/>
              <w:rPr>
                <w:rFonts w:ascii="Times New Roman"/>
                <w:sz w:val="16"/>
              </w:rPr>
            </w:pPr>
          </w:p>
        </w:tc>
        <w:tc>
          <w:tcPr>
            <w:tcW w:w="3684" w:type="dxa"/>
            <w:tcBorders>
              <w:top w:val="nil"/>
              <w:left w:val="single" w:sz="4" w:space="0" w:color="000000"/>
              <w:bottom w:val="nil"/>
              <w:right w:val="single" w:sz="4" w:space="0" w:color="000000"/>
            </w:tcBorders>
          </w:tcPr>
          <w:p>
            <w:pPr>
              <w:pStyle w:val="TableParagraph"/>
              <w:spacing w:line="209" w:lineRule="exact"/>
              <w:ind w:left="91" w:right="182"/>
              <w:jc w:val="center"/>
              <w:rPr>
                <w:sz w:val="21"/>
              </w:rPr>
            </w:pPr>
            <w:r>
              <w:rPr>
                <w:sz w:val="21"/>
              </w:rPr>
              <w:t>机物排放的行业应严格遵守山东省地</w:t>
            </w:r>
          </w:p>
        </w:tc>
        <w:tc>
          <w:tcPr>
            <w:tcW w:w="2565" w:type="dxa"/>
            <w:vMerge/>
            <w:tcBorders>
              <w:top w:val="nil"/>
              <w:left w:val="single" w:sz="4" w:space="0" w:color="000000"/>
              <w:bottom w:val="thickThinMediumGap" w:sz="4" w:space="0" w:color="000000"/>
              <w:right w:val="single" w:sz="4" w:space="0" w:color="000000"/>
            </w:tcBorders>
          </w:tcPr>
          <w:p>
            <w:pPr>
              <w:rPr>
                <w:sz w:val="2"/>
                <w:szCs w:val="2"/>
              </w:rPr>
            </w:pP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1330"/>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nil"/>
              <w:left w:val="single" w:sz="4" w:space="0" w:color="000000"/>
              <w:bottom w:val="nil"/>
              <w:right w:val="single" w:sz="4" w:space="0" w:color="000000"/>
            </w:tcBorders>
          </w:tcPr>
          <w:p>
            <w:pPr>
              <w:pStyle w:val="TableParagraph"/>
              <w:spacing w:before="121" w:line="244" w:lineRule="auto"/>
              <w:ind w:left="261" w:right="137" w:hanging="104"/>
              <w:rPr>
                <w:sz w:val="21"/>
              </w:rPr>
            </w:pPr>
            <w:r>
              <w:rPr>
                <w:sz w:val="21"/>
              </w:rPr>
              <w:t>污染物排放管控</w:t>
            </w:r>
          </w:p>
        </w:tc>
        <w:tc>
          <w:tcPr>
            <w:tcW w:w="3684" w:type="dxa"/>
            <w:tcBorders>
              <w:top w:val="nil"/>
              <w:left w:val="single" w:sz="4" w:space="0" w:color="000000"/>
              <w:bottom w:val="nil"/>
              <w:right w:val="single" w:sz="4" w:space="0" w:color="000000"/>
            </w:tcBorders>
          </w:tcPr>
          <w:p>
            <w:pPr>
              <w:pStyle w:val="TableParagraph"/>
              <w:spacing w:line="256" w:lineRule="exact"/>
              <w:ind w:left="111"/>
              <w:rPr>
                <w:sz w:val="21"/>
              </w:rPr>
            </w:pPr>
            <w:r>
              <w:rPr>
                <w:sz w:val="21"/>
              </w:rPr>
              <w:t>方标准《挥发性有机物排放标准》</w:t>
            </w:r>
          </w:p>
          <w:p>
            <w:pPr>
              <w:pStyle w:val="TableParagraph"/>
              <w:spacing w:before="2" w:line="242" w:lineRule="auto"/>
              <w:ind w:left="111" w:right="202"/>
              <w:jc w:val="both"/>
              <w:rPr>
                <w:sz w:val="21"/>
              </w:rPr>
            </w:pPr>
            <w:r>
              <w:rPr>
                <w:sz w:val="21"/>
              </w:rPr>
              <w:t>（</w:t>
            </w:r>
            <w:r>
              <w:rPr>
                <w:rFonts w:ascii="Times New Roman" w:eastAsia="Times New Roman"/>
                <w:sz w:val="21"/>
              </w:rPr>
              <w:t>DB37/</w:t>
            </w:r>
            <w:r>
              <w:rPr>
                <w:rFonts w:ascii="Times New Roman" w:eastAsia="Times New Roman"/>
                <w:spacing w:val="-5"/>
                <w:sz w:val="21"/>
              </w:rPr>
              <w:t xml:space="preserve"> </w:t>
            </w:r>
            <w:r>
              <w:rPr>
                <w:rFonts w:ascii="Times New Roman" w:eastAsia="Times New Roman"/>
                <w:sz w:val="21"/>
              </w:rPr>
              <w:t>2801</w:t>
            </w:r>
            <w:r>
              <w:rPr>
                <w:sz w:val="21"/>
              </w:rPr>
              <w:t>）</w:t>
            </w:r>
            <w:r>
              <w:rPr>
                <w:spacing w:val="-19"/>
                <w:sz w:val="21"/>
              </w:rPr>
              <w:t xml:space="preserve">。涉 </w:t>
            </w:r>
            <w:r>
              <w:rPr>
                <w:rFonts w:ascii="Times New Roman" w:eastAsia="Times New Roman"/>
                <w:sz w:val="21"/>
              </w:rPr>
              <w:t>VOCs</w:t>
            </w:r>
            <w:r>
              <w:rPr>
                <w:rFonts w:ascii="Times New Roman" w:eastAsia="Times New Roman"/>
                <w:spacing w:val="-1"/>
                <w:sz w:val="21"/>
              </w:rPr>
              <w:t xml:space="preserve"> </w:t>
            </w:r>
            <w:r>
              <w:rPr>
                <w:sz w:val="21"/>
              </w:rPr>
              <w:t>企业无组</w:t>
            </w:r>
            <w:r>
              <w:rPr>
                <w:w w:val="95"/>
                <w:sz w:val="21"/>
              </w:rPr>
              <w:t>织排放控制执行《挥发性有机物无组织排放控制标准（</w:t>
            </w:r>
            <w:r>
              <w:rPr>
                <w:rFonts w:ascii="Times New Roman" w:eastAsia="Times New Roman"/>
                <w:w w:val="95"/>
                <w:sz w:val="21"/>
              </w:rPr>
              <w:t>GB37822</w:t>
            </w:r>
            <w:r>
              <w:rPr>
                <w:w w:val="95"/>
                <w:sz w:val="21"/>
              </w:rPr>
              <w:t>）》。家</w:t>
            </w:r>
          </w:p>
          <w:p>
            <w:pPr>
              <w:pStyle w:val="TableParagraph"/>
              <w:spacing w:before="1" w:line="237" w:lineRule="exact"/>
              <w:ind w:left="111"/>
              <w:rPr>
                <w:sz w:val="21"/>
              </w:rPr>
            </w:pPr>
            <w:r>
              <w:rPr>
                <w:w w:val="95"/>
                <w:sz w:val="21"/>
              </w:rPr>
              <w:t>具、工业涂装、印刷等行业执行《山</w:t>
            </w:r>
          </w:p>
        </w:tc>
        <w:tc>
          <w:tcPr>
            <w:tcW w:w="2565" w:type="dxa"/>
            <w:vMerge/>
            <w:tcBorders>
              <w:top w:val="nil"/>
              <w:left w:val="single" w:sz="4" w:space="0" w:color="000000"/>
              <w:bottom w:val="thickThinMediumGap" w:sz="4" w:space="0" w:color="000000"/>
              <w:right w:val="single" w:sz="4" w:space="0" w:color="000000"/>
            </w:tcBorders>
          </w:tcPr>
          <w:p>
            <w:pPr>
              <w:rPr>
                <w:sz w:val="2"/>
                <w:szCs w:val="2"/>
              </w:rPr>
            </w:pP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42"/>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nil"/>
              <w:left w:val="single" w:sz="4" w:space="0" w:color="000000"/>
              <w:bottom w:val="nil"/>
              <w:right w:val="single" w:sz="4" w:space="0" w:color="000000"/>
            </w:tcBorders>
          </w:tcPr>
          <w:p>
            <w:pPr>
              <w:pStyle w:val="TableParagraph"/>
              <w:rPr>
                <w:rFonts w:ascii="Times New Roman"/>
                <w:sz w:val="16"/>
              </w:rPr>
            </w:pPr>
          </w:p>
        </w:tc>
        <w:tc>
          <w:tcPr>
            <w:tcW w:w="3684" w:type="dxa"/>
            <w:tcBorders>
              <w:top w:val="nil"/>
              <w:left w:val="single" w:sz="4" w:space="0" w:color="000000"/>
              <w:bottom w:val="nil"/>
              <w:right w:val="single" w:sz="4" w:space="0" w:color="000000"/>
            </w:tcBorders>
          </w:tcPr>
          <w:p>
            <w:pPr>
              <w:pStyle w:val="TableParagraph"/>
              <w:spacing w:line="222" w:lineRule="exact"/>
              <w:ind w:left="91" w:right="182"/>
              <w:jc w:val="center"/>
              <w:rPr>
                <w:sz w:val="21"/>
              </w:rPr>
            </w:pPr>
            <w:r>
              <w:rPr>
                <w:sz w:val="21"/>
              </w:rPr>
              <w:t>东省涉挥发性有机物企业分行业治理</w:t>
            </w:r>
          </w:p>
        </w:tc>
        <w:tc>
          <w:tcPr>
            <w:tcW w:w="2565" w:type="dxa"/>
            <w:vMerge/>
            <w:tcBorders>
              <w:top w:val="nil"/>
              <w:left w:val="single" w:sz="4" w:space="0" w:color="000000"/>
              <w:bottom w:val="thickThinMediumGap" w:sz="4" w:space="0" w:color="000000"/>
              <w:right w:val="single" w:sz="4" w:space="0" w:color="000000"/>
            </w:tcBorders>
          </w:tcPr>
          <w:p>
            <w:pPr>
              <w:rPr>
                <w:sz w:val="2"/>
                <w:szCs w:val="2"/>
              </w:rPr>
            </w:pP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42"/>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nil"/>
              <w:left w:val="single" w:sz="4" w:space="0" w:color="000000"/>
              <w:bottom w:val="nil"/>
              <w:right w:val="single" w:sz="4" w:space="0" w:color="000000"/>
            </w:tcBorders>
          </w:tcPr>
          <w:p>
            <w:pPr>
              <w:pStyle w:val="TableParagraph"/>
              <w:rPr>
                <w:rFonts w:ascii="Times New Roman"/>
                <w:sz w:val="16"/>
              </w:rPr>
            </w:pPr>
          </w:p>
        </w:tc>
        <w:tc>
          <w:tcPr>
            <w:tcW w:w="3684" w:type="dxa"/>
            <w:tcBorders>
              <w:top w:val="nil"/>
              <w:left w:val="single" w:sz="4" w:space="0" w:color="000000"/>
              <w:bottom w:val="nil"/>
              <w:right w:val="single" w:sz="4" w:space="0" w:color="000000"/>
            </w:tcBorders>
          </w:tcPr>
          <w:p>
            <w:pPr>
              <w:pStyle w:val="TableParagraph"/>
              <w:spacing w:line="222" w:lineRule="exact"/>
              <w:ind w:left="91" w:right="182"/>
              <w:jc w:val="center"/>
              <w:rPr>
                <w:sz w:val="21"/>
              </w:rPr>
            </w:pPr>
            <w:r>
              <w:rPr>
                <w:sz w:val="21"/>
              </w:rPr>
              <w:t>指导意见》，推行源头替代、加强过</w:t>
            </w:r>
          </w:p>
        </w:tc>
        <w:tc>
          <w:tcPr>
            <w:tcW w:w="2565" w:type="dxa"/>
            <w:vMerge/>
            <w:tcBorders>
              <w:top w:val="nil"/>
              <w:left w:val="single" w:sz="4" w:space="0" w:color="000000"/>
              <w:bottom w:val="thickThinMediumGap" w:sz="4" w:space="0" w:color="000000"/>
              <w:right w:val="single" w:sz="4" w:space="0" w:color="000000"/>
            </w:tcBorders>
          </w:tcPr>
          <w:p>
            <w:pPr>
              <w:rPr>
                <w:sz w:val="2"/>
                <w:szCs w:val="2"/>
              </w:rPr>
            </w:pP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805"/>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nil"/>
              <w:left w:val="single" w:sz="4" w:space="0" w:color="000000"/>
              <w:bottom w:val="thickThinMediumGap" w:sz="4" w:space="0" w:color="000000"/>
              <w:right w:val="single" w:sz="4" w:space="0" w:color="000000"/>
            </w:tcBorders>
          </w:tcPr>
          <w:p>
            <w:pPr>
              <w:pStyle w:val="TableParagraph"/>
              <w:rPr>
                <w:rFonts w:ascii="Times New Roman"/>
                <w:sz w:val="20"/>
              </w:rPr>
            </w:pPr>
          </w:p>
        </w:tc>
        <w:tc>
          <w:tcPr>
            <w:tcW w:w="3684" w:type="dxa"/>
            <w:tcBorders>
              <w:top w:val="nil"/>
              <w:left w:val="single" w:sz="4" w:space="0" w:color="000000"/>
              <w:bottom w:val="thickThinMediumGap" w:sz="4" w:space="0" w:color="000000"/>
              <w:right w:val="single" w:sz="4" w:space="0" w:color="000000"/>
            </w:tcBorders>
          </w:tcPr>
          <w:p>
            <w:pPr>
              <w:pStyle w:val="TableParagraph"/>
              <w:spacing w:line="256" w:lineRule="exact"/>
              <w:ind w:left="111"/>
              <w:rPr>
                <w:sz w:val="21"/>
              </w:rPr>
            </w:pPr>
            <w:r>
              <w:rPr>
                <w:w w:val="95"/>
                <w:sz w:val="21"/>
              </w:rPr>
              <w:t>程控制和末端治理，加强挥发性有机</w:t>
            </w:r>
          </w:p>
          <w:p>
            <w:pPr>
              <w:pStyle w:val="TableParagraph"/>
              <w:spacing w:before="2"/>
              <w:ind w:left="111"/>
              <w:rPr>
                <w:sz w:val="21"/>
              </w:rPr>
            </w:pPr>
            <w:r>
              <w:rPr>
                <w:w w:val="95"/>
                <w:sz w:val="21"/>
              </w:rPr>
              <w:t>物</w:t>
            </w:r>
            <w:r>
              <w:rPr>
                <w:rFonts w:ascii="Times New Roman" w:eastAsia="Times New Roman"/>
                <w:w w:val="95"/>
                <w:sz w:val="21"/>
              </w:rPr>
              <w:t>(VOCs)</w:t>
            </w:r>
            <w:r>
              <w:rPr>
                <w:w w:val="95"/>
                <w:sz w:val="21"/>
              </w:rPr>
              <w:t>废气收集与治理，建设有效</w:t>
            </w:r>
          </w:p>
          <w:p>
            <w:pPr>
              <w:pStyle w:val="TableParagraph"/>
              <w:spacing w:before="4" w:line="254" w:lineRule="exact"/>
              <w:ind w:left="111"/>
              <w:rPr>
                <w:sz w:val="21"/>
              </w:rPr>
            </w:pPr>
            <w:r>
              <w:rPr>
                <w:spacing w:val="-7"/>
                <w:sz w:val="21"/>
              </w:rPr>
              <w:t xml:space="preserve">的废气收集系统和 </w:t>
            </w:r>
            <w:r>
              <w:rPr>
                <w:rFonts w:ascii="Times New Roman" w:eastAsia="Times New Roman"/>
                <w:sz w:val="21"/>
              </w:rPr>
              <w:t>VOCs</w:t>
            </w:r>
            <w:r>
              <w:rPr>
                <w:rFonts w:ascii="Times New Roman" w:eastAsia="Times New Roman"/>
                <w:spacing w:val="-4"/>
                <w:sz w:val="21"/>
              </w:rPr>
              <w:t xml:space="preserve"> </w:t>
            </w:r>
            <w:r>
              <w:rPr>
                <w:sz w:val="21"/>
              </w:rPr>
              <w:t>处理设施。</w:t>
            </w:r>
          </w:p>
        </w:tc>
        <w:tc>
          <w:tcPr>
            <w:tcW w:w="2565" w:type="dxa"/>
            <w:vMerge/>
            <w:tcBorders>
              <w:top w:val="nil"/>
              <w:left w:val="single" w:sz="4" w:space="0" w:color="000000"/>
              <w:bottom w:val="thickThinMediumGap" w:sz="4" w:space="0" w:color="000000"/>
              <w:right w:val="single" w:sz="4" w:space="0" w:color="000000"/>
            </w:tcBorders>
          </w:tcPr>
          <w:p>
            <w:pPr>
              <w:rPr>
                <w:sz w:val="2"/>
                <w:szCs w:val="2"/>
              </w:rPr>
            </w:pPr>
          </w:p>
        </w:tc>
        <w:tc>
          <w:tcPr>
            <w:tcW w:w="238" w:type="dxa"/>
            <w:vMerge/>
            <w:tcBorders>
              <w:top w:val="nil"/>
              <w:left w:val="single" w:sz="4" w:space="0" w:color="000000"/>
            </w:tcBorders>
          </w:tcPr>
          <w:p>
            <w:pPr>
              <w:rPr>
                <w:sz w:val="2"/>
                <w:szCs w:val="2"/>
              </w:rPr>
            </w:pPr>
          </w:p>
        </w:tc>
      </w:tr>
    </w:tbl>
    <w:p>
      <w:pPr>
        <w:spacing w:after="0"/>
        <w:rPr>
          <w:sz w:val="2"/>
          <w:szCs w:val="2"/>
        </w:rPr>
        <w:sectPr>
          <w:footerReference w:type="default" r:id="rId10"/>
          <w:pgSz w:w="11910" w:h="16840"/>
          <w:pgMar w:top="1420" w:right="1119" w:bottom="1120" w:left="1120" w:header="0" w:footer="939" w:gutter="0"/>
          <w:pgNumType w:start="6"/>
          <w:cols w:num="1" w:space="720"/>
        </w:sect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237"/>
        <w:gridCol w:w="1146"/>
        <w:gridCol w:w="3684"/>
        <w:gridCol w:w="2565"/>
        <w:gridCol w:w="238"/>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353"/>
        </w:trPr>
        <w:tc>
          <w:tcPr>
            <w:tcW w:w="1168" w:type="dxa"/>
            <w:vMerge w:val="restart"/>
          </w:tcPr>
          <w:p>
            <w:pPr>
              <w:pStyle w:val="TableParagraph"/>
              <w:rPr>
                <w:rFonts w:ascii="Times New Roman"/>
                <w:sz w:val="20"/>
              </w:rPr>
            </w:pPr>
          </w:p>
        </w:tc>
        <w:tc>
          <w:tcPr>
            <w:tcW w:w="237" w:type="dxa"/>
            <w:vMerge w:val="restart"/>
            <w:tcBorders>
              <w:right w:val="single" w:sz="4" w:space="0" w:color="000000"/>
            </w:tcBorders>
          </w:tcPr>
          <w:p>
            <w:pPr>
              <w:pStyle w:val="TableParagraph"/>
              <w:rPr>
                <w:rFonts w:ascii="Times New Roman"/>
                <w:sz w:val="20"/>
              </w:rPr>
            </w:pPr>
          </w:p>
        </w:tc>
        <w:tc>
          <w:tcPr>
            <w:tcW w:w="1146"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684" w:type="dxa"/>
            <w:tcBorders>
              <w:top w:val="single" w:sz="12" w:space="0" w:color="000000"/>
              <w:left w:val="single" w:sz="4" w:space="0" w:color="000000"/>
              <w:bottom w:val="single" w:sz="4" w:space="0" w:color="000000"/>
              <w:right w:val="single" w:sz="4" w:space="0" w:color="000000"/>
            </w:tcBorders>
          </w:tcPr>
          <w:p>
            <w:pPr>
              <w:pStyle w:val="TableParagraph"/>
              <w:spacing w:before="1"/>
              <w:ind w:left="111"/>
              <w:rPr>
                <w:rFonts w:ascii="Times New Roman" w:eastAsia="Times New Roman"/>
                <w:sz w:val="21"/>
              </w:rPr>
            </w:pPr>
            <w:r>
              <w:rPr>
                <w:sz w:val="21"/>
              </w:rPr>
              <w:t xml:space="preserve">重点排放源 </w:t>
            </w:r>
            <w:r>
              <w:rPr>
                <w:rFonts w:ascii="Times New Roman" w:eastAsia="Times New Roman"/>
                <w:sz w:val="21"/>
              </w:rPr>
              <w:t xml:space="preserve">VOCs </w:t>
            </w:r>
            <w:r>
              <w:rPr>
                <w:sz w:val="21"/>
              </w:rPr>
              <w:t xml:space="preserve">处理效率达到 </w:t>
            </w:r>
            <w:r>
              <w:rPr>
                <w:rFonts w:ascii="Times New Roman" w:eastAsia="Times New Roman"/>
                <w:sz w:val="21"/>
              </w:rPr>
              <w:t>80%</w:t>
            </w:r>
          </w:p>
          <w:p>
            <w:pPr>
              <w:pStyle w:val="TableParagraph"/>
              <w:spacing w:before="2"/>
              <w:ind w:left="111"/>
              <w:rPr>
                <w:sz w:val="21"/>
              </w:rPr>
            </w:pPr>
            <w:r>
              <w:rPr>
                <w:sz w:val="21"/>
              </w:rPr>
              <w:t>以上。</w:t>
            </w:r>
          </w:p>
          <w:p>
            <w:pPr>
              <w:pStyle w:val="TableParagraph"/>
              <w:numPr>
                <w:ilvl w:val="0"/>
                <w:numId w:val="7"/>
              </w:numPr>
              <w:tabs>
                <w:tab w:val="left" w:pos="271"/>
              </w:tabs>
              <w:spacing w:before="5" w:after="0" w:line="242" w:lineRule="auto"/>
              <w:ind w:left="111" w:right="202" w:firstLine="0"/>
              <w:jc w:val="both"/>
              <w:rPr>
                <w:sz w:val="21"/>
              </w:rPr>
            </w:pPr>
            <w:r>
              <w:rPr>
                <w:sz w:val="21"/>
              </w:rPr>
              <w:t>铸造等工业炉窑重点行业执行《工</w:t>
            </w:r>
            <w:r>
              <w:rPr>
                <w:w w:val="95"/>
                <w:sz w:val="21"/>
              </w:rPr>
              <w:t>业炉窑大气污染综合治理方案》《山东省工业炉窑大气污染综合治理实施方案》，进行升级改造。现有工业炉窑和新建工业炉窑项目除应执行《工</w:t>
            </w:r>
            <w:r>
              <w:rPr>
                <w:sz w:val="21"/>
              </w:rPr>
              <w:t>业窑炉大气污染物排放标注》</w:t>
            </w:r>
          </w:p>
          <w:p>
            <w:pPr>
              <w:pStyle w:val="TableParagraph"/>
              <w:spacing w:before="1" w:line="242" w:lineRule="auto"/>
              <w:ind w:left="111" w:right="202"/>
              <w:rPr>
                <w:sz w:val="21"/>
              </w:rPr>
            </w:pPr>
            <w:r>
              <w:rPr>
                <w:sz w:val="21"/>
              </w:rPr>
              <w:t>（</w:t>
            </w:r>
            <w:r>
              <w:rPr>
                <w:rFonts w:ascii="Times New Roman" w:eastAsia="Times New Roman"/>
                <w:sz w:val="21"/>
              </w:rPr>
              <w:t>DB37/2375</w:t>
            </w:r>
            <w:r>
              <w:rPr>
                <w:sz w:val="21"/>
              </w:rPr>
              <w:t>）外，还应按规定达到</w:t>
            </w:r>
            <w:r>
              <w:rPr>
                <w:w w:val="95"/>
                <w:sz w:val="21"/>
              </w:rPr>
              <w:t>国家标准中特别排放限值。铸造行业烧结、高炉工序污染物排放控制按照</w:t>
            </w:r>
            <w:r>
              <w:rPr>
                <w:sz w:val="21"/>
              </w:rPr>
              <w:t>钢铁行业相关标准要求执行。</w:t>
            </w:r>
          </w:p>
          <w:p>
            <w:pPr>
              <w:pStyle w:val="TableParagraph"/>
              <w:numPr>
                <w:ilvl w:val="0"/>
                <w:numId w:val="7"/>
              </w:numPr>
              <w:tabs>
                <w:tab w:val="left" w:pos="271"/>
              </w:tabs>
              <w:spacing w:before="5" w:after="0" w:line="242" w:lineRule="auto"/>
              <w:ind w:left="111" w:right="202" w:firstLine="0"/>
              <w:jc w:val="both"/>
              <w:rPr>
                <w:sz w:val="21"/>
              </w:rPr>
            </w:pPr>
            <w:r>
              <w:rPr>
                <w:sz w:val="21"/>
              </w:rPr>
              <w:t>执行《流域水污染物综合排放标准</w:t>
            </w:r>
            <w:r>
              <w:rPr>
                <w:spacing w:val="-28"/>
                <w:sz w:val="21"/>
              </w:rPr>
              <w:t xml:space="preserve">第 </w:t>
            </w:r>
            <w:r>
              <w:rPr>
                <w:rFonts w:ascii="Times New Roman" w:eastAsia="Times New Roman"/>
                <w:sz w:val="21"/>
              </w:rPr>
              <w:t>4</w:t>
            </w:r>
            <w:r>
              <w:rPr>
                <w:rFonts w:ascii="Times New Roman" w:eastAsia="Times New Roman"/>
                <w:spacing w:val="-5"/>
                <w:sz w:val="21"/>
              </w:rPr>
              <w:t xml:space="preserve"> </w:t>
            </w:r>
            <w:r>
              <w:rPr>
                <w:spacing w:val="-1"/>
                <w:sz w:val="21"/>
              </w:rPr>
              <w:t>部分：海河流域》标准。排入集</w:t>
            </w:r>
            <w:r>
              <w:rPr>
                <w:w w:val="95"/>
                <w:sz w:val="21"/>
              </w:rPr>
              <w:t>中污水处理设施的工业企业，所排废</w:t>
            </w:r>
          </w:p>
          <w:p>
            <w:pPr>
              <w:pStyle w:val="TableParagraph"/>
              <w:spacing w:before="1" w:line="247" w:lineRule="exact"/>
              <w:ind w:left="111"/>
              <w:rPr>
                <w:sz w:val="21"/>
              </w:rPr>
            </w:pPr>
            <w:r>
              <w:rPr>
                <w:sz w:val="21"/>
              </w:rPr>
              <w:t>水经预处理后须达到集中处理要求。</w:t>
            </w:r>
          </w:p>
        </w:tc>
        <w:tc>
          <w:tcPr>
            <w:tcW w:w="2565" w:type="dxa"/>
            <w:tcBorders>
              <w:top w:val="single" w:sz="12" w:space="0" w:color="000000"/>
              <w:left w:val="single" w:sz="4" w:space="0" w:color="000000"/>
              <w:bottom w:val="single" w:sz="4" w:space="0" w:color="000000"/>
              <w:right w:val="single" w:sz="4" w:space="0" w:color="000000"/>
            </w:tcBorders>
          </w:tcPr>
          <w:p>
            <w:pPr>
              <w:pStyle w:val="TableParagraph"/>
              <w:numPr>
                <w:ilvl w:val="0"/>
                <w:numId w:val="8"/>
              </w:numPr>
              <w:tabs>
                <w:tab w:val="left" w:pos="282"/>
              </w:tabs>
              <w:spacing w:before="1" w:after="0" w:line="242" w:lineRule="auto"/>
              <w:ind w:left="111" w:right="335" w:firstLine="0"/>
              <w:jc w:val="left"/>
              <w:rPr>
                <w:sz w:val="21"/>
              </w:rPr>
            </w:pPr>
            <w:r>
              <w:rPr>
                <w:spacing w:val="4"/>
                <w:sz w:val="21"/>
              </w:rPr>
              <w:t>本项目不属于铸造行</w:t>
            </w:r>
            <w:r>
              <w:rPr>
                <w:spacing w:val="3"/>
                <w:sz w:val="21"/>
              </w:rPr>
              <w:t>业。</w:t>
            </w:r>
          </w:p>
          <w:p>
            <w:pPr>
              <w:pStyle w:val="TableParagraph"/>
              <w:numPr>
                <w:ilvl w:val="0"/>
                <w:numId w:val="8"/>
              </w:numPr>
              <w:tabs>
                <w:tab w:val="left" w:pos="271"/>
              </w:tabs>
              <w:spacing w:before="1" w:after="0" w:line="242" w:lineRule="auto"/>
              <w:ind w:left="111" w:right="132" w:firstLine="0"/>
              <w:jc w:val="left"/>
              <w:rPr>
                <w:sz w:val="21"/>
              </w:rPr>
            </w:pPr>
            <w:r>
              <w:rPr>
                <w:sz w:val="21"/>
              </w:rPr>
              <w:t xml:space="preserve">本项目无生产废水排 </w:t>
            </w:r>
            <w:r>
              <w:rPr>
                <w:spacing w:val="-2"/>
                <w:sz w:val="21"/>
              </w:rPr>
              <w:t>放，生活污水经化粪池处理后，通过市政管网排入宁津县嘉诚水质净化有限</w:t>
            </w:r>
            <w:r>
              <w:rPr>
                <w:sz w:val="21"/>
              </w:rPr>
              <w:t>公司深度处理。</w:t>
            </w:r>
          </w:p>
        </w:tc>
        <w:tc>
          <w:tcPr>
            <w:tcW w:w="238" w:type="dxa"/>
            <w:vMerge w:val="restart"/>
            <w:tcBorders>
              <w:left w:val="single" w:sz="4" w:space="0" w:color="000000"/>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7070"/>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8"/>
              <w:rPr>
                <w:sz w:val="14"/>
              </w:rPr>
            </w:pPr>
          </w:p>
          <w:p>
            <w:pPr>
              <w:pStyle w:val="TableParagraph"/>
              <w:spacing w:line="242" w:lineRule="auto"/>
              <w:ind w:left="367" w:right="137" w:hanging="209"/>
              <w:rPr>
                <w:sz w:val="21"/>
              </w:rPr>
            </w:pPr>
            <w:r>
              <w:rPr>
                <w:sz w:val="21"/>
              </w:rPr>
              <w:t>环境风险防控</w:t>
            </w:r>
          </w:p>
        </w:tc>
        <w:tc>
          <w:tcPr>
            <w:tcW w:w="3684" w:type="dxa"/>
            <w:tcBorders>
              <w:top w:val="single" w:sz="4" w:space="0" w:color="000000"/>
              <w:left w:val="single" w:sz="4" w:space="0" w:color="000000"/>
              <w:bottom w:val="single" w:sz="4" w:space="0" w:color="000000"/>
              <w:right w:val="single" w:sz="4" w:space="0" w:color="000000"/>
            </w:tcBorders>
          </w:tcPr>
          <w:p>
            <w:pPr>
              <w:pStyle w:val="TableParagraph"/>
              <w:numPr>
                <w:ilvl w:val="0"/>
                <w:numId w:val="9"/>
              </w:numPr>
              <w:tabs>
                <w:tab w:val="left" w:pos="271"/>
              </w:tabs>
              <w:spacing w:before="0" w:after="0" w:line="242" w:lineRule="auto"/>
              <w:ind w:left="111" w:right="202" w:firstLine="0"/>
              <w:jc w:val="both"/>
              <w:rPr>
                <w:sz w:val="21"/>
              </w:rPr>
            </w:pPr>
            <w:r>
              <w:rPr>
                <w:sz w:val="21"/>
              </w:rPr>
              <w:t>建立健全环境风险管控体系，编制</w:t>
            </w:r>
            <w:r>
              <w:rPr>
                <w:w w:val="95"/>
                <w:sz w:val="21"/>
              </w:rPr>
              <w:t>应急预案，建设环境应急管理机构、专职环境救援机构；按照应急预案要</w:t>
            </w:r>
            <w:r>
              <w:rPr>
                <w:sz w:val="21"/>
              </w:rPr>
              <w:t>求组织演练。</w:t>
            </w:r>
          </w:p>
          <w:p>
            <w:pPr>
              <w:pStyle w:val="TableParagraph"/>
              <w:numPr>
                <w:ilvl w:val="0"/>
                <w:numId w:val="9"/>
              </w:numPr>
              <w:tabs>
                <w:tab w:val="left" w:pos="271"/>
              </w:tabs>
              <w:spacing w:before="0" w:after="0" w:line="242" w:lineRule="auto"/>
              <w:ind w:left="111" w:right="202" w:firstLine="0"/>
              <w:jc w:val="both"/>
              <w:rPr>
                <w:sz w:val="21"/>
              </w:rPr>
            </w:pPr>
            <w:r>
              <w:rPr>
                <w:sz w:val="21"/>
              </w:rPr>
              <w:t>涉及有毒有害气体的企业应制定并</w:t>
            </w:r>
            <w:r>
              <w:rPr>
                <w:w w:val="95"/>
                <w:sz w:val="21"/>
              </w:rPr>
              <w:t>落实监测计划，开发区应具备相应的</w:t>
            </w:r>
            <w:r>
              <w:rPr>
                <w:sz w:val="21"/>
              </w:rPr>
              <w:t>自行监测能力。</w:t>
            </w:r>
          </w:p>
          <w:p>
            <w:pPr>
              <w:pStyle w:val="TableParagraph"/>
              <w:numPr>
                <w:ilvl w:val="0"/>
                <w:numId w:val="9"/>
              </w:numPr>
              <w:tabs>
                <w:tab w:val="left" w:pos="271"/>
              </w:tabs>
              <w:spacing w:before="0" w:after="0" w:line="242" w:lineRule="auto"/>
              <w:ind w:left="111" w:right="464" w:firstLine="0"/>
              <w:jc w:val="left"/>
              <w:rPr>
                <w:sz w:val="21"/>
              </w:rPr>
            </w:pPr>
            <w:r>
              <w:rPr>
                <w:w w:val="95"/>
                <w:sz w:val="21"/>
              </w:rPr>
              <w:t>按照应急预案要求配置污染物拦</w:t>
            </w:r>
            <w:r>
              <w:rPr>
                <w:sz w:val="21"/>
              </w:rPr>
              <w:t>截、处置等应急物资。</w:t>
            </w:r>
          </w:p>
          <w:p>
            <w:pPr>
              <w:pStyle w:val="TableParagraph"/>
              <w:numPr>
                <w:ilvl w:val="0"/>
                <w:numId w:val="9"/>
              </w:numPr>
              <w:tabs>
                <w:tab w:val="left" w:pos="271"/>
              </w:tabs>
              <w:spacing w:before="1" w:after="0" w:line="242" w:lineRule="auto"/>
              <w:ind w:left="111" w:right="202" w:firstLine="0"/>
              <w:jc w:val="both"/>
              <w:rPr>
                <w:sz w:val="21"/>
              </w:rPr>
            </w:pPr>
            <w:r>
              <w:rPr>
                <w:sz w:val="21"/>
              </w:rPr>
              <w:t>环境高风险企业（《突发环境事件</w:t>
            </w:r>
            <w:r>
              <w:rPr>
                <w:w w:val="95"/>
                <w:sz w:val="21"/>
              </w:rPr>
              <w:t>风险评估报告》中风险等级为较大或重大的企业）应向保险公司投保环境污染责任保险。主动公开生态环境相</w:t>
            </w:r>
            <w:r>
              <w:rPr>
                <w:sz w:val="21"/>
              </w:rPr>
              <w:t>关信息。</w:t>
            </w:r>
          </w:p>
          <w:p>
            <w:pPr>
              <w:pStyle w:val="TableParagraph"/>
              <w:numPr>
                <w:ilvl w:val="0"/>
                <w:numId w:val="9"/>
              </w:numPr>
              <w:tabs>
                <w:tab w:val="left" w:pos="271"/>
              </w:tabs>
              <w:spacing w:before="2" w:after="0" w:line="242" w:lineRule="auto"/>
              <w:ind w:left="111" w:right="202" w:firstLine="0"/>
              <w:jc w:val="both"/>
              <w:rPr>
                <w:sz w:val="21"/>
              </w:rPr>
            </w:pPr>
            <w:r>
              <w:rPr>
                <w:sz w:val="21"/>
              </w:rPr>
              <w:t>开发区内企业存在生产、储存装置</w:t>
            </w:r>
            <w:r>
              <w:rPr>
                <w:w w:val="95"/>
                <w:sz w:val="21"/>
              </w:rPr>
              <w:t>与学校、医院、居民集中区等敏感点的距离应当符合安全、卫生防护等有关要求。危险化学品生产和储存装置安全防护距离测算参考《危险化学品生产和储存装置外部安全防护距离确</w:t>
            </w:r>
            <w:r>
              <w:rPr>
                <w:sz w:val="21"/>
              </w:rPr>
              <w:t>定方法》（</w:t>
            </w:r>
            <w:r>
              <w:rPr>
                <w:rFonts w:ascii="Times New Roman" w:eastAsia="Times New Roman"/>
                <w:sz w:val="21"/>
              </w:rPr>
              <w:t>GB/T37243)</w:t>
            </w:r>
            <w:r>
              <w:rPr>
                <w:sz w:val="21"/>
              </w:rPr>
              <w:t>。</w:t>
            </w:r>
          </w:p>
          <w:p>
            <w:pPr>
              <w:pStyle w:val="TableParagraph"/>
              <w:numPr>
                <w:ilvl w:val="0"/>
                <w:numId w:val="9"/>
              </w:numPr>
              <w:tabs>
                <w:tab w:val="left" w:pos="271"/>
              </w:tabs>
              <w:spacing w:before="3" w:after="0" w:line="242" w:lineRule="auto"/>
              <w:ind w:left="111" w:right="202" w:firstLine="0"/>
              <w:jc w:val="both"/>
              <w:rPr>
                <w:sz w:val="21"/>
              </w:rPr>
            </w:pPr>
            <w:r>
              <w:rPr>
                <w:sz w:val="21"/>
              </w:rPr>
              <w:t>对从业和管理人员进行环境和安全</w:t>
            </w:r>
            <w:r>
              <w:rPr>
                <w:w w:val="95"/>
                <w:sz w:val="21"/>
              </w:rPr>
              <w:t>专业教育，提高环境防控和安全意识以及技术素养，形成与园区环境和安</w:t>
            </w:r>
          </w:p>
          <w:p>
            <w:pPr>
              <w:pStyle w:val="TableParagraph"/>
              <w:spacing w:before="2" w:line="270" w:lineRule="atLeast"/>
              <w:ind w:left="111" w:right="411"/>
              <w:rPr>
                <w:sz w:val="21"/>
              </w:rPr>
            </w:pPr>
            <w:r>
              <w:rPr>
                <w:sz w:val="21"/>
              </w:rPr>
              <w:t>全风险相匹配的管理能力和管理水平。</w:t>
            </w:r>
          </w:p>
        </w:tc>
        <w:tc>
          <w:tcPr>
            <w:tcW w:w="256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
              <w:rPr>
                <w:sz w:val="27"/>
              </w:rPr>
            </w:pPr>
          </w:p>
          <w:p>
            <w:pPr>
              <w:pStyle w:val="TableParagraph"/>
              <w:ind w:left="111"/>
              <w:rPr>
                <w:sz w:val="21"/>
              </w:rPr>
            </w:pPr>
            <w:r>
              <w:rPr>
                <w:w w:val="95"/>
                <w:sz w:val="21"/>
              </w:rPr>
              <w:t>符合。</w:t>
            </w:r>
          </w:p>
          <w:p>
            <w:pPr>
              <w:pStyle w:val="TableParagraph"/>
              <w:spacing w:before="2" w:line="242" w:lineRule="auto"/>
              <w:ind w:left="111" w:right="132"/>
              <w:jc w:val="both"/>
              <w:rPr>
                <w:sz w:val="21"/>
              </w:rPr>
            </w:pPr>
            <w:r>
              <w:rPr>
                <w:rFonts w:ascii="Times New Roman" w:eastAsia="Times New Roman"/>
                <w:sz w:val="21"/>
              </w:rPr>
              <w:t>1.</w:t>
            </w:r>
            <w:r>
              <w:rPr>
                <w:sz w:val="21"/>
              </w:rPr>
              <w:t>本项目将按要求编制应</w:t>
            </w:r>
            <w:r>
              <w:rPr>
                <w:spacing w:val="-2"/>
                <w:sz w:val="21"/>
              </w:rPr>
              <w:t>急预案并定期开展演练。</w:t>
            </w:r>
            <w:r>
              <w:rPr>
                <w:rFonts w:ascii="Times New Roman" w:eastAsia="Times New Roman"/>
                <w:sz w:val="21"/>
              </w:rPr>
              <w:t>2.</w:t>
            </w:r>
            <w:r>
              <w:rPr>
                <w:sz w:val="21"/>
              </w:rPr>
              <w:t>本项目不涉及有毒有害气体。</w:t>
            </w:r>
          </w:p>
          <w:p>
            <w:pPr>
              <w:pStyle w:val="TableParagraph"/>
              <w:numPr>
                <w:ilvl w:val="0"/>
                <w:numId w:val="10"/>
              </w:numPr>
              <w:tabs>
                <w:tab w:val="left" w:pos="271"/>
              </w:tabs>
              <w:spacing w:before="2" w:after="0" w:line="242" w:lineRule="auto"/>
              <w:ind w:left="111" w:right="132" w:firstLine="0"/>
              <w:jc w:val="both"/>
              <w:rPr>
                <w:sz w:val="21"/>
              </w:rPr>
            </w:pPr>
            <w:r>
              <w:rPr>
                <w:sz w:val="21"/>
              </w:rPr>
              <w:t>本项目将按要求配置污</w:t>
            </w:r>
            <w:r>
              <w:rPr>
                <w:spacing w:val="-2"/>
                <w:sz w:val="21"/>
              </w:rPr>
              <w:t>染物拦截、处置等应急物</w:t>
            </w:r>
            <w:r>
              <w:rPr>
                <w:sz w:val="21"/>
              </w:rPr>
              <w:t>资。</w:t>
            </w:r>
          </w:p>
          <w:p>
            <w:pPr>
              <w:pStyle w:val="TableParagraph"/>
              <w:numPr>
                <w:ilvl w:val="0"/>
                <w:numId w:val="10"/>
              </w:numPr>
              <w:tabs>
                <w:tab w:val="left" w:pos="271"/>
              </w:tabs>
              <w:spacing w:before="1" w:after="0" w:line="244" w:lineRule="auto"/>
              <w:ind w:left="111" w:right="185" w:firstLine="0"/>
              <w:jc w:val="left"/>
              <w:rPr>
                <w:sz w:val="21"/>
              </w:rPr>
            </w:pPr>
            <w:r>
              <w:rPr>
                <w:spacing w:val="-2"/>
                <w:sz w:val="21"/>
              </w:rPr>
              <w:t>本项目不属于环境高风</w:t>
            </w:r>
            <w:r>
              <w:rPr>
                <w:sz w:val="21"/>
              </w:rPr>
              <w:t>险企业。</w:t>
            </w:r>
          </w:p>
          <w:p>
            <w:pPr>
              <w:pStyle w:val="TableParagraph"/>
              <w:numPr>
                <w:ilvl w:val="0"/>
                <w:numId w:val="10"/>
              </w:numPr>
              <w:tabs>
                <w:tab w:val="left" w:pos="280"/>
              </w:tabs>
              <w:spacing w:before="0" w:after="0" w:line="242" w:lineRule="auto"/>
              <w:ind w:left="111" w:right="91" w:firstLine="0"/>
              <w:jc w:val="left"/>
              <w:rPr>
                <w:sz w:val="21"/>
              </w:rPr>
            </w:pPr>
            <w:r>
              <w:rPr>
                <w:spacing w:val="6"/>
                <w:sz w:val="21"/>
              </w:rPr>
              <w:t>本项目不涉及危险化学</w:t>
            </w:r>
            <w:r>
              <w:rPr>
                <w:sz w:val="21"/>
              </w:rPr>
              <w:t>品。</w:t>
            </w:r>
          </w:p>
          <w:p>
            <w:pPr>
              <w:pStyle w:val="TableParagraph"/>
              <w:numPr>
                <w:ilvl w:val="0"/>
                <w:numId w:val="10"/>
              </w:numPr>
              <w:tabs>
                <w:tab w:val="left" w:pos="280"/>
              </w:tabs>
              <w:spacing w:before="0" w:after="0" w:line="242" w:lineRule="auto"/>
              <w:ind w:left="111" w:right="95" w:firstLine="0"/>
              <w:jc w:val="left"/>
              <w:rPr>
                <w:sz w:val="21"/>
              </w:rPr>
            </w:pPr>
            <w:r>
              <w:rPr>
                <w:spacing w:val="6"/>
                <w:sz w:val="21"/>
              </w:rPr>
              <w:t>本项目将对员工进行环</w:t>
            </w:r>
            <w:r>
              <w:rPr>
                <w:sz w:val="21"/>
              </w:rPr>
              <w:t>境和安全专业教育。</w:t>
            </w:r>
          </w:p>
        </w:tc>
        <w:tc>
          <w:tcPr>
            <w:tcW w:w="238" w:type="dxa"/>
            <w:vMerge/>
            <w:tcBorders>
              <w:top w:val="nil"/>
              <w:left w:val="single" w:sz="4" w:space="0" w:color="000000"/>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186"/>
        </w:trPr>
        <w:tc>
          <w:tcPr>
            <w:tcW w:w="1168" w:type="dxa"/>
            <w:vMerge/>
            <w:tcBorders>
              <w:top w:val="nil"/>
            </w:tcBorders>
          </w:tcPr>
          <w:p>
            <w:pPr>
              <w:rPr>
                <w:sz w:val="2"/>
                <w:szCs w:val="2"/>
              </w:rPr>
            </w:pPr>
          </w:p>
        </w:tc>
        <w:tc>
          <w:tcPr>
            <w:tcW w:w="237" w:type="dxa"/>
            <w:vMerge/>
            <w:tcBorders>
              <w:top w:val="nil"/>
              <w:right w:val="single" w:sz="4" w:space="0" w:color="000000"/>
            </w:tcBorders>
          </w:tcPr>
          <w:p>
            <w:pPr>
              <w:rPr>
                <w:sz w:val="2"/>
                <w:szCs w:val="2"/>
              </w:rPr>
            </w:pPr>
          </w:p>
        </w:tc>
        <w:tc>
          <w:tcPr>
            <w:tcW w:w="1146"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spacing w:before="4"/>
              <w:rPr>
                <w:sz w:val="23"/>
              </w:rPr>
            </w:pPr>
          </w:p>
          <w:p>
            <w:pPr>
              <w:pStyle w:val="TableParagraph"/>
              <w:spacing w:line="242" w:lineRule="auto"/>
              <w:ind w:left="158" w:right="137"/>
              <w:rPr>
                <w:sz w:val="21"/>
              </w:rPr>
            </w:pPr>
            <w:r>
              <w:rPr>
                <w:sz w:val="21"/>
              </w:rPr>
              <w:t>资源开发效率要求</w:t>
            </w:r>
          </w:p>
        </w:tc>
        <w:tc>
          <w:tcPr>
            <w:tcW w:w="3684" w:type="dxa"/>
            <w:tcBorders>
              <w:top w:val="single" w:sz="4" w:space="0" w:color="000000"/>
              <w:left w:val="single" w:sz="4" w:space="0" w:color="000000"/>
              <w:bottom w:val="thickThinMediumGap" w:sz="4" w:space="0" w:color="000000"/>
              <w:right w:val="single" w:sz="4" w:space="0" w:color="000000"/>
            </w:tcBorders>
          </w:tcPr>
          <w:p>
            <w:pPr>
              <w:pStyle w:val="TableParagraph"/>
              <w:numPr>
                <w:ilvl w:val="0"/>
                <w:numId w:val="11"/>
              </w:numPr>
              <w:tabs>
                <w:tab w:val="left" w:pos="271"/>
              </w:tabs>
              <w:spacing w:before="0" w:after="0" w:line="242" w:lineRule="auto"/>
              <w:ind w:left="111" w:right="202" w:firstLine="0"/>
              <w:jc w:val="left"/>
              <w:rPr>
                <w:sz w:val="21"/>
              </w:rPr>
            </w:pPr>
            <w:r>
              <w:rPr>
                <w:sz w:val="21"/>
              </w:rPr>
              <w:t>现有高耗水行业水资源消耗强度和</w:t>
            </w:r>
            <w:r>
              <w:rPr>
                <w:w w:val="95"/>
                <w:sz w:val="21"/>
              </w:rPr>
              <w:t>污染物排放水平应要达到国内同行先</w:t>
            </w:r>
            <w:r>
              <w:rPr>
                <w:sz w:val="21"/>
              </w:rPr>
              <w:t>进水平，落后工艺限期进行升级改 造。</w:t>
            </w:r>
          </w:p>
          <w:p>
            <w:pPr>
              <w:pStyle w:val="TableParagraph"/>
              <w:numPr>
                <w:ilvl w:val="0"/>
                <w:numId w:val="11"/>
              </w:numPr>
              <w:tabs>
                <w:tab w:val="left" w:pos="271"/>
              </w:tabs>
              <w:spacing w:before="0" w:after="0" w:line="240" w:lineRule="auto"/>
              <w:ind w:left="270" w:right="0" w:hanging="160"/>
              <w:jc w:val="left"/>
              <w:rPr>
                <w:sz w:val="21"/>
              </w:rPr>
            </w:pPr>
            <w:r>
              <w:rPr>
                <w:sz w:val="21"/>
              </w:rPr>
              <w:t>推进重点企业清洁生产审核。</w:t>
            </w:r>
          </w:p>
          <w:p>
            <w:pPr>
              <w:pStyle w:val="TableParagraph"/>
              <w:numPr>
                <w:ilvl w:val="0"/>
                <w:numId w:val="11"/>
              </w:numPr>
              <w:tabs>
                <w:tab w:val="left" w:pos="271"/>
              </w:tabs>
              <w:spacing w:before="0" w:after="0" w:line="240" w:lineRule="auto"/>
              <w:ind w:left="270" w:right="0" w:hanging="160"/>
              <w:jc w:val="left"/>
              <w:rPr>
                <w:sz w:val="21"/>
              </w:rPr>
            </w:pPr>
            <w:r>
              <w:rPr>
                <w:sz w:val="21"/>
              </w:rPr>
              <w:t>设定用水总量指标，提高节水型企</w:t>
            </w:r>
          </w:p>
          <w:p>
            <w:pPr>
              <w:pStyle w:val="TableParagraph"/>
              <w:spacing w:before="4" w:line="270" w:lineRule="atLeast"/>
              <w:ind w:left="111" w:right="202"/>
              <w:rPr>
                <w:sz w:val="21"/>
              </w:rPr>
            </w:pPr>
            <w:r>
              <w:rPr>
                <w:w w:val="95"/>
                <w:sz w:val="21"/>
              </w:rPr>
              <w:t>业比例，提高工业用水重复利用率， 提高再生水利用率。不断降低万元工</w:t>
            </w:r>
          </w:p>
        </w:tc>
        <w:tc>
          <w:tcPr>
            <w:tcW w:w="2565" w:type="dxa"/>
            <w:tcBorders>
              <w:top w:val="single" w:sz="4" w:space="0" w:color="000000"/>
              <w:left w:val="single" w:sz="4" w:space="0" w:color="000000"/>
              <w:bottom w:val="thickThinMediumGap" w:sz="4" w:space="0" w:color="000000"/>
              <w:right w:val="single" w:sz="4" w:space="0" w:color="000000"/>
            </w:tcBorders>
          </w:tcPr>
          <w:p>
            <w:pPr>
              <w:pStyle w:val="TableParagraph"/>
              <w:spacing w:line="265" w:lineRule="exact"/>
              <w:ind w:left="111"/>
              <w:rPr>
                <w:sz w:val="21"/>
              </w:rPr>
            </w:pPr>
            <w:r>
              <w:rPr>
                <w:sz w:val="21"/>
              </w:rPr>
              <w:t>符合。</w:t>
            </w:r>
          </w:p>
          <w:p>
            <w:pPr>
              <w:pStyle w:val="TableParagraph"/>
              <w:numPr>
                <w:ilvl w:val="0"/>
                <w:numId w:val="12"/>
              </w:numPr>
              <w:tabs>
                <w:tab w:val="left" w:pos="271"/>
              </w:tabs>
              <w:spacing w:before="2" w:after="0" w:line="244" w:lineRule="auto"/>
              <w:ind w:left="111" w:right="185" w:firstLine="0"/>
              <w:jc w:val="left"/>
              <w:rPr>
                <w:sz w:val="21"/>
              </w:rPr>
            </w:pPr>
            <w:r>
              <w:rPr>
                <w:spacing w:val="-2"/>
                <w:sz w:val="21"/>
              </w:rPr>
              <w:t>本项目不属于高耗水行</w:t>
            </w:r>
            <w:r>
              <w:rPr>
                <w:sz w:val="21"/>
              </w:rPr>
              <w:t>业。</w:t>
            </w:r>
          </w:p>
          <w:p>
            <w:pPr>
              <w:pStyle w:val="TableParagraph"/>
              <w:numPr>
                <w:ilvl w:val="0"/>
                <w:numId w:val="12"/>
              </w:numPr>
              <w:tabs>
                <w:tab w:val="left" w:pos="271"/>
              </w:tabs>
              <w:spacing w:before="0" w:after="0" w:line="242" w:lineRule="auto"/>
              <w:ind w:left="111" w:right="394" w:firstLine="0"/>
              <w:jc w:val="left"/>
              <w:rPr>
                <w:sz w:val="21"/>
              </w:rPr>
            </w:pPr>
            <w:r>
              <w:rPr>
                <w:spacing w:val="-2"/>
                <w:sz w:val="21"/>
              </w:rPr>
              <w:t>本项目不属于重点企</w:t>
            </w:r>
            <w:r>
              <w:rPr>
                <w:sz w:val="21"/>
              </w:rPr>
              <w:t>业。</w:t>
            </w:r>
          </w:p>
          <w:p>
            <w:pPr>
              <w:pStyle w:val="TableParagraph"/>
              <w:numPr>
                <w:ilvl w:val="0"/>
                <w:numId w:val="12"/>
              </w:numPr>
              <w:tabs>
                <w:tab w:val="left" w:pos="323"/>
              </w:tabs>
              <w:spacing w:before="0" w:after="0" w:line="244" w:lineRule="auto"/>
              <w:ind w:left="111" w:right="132" w:firstLine="0"/>
              <w:jc w:val="left"/>
              <w:rPr>
                <w:sz w:val="21"/>
              </w:rPr>
            </w:pPr>
            <w:r>
              <w:rPr>
                <w:spacing w:val="-2"/>
                <w:sz w:val="21"/>
              </w:rPr>
              <w:t>本项目在办公生活中做</w:t>
            </w:r>
            <w:r>
              <w:rPr>
                <w:sz w:val="21"/>
              </w:rPr>
              <w:t>到节约用水。</w:t>
            </w:r>
          </w:p>
          <w:p>
            <w:pPr>
              <w:pStyle w:val="TableParagraph"/>
              <w:numPr>
                <w:ilvl w:val="0"/>
                <w:numId w:val="12"/>
              </w:numPr>
              <w:tabs>
                <w:tab w:val="left" w:pos="271"/>
              </w:tabs>
              <w:spacing w:before="0" w:after="0" w:line="261" w:lineRule="exact"/>
              <w:ind w:left="270" w:right="0" w:hanging="160"/>
              <w:jc w:val="left"/>
              <w:rPr>
                <w:sz w:val="21"/>
              </w:rPr>
            </w:pPr>
            <w:r>
              <w:rPr>
                <w:sz w:val="21"/>
              </w:rPr>
              <w:t>本项目配合园区建设。</w:t>
            </w:r>
          </w:p>
        </w:tc>
        <w:tc>
          <w:tcPr>
            <w:tcW w:w="238" w:type="dxa"/>
            <w:vMerge/>
            <w:tcBorders>
              <w:top w:val="nil"/>
              <w:left w:val="single" w:sz="4" w:space="0" w:color="000000"/>
            </w:tcBorders>
          </w:tcPr>
          <w:p>
            <w:pPr>
              <w:rPr>
                <w:sz w:val="2"/>
                <w:szCs w:val="2"/>
              </w:rPr>
            </w:pPr>
          </w:p>
        </w:tc>
      </w:tr>
    </w:tbl>
    <w:p>
      <w:pPr>
        <w:spacing w:after="0"/>
        <w:rPr>
          <w:sz w:val="2"/>
          <w:szCs w:val="2"/>
        </w:rPr>
        <w:sectPr>
          <w:footerReference w:type="default" r:id="rId11"/>
          <w:pgSz w:w="11910" w:h="16840"/>
          <w:pgMar w:top="1420" w:right="1119" w:bottom="1120" w:left="1120" w:header="0" w:footer="939" w:gutter="0"/>
          <w:pgNumType w:start="7"/>
          <w:cols w:num="1" w:space="720"/>
        </w:sect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118"/>
        <w:gridCol w:w="119"/>
        <w:gridCol w:w="730"/>
        <w:gridCol w:w="416"/>
        <w:gridCol w:w="3684"/>
        <w:gridCol w:w="157"/>
        <w:gridCol w:w="2408"/>
        <w:gridCol w:w="120"/>
        <w:gridCol w:w="118"/>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40"/>
        </w:trPr>
        <w:tc>
          <w:tcPr>
            <w:tcW w:w="1168" w:type="dxa"/>
            <w:vMerge w:val="restart"/>
          </w:tcPr>
          <w:p>
            <w:pPr>
              <w:pStyle w:val="TableParagraph"/>
              <w:rPr>
                <w:rFonts w:ascii="Times New Roman"/>
                <w:sz w:val="20"/>
              </w:rPr>
            </w:pPr>
          </w:p>
        </w:tc>
        <w:tc>
          <w:tcPr>
            <w:tcW w:w="237" w:type="dxa"/>
            <w:gridSpan w:val="2"/>
            <w:tcBorders>
              <w:bottom w:val="nil"/>
              <w:right w:val="single" w:sz="4" w:space="0" w:color="000000"/>
            </w:tcBorders>
          </w:tcPr>
          <w:p>
            <w:pPr>
              <w:pStyle w:val="TableParagraph"/>
              <w:rPr>
                <w:rFonts w:ascii="Times New Roman"/>
                <w:sz w:val="20"/>
              </w:rPr>
            </w:pPr>
          </w:p>
        </w:tc>
        <w:tc>
          <w:tcPr>
            <w:tcW w:w="1146"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684" w:type="dxa"/>
            <w:tcBorders>
              <w:top w:val="single" w:sz="12" w:space="0" w:color="000000"/>
              <w:left w:val="single" w:sz="4" w:space="0" w:color="000000"/>
              <w:bottom w:val="single" w:sz="4" w:space="0" w:color="000000"/>
              <w:right w:val="single" w:sz="4" w:space="0" w:color="000000"/>
            </w:tcBorders>
          </w:tcPr>
          <w:p>
            <w:pPr>
              <w:pStyle w:val="TableParagraph"/>
              <w:spacing w:before="1"/>
              <w:ind w:left="111"/>
              <w:rPr>
                <w:sz w:val="21"/>
              </w:rPr>
            </w:pPr>
            <w:r>
              <w:rPr>
                <w:sz w:val="21"/>
              </w:rPr>
              <w:t>业增加值新鲜水消耗量。</w:t>
            </w:r>
          </w:p>
          <w:p>
            <w:pPr>
              <w:pStyle w:val="TableParagraph"/>
              <w:spacing w:before="2" w:line="248" w:lineRule="exact"/>
              <w:ind w:left="111"/>
              <w:rPr>
                <w:sz w:val="21"/>
              </w:rPr>
            </w:pPr>
            <w:r>
              <w:rPr>
                <w:rFonts w:ascii="Times New Roman" w:eastAsia="Times New Roman"/>
                <w:sz w:val="21"/>
              </w:rPr>
              <w:t>4.</w:t>
            </w:r>
            <w:r>
              <w:rPr>
                <w:sz w:val="21"/>
              </w:rPr>
              <w:t>开展国家生态工业示范园区建设。</w:t>
            </w:r>
          </w:p>
        </w:tc>
        <w:tc>
          <w:tcPr>
            <w:tcW w:w="2565"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238" w:type="dxa"/>
            <w:gridSpan w:val="2"/>
            <w:tcBorders>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9589"/>
        </w:trPr>
        <w:tc>
          <w:tcPr>
            <w:tcW w:w="1168" w:type="dxa"/>
            <w:vMerge/>
            <w:tcBorders>
              <w:top w:val="nil"/>
            </w:tcBorders>
          </w:tcPr>
          <w:p>
            <w:pPr>
              <w:rPr>
                <w:sz w:val="2"/>
                <w:szCs w:val="2"/>
              </w:rPr>
            </w:pPr>
          </w:p>
        </w:tc>
        <w:tc>
          <w:tcPr>
            <w:tcW w:w="7870" w:type="dxa"/>
            <w:gridSpan w:val="9"/>
            <w:tcBorders>
              <w:top w:val="nil"/>
            </w:tcBorders>
          </w:tcPr>
          <w:p>
            <w:pPr>
              <w:pStyle w:val="TableParagraph"/>
              <w:spacing w:before="116"/>
              <w:ind w:left="107"/>
              <w:rPr>
                <w:b/>
                <w:sz w:val="24"/>
              </w:rPr>
            </w:pPr>
            <w:r>
              <w:rPr>
                <w:rFonts w:ascii="Times New Roman" w:eastAsia="Times New Roman"/>
                <w:b/>
                <w:sz w:val="24"/>
              </w:rPr>
              <w:t>4</w:t>
            </w:r>
            <w:r>
              <w:rPr>
                <w:b/>
                <w:sz w:val="24"/>
              </w:rPr>
              <w:t>、环保政策的符合性</w:t>
            </w:r>
          </w:p>
          <w:p>
            <w:pPr>
              <w:pStyle w:val="TableParagraph"/>
              <w:spacing w:before="159"/>
              <w:ind w:left="587"/>
              <w:rPr>
                <w:b/>
                <w:sz w:val="24"/>
              </w:rPr>
            </w:pPr>
            <w:r>
              <w:rPr>
                <w:b/>
                <w:sz w:val="24"/>
              </w:rPr>
              <w:t>（</w:t>
            </w:r>
            <w:r>
              <w:rPr>
                <w:rFonts w:ascii="Times New Roman" w:eastAsia="Times New Roman" w:hAnsi="Times New Roman"/>
                <w:b/>
                <w:sz w:val="24"/>
              </w:rPr>
              <w:t>1</w:t>
            </w:r>
            <w:r>
              <w:rPr>
                <w:b/>
                <w:sz w:val="24"/>
              </w:rPr>
              <w:t>）与《德州市“十四五”生态环境保护规划》（德政发〔</w:t>
            </w:r>
            <w:r>
              <w:rPr>
                <w:rFonts w:ascii="Times New Roman" w:eastAsia="Times New Roman" w:hAnsi="Times New Roman"/>
                <w:b/>
                <w:sz w:val="24"/>
              </w:rPr>
              <w:t>2021</w:t>
            </w:r>
            <w:r>
              <w:rPr>
                <w:b/>
                <w:sz w:val="24"/>
              </w:rPr>
              <w:t>〕</w:t>
            </w:r>
          </w:p>
          <w:p>
            <w:pPr>
              <w:pStyle w:val="TableParagraph"/>
              <w:spacing w:before="160"/>
              <w:ind w:left="107"/>
              <w:rPr>
                <w:b/>
                <w:sz w:val="24"/>
              </w:rPr>
            </w:pPr>
            <w:r>
              <w:rPr>
                <w:rFonts w:ascii="Times New Roman" w:eastAsia="Times New Roman"/>
                <w:b/>
                <w:sz w:val="24"/>
              </w:rPr>
              <w:t xml:space="preserve">12 </w:t>
            </w:r>
            <w:r>
              <w:rPr>
                <w:b/>
                <w:sz w:val="24"/>
              </w:rPr>
              <w:t>号）符合性分析</w:t>
            </w:r>
          </w:p>
          <w:p>
            <w:pPr>
              <w:pStyle w:val="TableParagraph"/>
              <w:tabs>
                <w:tab w:val="left" w:pos="1131"/>
              </w:tabs>
              <w:spacing w:before="158"/>
              <w:ind w:left="503"/>
              <w:rPr>
                <w:b/>
                <w:sz w:val="24"/>
              </w:rPr>
            </w:pPr>
            <w:r>
              <w:rPr>
                <w:b/>
                <w:sz w:val="24"/>
              </w:rPr>
              <w:t>表</w:t>
            </w:r>
            <w:r>
              <w:rPr>
                <w:b/>
                <w:spacing w:val="-62"/>
                <w:sz w:val="24"/>
              </w:rPr>
              <w:t xml:space="preserve"> </w:t>
            </w:r>
            <w:r>
              <w:rPr>
                <w:rFonts w:ascii="Times New Roman" w:eastAsia="Times New Roman" w:hAnsi="Times New Roman"/>
                <w:b/>
                <w:sz w:val="24"/>
              </w:rPr>
              <w:t>5</w:t>
            </w:r>
            <w:r>
              <w:rPr>
                <w:rFonts w:ascii="Times New Roman" w:eastAsia="Times New Roman" w:hAnsi="Times New Roman"/>
                <w:b/>
                <w:sz w:val="24"/>
              </w:rPr>
              <w:tab/>
            </w:r>
            <w:r>
              <w:rPr>
                <w:b/>
                <w:sz w:val="24"/>
              </w:rPr>
              <w:t>与《德州市“十四五”生态环境保护规划》符合性分析表</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1"/>
              <w:rPr>
                <w:sz w:val="22"/>
              </w:rPr>
            </w:pPr>
          </w:p>
          <w:p>
            <w:pPr>
              <w:pStyle w:val="TableParagraph"/>
              <w:ind w:left="587"/>
              <w:rPr>
                <w:sz w:val="24"/>
              </w:rPr>
            </w:pPr>
            <w:r>
              <w:rPr>
                <w:sz w:val="24"/>
              </w:rPr>
              <w:t>由上表可见，本项目符合《德州市“十四五”生态环境保护规划》</w:t>
            </w:r>
          </w:p>
          <w:p>
            <w:pPr>
              <w:pStyle w:val="TableParagraph"/>
              <w:spacing w:before="158"/>
              <w:ind w:left="107"/>
              <w:rPr>
                <w:sz w:val="24"/>
              </w:rPr>
            </w:pPr>
            <w:r>
              <w:rPr>
                <w:sz w:val="24"/>
              </w:rPr>
              <w:t>（德政发〔</w:t>
            </w:r>
            <w:r>
              <w:rPr>
                <w:rFonts w:ascii="Times New Roman" w:eastAsia="Times New Roman"/>
                <w:sz w:val="24"/>
              </w:rPr>
              <w:t>2021</w:t>
            </w:r>
            <w:r>
              <w:rPr>
                <w:sz w:val="24"/>
              </w:rPr>
              <w:t>〕</w:t>
            </w:r>
            <w:r>
              <w:rPr>
                <w:rFonts w:ascii="Times New Roman" w:eastAsia="Times New Roman"/>
                <w:sz w:val="24"/>
              </w:rPr>
              <w:t xml:space="preserve">12 </w:t>
            </w:r>
            <w:r>
              <w:rPr>
                <w:sz w:val="24"/>
              </w:rPr>
              <w:t>号）的要求。</w:t>
            </w:r>
          </w:p>
          <w:p>
            <w:pPr>
              <w:pStyle w:val="TableParagraph"/>
              <w:spacing w:before="161" w:line="362" w:lineRule="auto"/>
              <w:ind w:left="107" w:right="89" w:firstLine="480"/>
              <w:rPr>
                <w:b/>
                <w:sz w:val="24"/>
              </w:rPr>
            </w:pPr>
            <w:r>
              <w:rPr>
                <w:b/>
                <w:sz w:val="24"/>
              </w:rPr>
              <w:t>（</w:t>
            </w:r>
            <w:r>
              <w:rPr>
                <w:rFonts w:ascii="Times New Roman" w:eastAsia="Times New Roman"/>
                <w:b/>
                <w:sz w:val="24"/>
              </w:rPr>
              <w:t>2</w:t>
            </w:r>
            <w:r>
              <w:rPr>
                <w:b/>
                <w:sz w:val="24"/>
              </w:rPr>
              <w:t>）与《挥发性有机物无组织排放控制标准》（</w:t>
            </w:r>
            <w:r>
              <w:rPr>
                <w:rFonts w:ascii="Times New Roman" w:eastAsia="Times New Roman"/>
                <w:b/>
                <w:sz w:val="24"/>
              </w:rPr>
              <w:t>GB37822-2019</w:t>
            </w:r>
            <w:r>
              <w:rPr>
                <w:b/>
                <w:sz w:val="24"/>
              </w:rPr>
              <w:t>）符合性分析</w:t>
            </w:r>
          </w:p>
          <w:p>
            <w:pPr>
              <w:pStyle w:val="TableParagraph"/>
              <w:tabs>
                <w:tab w:val="left" w:pos="620"/>
              </w:tabs>
              <w:spacing w:before="2"/>
              <w:ind w:left="-11"/>
              <w:rPr>
                <w:b/>
                <w:sz w:val="24"/>
              </w:rPr>
            </w:pPr>
            <w:r>
              <w:rPr>
                <w:b/>
                <w:sz w:val="24"/>
              </w:rPr>
              <w:t>表</w:t>
            </w:r>
            <w:r>
              <w:rPr>
                <w:b/>
                <w:spacing w:val="-62"/>
                <w:sz w:val="24"/>
              </w:rPr>
              <w:t xml:space="preserve"> </w:t>
            </w:r>
            <w:r>
              <w:rPr>
                <w:rFonts w:ascii="Times New Roman" w:eastAsia="Times New Roman"/>
                <w:b/>
                <w:sz w:val="24"/>
              </w:rPr>
              <w:t>6</w:t>
            </w:r>
            <w:r>
              <w:rPr>
                <w:rFonts w:ascii="Times New Roman" w:eastAsia="Times New Roman"/>
                <w:b/>
                <w:sz w:val="24"/>
              </w:rPr>
              <w:tab/>
            </w:r>
            <w:r>
              <w:rPr>
                <w:b/>
                <w:sz w:val="24"/>
              </w:rPr>
              <w:t>与《挥发性有机物无组织排放控制标准》（</w:t>
            </w:r>
            <w:r>
              <w:rPr>
                <w:rFonts w:ascii="Times New Roman" w:eastAsia="Times New Roman"/>
                <w:b/>
                <w:sz w:val="24"/>
              </w:rPr>
              <w:t>GB37822-2019</w:t>
            </w:r>
            <w:r>
              <w:rPr>
                <w:b/>
                <w:sz w:val="24"/>
              </w:rPr>
              <w:t>）符合性</w:t>
            </w:r>
          </w:p>
          <w:p>
            <w:pPr>
              <w:pStyle w:val="TableParagraph"/>
              <w:spacing w:before="5" w:line="290" w:lineRule="exact"/>
              <w:ind w:left="3330"/>
              <w:rPr>
                <w:b/>
                <w:sz w:val="24"/>
              </w:rPr>
            </w:pPr>
            <w:r>
              <w:rPr>
                <w:b/>
                <w:sz w:val="24"/>
              </w:rPr>
              <w:t>分析一览表</w:t>
            </w:r>
          </w:p>
        </w:tc>
      </w:tr>
      <w:tr>
        <w:tblPrEx>
          <w:tblW w:w="0" w:type="auto"/>
          <w:tblInd w:w="324" w:type="dxa"/>
          <w:tblLayout w:type="fixed"/>
          <w:tblCellMar>
            <w:top w:w="0" w:type="dxa"/>
            <w:left w:w="0" w:type="dxa"/>
            <w:bottom w:w="0" w:type="dxa"/>
            <w:right w:w="0" w:type="dxa"/>
          </w:tblCellMar>
        </w:tblPrEx>
        <w:trPr>
          <w:trHeight w:val="317"/>
        </w:trPr>
        <w:tc>
          <w:tcPr>
            <w:tcW w:w="1168" w:type="dxa"/>
            <w:vMerge/>
            <w:tcBorders>
              <w:top w:val="nil"/>
            </w:tcBorders>
          </w:tcPr>
          <w:p>
            <w:pPr>
              <w:rPr>
                <w:sz w:val="2"/>
                <w:szCs w:val="2"/>
              </w:rPr>
            </w:pPr>
          </w:p>
        </w:tc>
        <w:tc>
          <w:tcPr>
            <w:tcW w:w="118" w:type="dxa"/>
            <w:vMerge w:val="restart"/>
            <w:tcBorders>
              <w:top w:val="nil"/>
            </w:tcBorders>
          </w:tcPr>
          <w:p>
            <w:pPr>
              <w:pStyle w:val="TableParagraph"/>
              <w:rPr>
                <w:rFonts w:ascii="Times New Roman"/>
                <w:sz w:val="20"/>
              </w:rPr>
            </w:pPr>
          </w:p>
        </w:tc>
        <w:tc>
          <w:tcPr>
            <w:tcW w:w="849" w:type="dxa"/>
            <w:gridSpan w:val="2"/>
            <w:tcBorders>
              <w:bottom w:val="single" w:sz="6" w:space="0" w:color="000000"/>
              <w:right w:val="single" w:sz="6" w:space="0" w:color="000000"/>
            </w:tcBorders>
          </w:tcPr>
          <w:p>
            <w:pPr>
              <w:pStyle w:val="TableParagraph"/>
              <w:spacing w:before="24"/>
              <w:ind w:left="212"/>
              <w:rPr>
                <w:b/>
                <w:sz w:val="21"/>
              </w:rPr>
            </w:pPr>
            <w:r>
              <w:rPr>
                <w:b/>
                <w:sz w:val="21"/>
              </w:rPr>
              <w:t>分类</w:t>
            </w:r>
          </w:p>
        </w:tc>
        <w:tc>
          <w:tcPr>
            <w:tcW w:w="4257" w:type="dxa"/>
            <w:gridSpan w:val="3"/>
            <w:tcBorders>
              <w:left w:val="single" w:sz="6" w:space="0" w:color="000000"/>
              <w:bottom w:val="single" w:sz="6" w:space="0" w:color="000000"/>
              <w:right w:val="single" w:sz="6" w:space="0" w:color="000000"/>
            </w:tcBorders>
          </w:tcPr>
          <w:p>
            <w:pPr>
              <w:pStyle w:val="TableParagraph"/>
              <w:spacing w:before="24"/>
              <w:ind w:left="1687" w:right="1670"/>
              <w:jc w:val="center"/>
              <w:rPr>
                <w:b/>
                <w:sz w:val="21"/>
              </w:rPr>
            </w:pPr>
            <w:r>
              <w:rPr>
                <w:b/>
                <w:sz w:val="21"/>
              </w:rPr>
              <w:t>文件要求</w:t>
            </w:r>
          </w:p>
        </w:tc>
        <w:tc>
          <w:tcPr>
            <w:tcW w:w="2528" w:type="dxa"/>
            <w:gridSpan w:val="2"/>
            <w:tcBorders>
              <w:left w:val="single" w:sz="6" w:space="0" w:color="000000"/>
              <w:bottom w:val="single" w:sz="6" w:space="0" w:color="000000"/>
            </w:tcBorders>
          </w:tcPr>
          <w:p>
            <w:pPr>
              <w:pStyle w:val="TableParagraph"/>
              <w:spacing w:before="24"/>
              <w:ind w:left="739"/>
              <w:rPr>
                <w:b/>
                <w:sz w:val="21"/>
              </w:rPr>
            </w:pPr>
            <w:r>
              <w:rPr>
                <w:b/>
                <w:sz w:val="21"/>
              </w:rPr>
              <w:t>符合性分析</w:t>
            </w:r>
          </w:p>
        </w:tc>
        <w:tc>
          <w:tcPr>
            <w:tcW w:w="118" w:type="dxa"/>
            <w:tcBorders>
              <w:top w:val="nil"/>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2173"/>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gridSpan w:val="2"/>
            <w:tcBorders>
              <w:top w:val="single" w:sz="6" w:space="0" w:color="000000"/>
              <w:bottom w:val="single" w:sz="6" w:space="0" w:color="000000"/>
              <w:right w:val="single" w:sz="6" w:space="0" w:color="000000"/>
            </w:tcBorders>
          </w:tcPr>
          <w:p>
            <w:pPr>
              <w:pStyle w:val="TableParagraph"/>
              <w:spacing w:before="1"/>
              <w:rPr>
                <w:sz w:val="22"/>
              </w:rPr>
            </w:pPr>
          </w:p>
          <w:p>
            <w:pPr>
              <w:pStyle w:val="TableParagraph"/>
              <w:spacing w:before="1"/>
              <w:ind w:left="106" w:right="91"/>
              <w:jc w:val="center"/>
              <w:rPr>
                <w:rFonts w:ascii="Times New Roman"/>
                <w:sz w:val="21"/>
              </w:rPr>
            </w:pPr>
            <w:r>
              <w:rPr>
                <w:rFonts w:ascii="Times New Roman"/>
                <w:sz w:val="21"/>
              </w:rPr>
              <w:t>VOCs</w:t>
            </w:r>
          </w:p>
          <w:p>
            <w:pPr>
              <w:pStyle w:val="TableParagraph"/>
              <w:spacing w:before="1" w:line="242" w:lineRule="auto"/>
              <w:ind w:left="109" w:right="91"/>
              <w:jc w:val="center"/>
              <w:rPr>
                <w:sz w:val="21"/>
              </w:rPr>
            </w:pPr>
            <w:r>
              <w:rPr>
                <w:sz w:val="21"/>
              </w:rPr>
              <w:t>物料储存无组织排放控制要求</w:t>
            </w:r>
          </w:p>
        </w:tc>
        <w:tc>
          <w:tcPr>
            <w:tcW w:w="4257" w:type="dxa"/>
            <w:gridSpan w:val="3"/>
            <w:tcBorders>
              <w:top w:val="single" w:sz="6" w:space="0" w:color="000000"/>
              <w:left w:val="single" w:sz="6" w:space="0" w:color="000000"/>
              <w:bottom w:val="single" w:sz="6" w:space="0" w:color="000000"/>
              <w:right w:val="single" w:sz="6" w:space="0" w:color="000000"/>
            </w:tcBorders>
          </w:tcPr>
          <w:p>
            <w:pPr>
              <w:pStyle w:val="TableParagraph"/>
              <w:spacing w:line="242" w:lineRule="auto"/>
              <w:ind w:left="109" w:right="141" w:firstLine="420"/>
              <w:jc w:val="both"/>
              <w:rPr>
                <w:sz w:val="21"/>
              </w:rPr>
            </w:pPr>
            <w:r>
              <w:rPr>
                <w:rFonts w:ascii="Times New Roman" w:eastAsia="Times New Roman"/>
                <w:sz w:val="21"/>
              </w:rPr>
              <w:t>VOCs</w:t>
            </w:r>
            <w:r>
              <w:rPr>
                <w:rFonts w:ascii="Times New Roman" w:eastAsia="Times New Roman"/>
                <w:spacing w:val="-15"/>
                <w:sz w:val="21"/>
              </w:rPr>
              <w:t xml:space="preserve"> </w:t>
            </w:r>
            <w:r>
              <w:rPr>
                <w:sz w:val="21"/>
              </w:rPr>
              <w:t>物料应储存于密闭的容器、包装</w:t>
            </w:r>
            <w:r>
              <w:rPr>
                <w:spacing w:val="-4"/>
                <w:sz w:val="21"/>
              </w:rPr>
              <w:t xml:space="preserve">袋、储罐、储库、料仓中。盛装 </w:t>
            </w:r>
            <w:r>
              <w:rPr>
                <w:rFonts w:ascii="Times New Roman" w:eastAsia="Times New Roman"/>
                <w:sz w:val="21"/>
              </w:rPr>
              <w:t>VOCs</w:t>
            </w:r>
            <w:r>
              <w:rPr>
                <w:rFonts w:ascii="Times New Roman" w:eastAsia="Times New Roman"/>
                <w:spacing w:val="-15"/>
                <w:sz w:val="21"/>
              </w:rPr>
              <w:t xml:space="preserve"> </w:t>
            </w:r>
            <w:r>
              <w:rPr>
                <w:sz w:val="21"/>
              </w:rPr>
              <w:t>物料</w:t>
            </w:r>
            <w:r>
              <w:rPr>
                <w:w w:val="95"/>
                <w:sz w:val="21"/>
              </w:rPr>
              <w:t>的容器或包装袋应存放于室内，或存放于设 置有雨棚、遮阳和防渗设施的专用场地。盛</w:t>
            </w:r>
            <w:r>
              <w:rPr>
                <w:spacing w:val="-30"/>
                <w:sz w:val="21"/>
              </w:rPr>
              <w:t xml:space="preserve">装 </w:t>
            </w:r>
            <w:r>
              <w:rPr>
                <w:rFonts w:ascii="Times New Roman" w:eastAsia="Times New Roman"/>
                <w:sz w:val="21"/>
              </w:rPr>
              <w:t>VOCs</w:t>
            </w:r>
            <w:r>
              <w:rPr>
                <w:rFonts w:ascii="Times New Roman" w:eastAsia="Times New Roman"/>
                <w:spacing w:val="-13"/>
                <w:sz w:val="21"/>
              </w:rPr>
              <w:t xml:space="preserve"> </w:t>
            </w:r>
            <w:r>
              <w:rPr>
                <w:sz w:val="21"/>
              </w:rPr>
              <w:t>物料的容器或包装袋在非取用状态时应加盖、封口，保持密闭。</w:t>
            </w:r>
            <w:r>
              <w:rPr>
                <w:rFonts w:ascii="Times New Roman" w:eastAsia="Times New Roman"/>
                <w:sz w:val="21"/>
              </w:rPr>
              <w:t>VOCs</w:t>
            </w:r>
            <w:r>
              <w:rPr>
                <w:rFonts w:ascii="Times New Roman" w:eastAsia="Times New Roman"/>
                <w:spacing w:val="-13"/>
                <w:sz w:val="21"/>
              </w:rPr>
              <w:t xml:space="preserve"> </w:t>
            </w:r>
            <w:r>
              <w:rPr>
                <w:sz w:val="21"/>
              </w:rPr>
              <w:t>物料储罐应密封良好。</w:t>
            </w:r>
            <w:r>
              <w:rPr>
                <w:rFonts w:ascii="Times New Roman" w:eastAsia="Times New Roman"/>
                <w:sz w:val="21"/>
              </w:rPr>
              <w:t>VOCs</w:t>
            </w:r>
            <w:r>
              <w:rPr>
                <w:rFonts w:ascii="Times New Roman" w:eastAsia="Times New Roman"/>
                <w:spacing w:val="-13"/>
                <w:sz w:val="21"/>
              </w:rPr>
              <w:t xml:space="preserve"> </w:t>
            </w:r>
            <w:r>
              <w:rPr>
                <w:sz w:val="21"/>
              </w:rPr>
              <w:t>物料储库、料仓应满</w:t>
            </w:r>
          </w:p>
          <w:p>
            <w:pPr>
              <w:pStyle w:val="TableParagraph"/>
              <w:spacing w:before="2" w:line="250" w:lineRule="exact"/>
              <w:ind w:left="109"/>
              <w:rPr>
                <w:sz w:val="21"/>
              </w:rPr>
            </w:pPr>
            <w:r>
              <w:rPr>
                <w:sz w:val="21"/>
              </w:rPr>
              <w:t>足对密闭空间的要求。</w:t>
            </w:r>
          </w:p>
        </w:tc>
        <w:tc>
          <w:tcPr>
            <w:tcW w:w="2528" w:type="dxa"/>
            <w:gridSpan w:val="2"/>
            <w:tcBorders>
              <w:top w:val="single" w:sz="6" w:space="0" w:color="000000"/>
              <w:left w:val="single" w:sz="6" w:space="0" w:color="000000"/>
              <w:bottom w:val="single" w:sz="6" w:space="0" w:color="000000"/>
            </w:tcBorders>
          </w:tcPr>
          <w:p>
            <w:pPr>
              <w:pStyle w:val="TableParagraph"/>
              <w:rPr>
                <w:sz w:val="20"/>
              </w:rPr>
            </w:pPr>
          </w:p>
          <w:p>
            <w:pPr>
              <w:pStyle w:val="TableParagraph"/>
              <w:rPr>
                <w:sz w:val="20"/>
              </w:rPr>
            </w:pPr>
          </w:p>
          <w:p>
            <w:pPr>
              <w:pStyle w:val="TableParagraph"/>
              <w:spacing w:before="165" w:line="242" w:lineRule="auto"/>
              <w:ind w:left="110" w:right="90"/>
              <w:jc w:val="both"/>
              <w:rPr>
                <w:sz w:val="21"/>
              </w:rPr>
            </w:pPr>
            <w:r>
              <w:rPr>
                <w:spacing w:val="-7"/>
                <w:sz w:val="21"/>
              </w:rPr>
              <w:t xml:space="preserve">符合。本项目涉 </w:t>
            </w:r>
            <w:r>
              <w:rPr>
                <w:rFonts w:ascii="Times New Roman" w:eastAsia="Times New Roman"/>
                <w:sz w:val="21"/>
              </w:rPr>
              <w:t xml:space="preserve">VOCs </w:t>
            </w:r>
            <w:r>
              <w:rPr>
                <w:spacing w:val="-16"/>
                <w:sz w:val="21"/>
              </w:rPr>
              <w:t>物</w:t>
            </w:r>
            <w:r>
              <w:rPr>
                <w:spacing w:val="19"/>
                <w:sz w:val="21"/>
              </w:rPr>
              <w:t>料为聚乙烯颗粒、色母</w:t>
            </w:r>
            <w:r>
              <w:rPr>
                <w:sz w:val="21"/>
              </w:rPr>
              <w:t>粒，常温下为固态。</w:t>
            </w:r>
          </w:p>
        </w:tc>
        <w:tc>
          <w:tcPr>
            <w:tcW w:w="118" w:type="dxa"/>
            <w:tcBorders>
              <w:top w:val="nil"/>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051"/>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gridSpan w:val="2"/>
            <w:tcBorders>
              <w:top w:val="single" w:sz="6" w:space="0" w:color="000000"/>
              <w:bottom w:val="single" w:sz="18" w:space="0" w:color="000000"/>
              <w:right w:val="single" w:sz="6" w:space="0" w:color="000000"/>
            </w:tcBorders>
          </w:tcPr>
          <w:p>
            <w:pPr>
              <w:pStyle w:val="TableParagraph"/>
              <w:spacing w:line="239" w:lineRule="exact"/>
              <w:ind w:left="161"/>
              <w:rPr>
                <w:rFonts w:ascii="Times New Roman"/>
                <w:sz w:val="21"/>
              </w:rPr>
            </w:pPr>
            <w:r>
              <w:rPr>
                <w:rFonts w:ascii="Times New Roman"/>
                <w:sz w:val="21"/>
              </w:rPr>
              <w:t>VOCs</w:t>
            </w:r>
          </w:p>
          <w:p>
            <w:pPr>
              <w:pStyle w:val="TableParagraph"/>
              <w:spacing w:before="1" w:line="242" w:lineRule="auto"/>
              <w:ind w:left="109" w:right="91"/>
              <w:rPr>
                <w:sz w:val="21"/>
              </w:rPr>
            </w:pPr>
            <w:r>
              <w:rPr>
                <w:spacing w:val="-6"/>
                <w:sz w:val="21"/>
              </w:rPr>
              <w:t>物料转</w:t>
            </w:r>
            <w:r>
              <w:rPr>
                <w:spacing w:val="-6"/>
                <w:w w:val="95"/>
                <w:sz w:val="21"/>
              </w:rPr>
              <w:t>移和输</w:t>
            </w:r>
          </w:p>
          <w:p>
            <w:pPr>
              <w:pStyle w:val="TableParagraph"/>
              <w:spacing w:before="1" w:line="246" w:lineRule="exact"/>
              <w:ind w:left="109"/>
              <w:rPr>
                <w:sz w:val="21"/>
              </w:rPr>
            </w:pPr>
            <w:r>
              <w:rPr>
                <w:w w:val="95"/>
                <w:sz w:val="21"/>
              </w:rPr>
              <w:t>送无组</w:t>
            </w:r>
          </w:p>
        </w:tc>
        <w:tc>
          <w:tcPr>
            <w:tcW w:w="4257" w:type="dxa"/>
            <w:gridSpan w:val="3"/>
            <w:tcBorders>
              <w:top w:val="single" w:sz="6" w:space="0" w:color="000000"/>
              <w:left w:val="single" w:sz="6" w:space="0" w:color="000000"/>
              <w:bottom w:val="single" w:sz="18" w:space="0" w:color="000000"/>
              <w:right w:val="single" w:sz="6" w:space="0" w:color="000000"/>
            </w:tcBorders>
          </w:tcPr>
          <w:p>
            <w:pPr>
              <w:pStyle w:val="TableParagraph"/>
              <w:spacing w:before="118" w:line="242" w:lineRule="auto"/>
              <w:ind w:left="109" w:right="81" w:firstLine="420"/>
              <w:rPr>
                <w:sz w:val="21"/>
              </w:rPr>
            </w:pPr>
            <w:r>
              <w:rPr>
                <w:sz w:val="21"/>
              </w:rPr>
              <w:t xml:space="preserve">液态 </w:t>
            </w:r>
            <w:r>
              <w:rPr>
                <w:rFonts w:ascii="Times New Roman" w:eastAsia="Times New Roman"/>
                <w:sz w:val="21"/>
              </w:rPr>
              <w:t xml:space="preserve">VOCs </w:t>
            </w:r>
            <w:r>
              <w:rPr>
                <w:sz w:val="21"/>
              </w:rPr>
              <w:t xml:space="preserve">物料应采用密闭管道输送。采用非管道输送方式转移液态 </w:t>
            </w:r>
            <w:r>
              <w:rPr>
                <w:rFonts w:ascii="Times New Roman" w:eastAsia="Times New Roman"/>
                <w:sz w:val="21"/>
              </w:rPr>
              <w:t xml:space="preserve">VOCs </w:t>
            </w:r>
            <w:r>
              <w:rPr>
                <w:sz w:val="21"/>
              </w:rPr>
              <w:t>物料时，应采用密闭容器、罐车。</w:t>
            </w:r>
          </w:p>
        </w:tc>
        <w:tc>
          <w:tcPr>
            <w:tcW w:w="2528" w:type="dxa"/>
            <w:gridSpan w:val="2"/>
            <w:tcBorders>
              <w:top w:val="single" w:sz="6" w:space="0" w:color="000000"/>
              <w:left w:val="single" w:sz="6" w:space="0" w:color="000000"/>
              <w:bottom w:val="single" w:sz="18" w:space="0" w:color="000000"/>
            </w:tcBorders>
          </w:tcPr>
          <w:p>
            <w:pPr>
              <w:pStyle w:val="TableParagraph"/>
              <w:spacing w:before="11"/>
              <w:rPr>
                <w:sz w:val="19"/>
              </w:rPr>
            </w:pPr>
          </w:p>
          <w:p>
            <w:pPr>
              <w:pStyle w:val="TableParagraph"/>
              <w:ind w:left="110"/>
              <w:rPr>
                <w:sz w:val="21"/>
              </w:rPr>
            </w:pPr>
            <w:r>
              <w:rPr>
                <w:sz w:val="21"/>
              </w:rPr>
              <w:t>符合。本项目不使用液态</w:t>
            </w:r>
          </w:p>
          <w:p>
            <w:pPr>
              <w:pStyle w:val="TableParagraph"/>
              <w:spacing w:before="2"/>
              <w:ind w:left="110"/>
              <w:rPr>
                <w:sz w:val="21"/>
              </w:rPr>
            </w:pPr>
            <w:r>
              <w:rPr>
                <w:rFonts w:ascii="Times New Roman" w:eastAsia="Times New Roman"/>
                <w:sz w:val="21"/>
              </w:rPr>
              <w:t xml:space="preserve">VOCs </w:t>
            </w:r>
            <w:r>
              <w:rPr>
                <w:sz w:val="21"/>
              </w:rPr>
              <w:t>物料。</w:t>
            </w:r>
          </w:p>
        </w:tc>
        <w:tc>
          <w:tcPr>
            <w:tcW w:w="118" w:type="dxa"/>
            <w:tcBorders>
              <w:top w:val="nil"/>
            </w:tcBorders>
          </w:tcPr>
          <w:p>
            <w:pPr>
              <w:pStyle w:val="TableParagraph"/>
              <w:rPr>
                <w:rFonts w:ascii="Times New Roman"/>
                <w:sz w:val="20"/>
              </w:rPr>
            </w:pPr>
          </w:p>
        </w:tc>
      </w:tr>
    </w:tbl>
    <w:p>
      <w:pPr>
        <w:rPr>
          <w:sz w:val="2"/>
          <w:szCs w:val="2"/>
        </w:rPr>
      </w:pPr>
      <w:r>
        <w:pict>
          <v:shape id="_x0000_s1029" o:spid="_x0000_s1028" type="#_x0000_t202" style="width:382.95pt;height:256.75pt;margin-top:192.85pt;margin-left:135.5pt;mso-height-relative:page;mso-position-horizontal-relative:page;mso-position-vertical-relative:page;mso-width-relative:page;position:absolute;z-index:25166131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56"/>
                    <w:gridCol w:w="4172"/>
                    <w:gridCol w:w="281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85"/>
                    </w:trPr>
                    <w:tc>
                      <w:tcPr>
                        <w:tcW w:w="656" w:type="dxa"/>
                      </w:tcPr>
                      <w:p>
                        <w:pPr>
                          <w:pStyle w:val="TableParagraph"/>
                          <w:spacing w:before="57"/>
                          <w:ind w:left="116"/>
                          <w:rPr>
                            <w:b/>
                            <w:sz w:val="21"/>
                          </w:rPr>
                        </w:pPr>
                        <w:r>
                          <w:rPr>
                            <w:b/>
                            <w:sz w:val="21"/>
                          </w:rPr>
                          <w:t>分类</w:t>
                        </w:r>
                      </w:p>
                    </w:tc>
                    <w:tc>
                      <w:tcPr>
                        <w:tcW w:w="4172" w:type="dxa"/>
                      </w:tcPr>
                      <w:p>
                        <w:pPr>
                          <w:pStyle w:val="TableParagraph"/>
                          <w:spacing w:before="57"/>
                          <w:ind w:left="1643" w:right="1635"/>
                          <w:jc w:val="center"/>
                          <w:rPr>
                            <w:b/>
                            <w:sz w:val="21"/>
                          </w:rPr>
                        </w:pPr>
                        <w:r>
                          <w:rPr>
                            <w:b/>
                            <w:sz w:val="21"/>
                          </w:rPr>
                          <w:t>文件要求</w:t>
                        </w:r>
                      </w:p>
                    </w:tc>
                    <w:tc>
                      <w:tcPr>
                        <w:tcW w:w="2816" w:type="dxa"/>
                      </w:tcPr>
                      <w:p>
                        <w:pPr>
                          <w:pStyle w:val="TableParagraph"/>
                          <w:spacing w:before="57"/>
                          <w:ind w:left="880"/>
                          <w:rPr>
                            <w:b/>
                            <w:sz w:val="21"/>
                          </w:rPr>
                        </w:pPr>
                        <w:r>
                          <w:rPr>
                            <w:b/>
                            <w:sz w:val="21"/>
                          </w:rPr>
                          <w:t>符合性分析</w:t>
                        </w:r>
                      </w:p>
                    </w:tc>
                  </w:tr>
                  <w:tr>
                    <w:tblPrEx>
                      <w:tblW w:w="0" w:type="auto"/>
                      <w:tblInd w:w="5" w:type="dxa"/>
                      <w:tblLayout w:type="fixed"/>
                      <w:tblCellMar>
                        <w:top w:w="0" w:type="dxa"/>
                        <w:left w:w="0" w:type="dxa"/>
                        <w:bottom w:w="0" w:type="dxa"/>
                        <w:right w:w="0" w:type="dxa"/>
                      </w:tblCellMar>
                    </w:tblPrEx>
                    <w:trPr>
                      <w:trHeight w:val="1475"/>
                    </w:trPr>
                    <w:tc>
                      <w:tcPr>
                        <w:tcW w:w="656" w:type="dxa"/>
                        <w:vMerge w:val="restart"/>
                      </w:tcPr>
                      <w:p>
                        <w:pPr>
                          <w:pStyle w:val="TableParagraph"/>
                          <w:rPr>
                            <w:sz w:val="20"/>
                          </w:rPr>
                        </w:pPr>
                      </w:p>
                      <w:p>
                        <w:pPr>
                          <w:pStyle w:val="TableParagraph"/>
                          <w:rPr>
                            <w:sz w:val="20"/>
                          </w:rPr>
                        </w:pPr>
                      </w:p>
                      <w:p>
                        <w:pPr>
                          <w:pStyle w:val="TableParagraph"/>
                          <w:rPr>
                            <w:sz w:val="20"/>
                          </w:rPr>
                        </w:pPr>
                      </w:p>
                      <w:p>
                        <w:pPr>
                          <w:pStyle w:val="TableParagraph"/>
                          <w:spacing w:before="8"/>
                          <w:rPr>
                            <w:sz w:val="23"/>
                          </w:rPr>
                        </w:pPr>
                      </w:p>
                      <w:p>
                        <w:pPr>
                          <w:pStyle w:val="TableParagraph"/>
                          <w:spacing w:line="242" w:lineRule="auto"/>
                          <w:ind w:left="116" w:right="109"/>
                          <w:jc w:val="both"/>
                          <w:rPr>
                            <w:sz w:val="21"/>
                          </w:rPr>
                        </w:pPr>
                        <w:r>
                          <w:rPr>
                            <w:sz w:val="21"/>
                          </w:rPr>
                          <w:t>加快产业结构调整</w:t>
                        </w:r>
                      </w:p>
                    </w:tc>
                    <w:tc>
                      <w:tcPr>
                        <w:tcW w:w="4172" w:type="dxa"/>
                      </w:tcPr>
                      <w:p>
                        <w:pPr>
                          <w:pStyle w:val="TableParagraph"/>
                          <w:spacing w:before="57"/>
                          <w:ind w:left="528"/>
                          <w:rPr>
                            <w:sz w:val="21"/>
                          </w:rPr>
                        </w:pPr>
                        <w:r>
                          <w:rPr>
                            <w:sz w:val="21"/>
                          </w:rPr>
                          <w:t>淘汰落后低效和过剩产能。严格落实</w:t>
                        </w:r>
                      </w:p>
                      <w:p>
                        <w:pPr>
                          <w:pStyle w:val="TableParagraph"/>
                          <w:spacing w:before="2" w:line="242" w:lineRule="auto"/>
                          <w:ind w:left="108" w:right="273"/>
                          <w:jc w:val="both"/>
                          <w:rPr>
                            <w:sz w:val="21"/>
                          </w:rPr>
                        </w:pPr>
                        <w:r>
                          <w:rPr>
                            <w:w w:val="95"/>
                            <w:sz w:val="21"/>
                          </w:rPr>
                          <w:t>《产业结构调整指导目录》，制定年度落后产能淘汰计划，明确淘汰设备名单和时间进度要求，加强常态化执法和强制性标</w:t>
                        </w:r>
                        <w:r>
                          <w:rPr>
                            <w:sz w:val="21"/>
                          </w:rPr>
                          <w:t>准实施。</w:t>
                        </w:r>
                      </w:p>
                    </w:tc>
                    <w:tc>
                      <w:tcPr>
                        <w:tcW w:w="2816" w:type="dxa"/>
                      </w:tcPr>
                      <w:p>
                        <w:pPr>
                          <w:pStyle w:val="TableParagraph"/>
                          <w:spacing w:before="7"/>
                          <w:rPr>
                            <w:sz w:val="25"/>
                          </w:rPr>
                        </w:pPr>
                      </w:p>
                      <w:p>
                        <w:pPr>
                          <w:pStyle w:val="TableParagraph"/>
                          <w:spacing w:before="1"/>
                          <w:ind w:left="107"/>
                          <w:rPr>
                            <w:sz w:val="21"/>
                          </w:rPr>
                        </w:pPr>
                        <w:r>
                          <w:rPr>
                            <w:sz w:val="21"/>
                          </w:rPr>
                          <w:t>符合。</w:t>
                        </w:r>
                      </w:p>
                      <w:p>
                        <w:pPr>
                          <w:pStyle w:val="TableParagraph"/>
                          <w:spacing w:before="2" w:line="244" w:lineRule="auto"/>
                          <w:ind w:left="107" w:right="178"/>
                          <w:rPr>
                            <w:sz w:val="21"/>
                          </w:rPr>
                        </w:pPr>
                        <w:r>
                          <w:rPr>
                            <w:sz w:val="21"/>
                          </w:rPr>
                          <w:t>本项目不属于落后和过剩产能行业。</w:t>
                        </w:r>
                      </w:p>
                    </w:tc>
                  </w:tr>
                  <w:tr>
                    <w:tblPrEx>
                      <w:tblW w:w="0" w:type="auto"/>
                      <w:tblInd w:w="5" w:type="dxa"/>
                      <w:tblLayout w:type="fixed"/>
                      <w:tblCellMar>
                        <w:top w:w="0" w:type="dxa"/>
                        <w:left w:w="0" w:type="dxa"/>
                        <w:bottom w:w="0" w:type="dxa"/>
                        <w:right w:w="0" w:type="dxa"/>
                      </w:tblCellMar>
                    </w:tblPrEx>
                    <w:trPr>
                      <w:trHeight w:val="1748"/>
                    </w:trPr>
                    <w:tc>
                      <w:tcPr>
                        <w:tcW w:w="656" w:type="dxa"/>
                        <w:vMerge/>
                        <w:tcBorders>
                          <w:top w:val="nil"/>
                        </w:tcBorders>
                      </w:tcPr>
                      <w:p>
                        <w:pPr>
                          <w:rPr>
                            <w:sz w:val="2"/>
                            <w:szCs w:val="2"/>
                          </w:rPr>
                        </w:pPr>
                      </w:p>
                    </w:tc>
                    <w:tc>
                      <w:tcPr>
                        <w:tcW w:w="4172" w:type="dxa"/>
                      </w:tcPr>
                      <w:p>
                        <w:pPr>
                          <w:pStyle w:val="TableParagraph"/>
                          <w:spacing w:before="9"/>
                          <w:rPr>
                            <w:sz w:val="25"/>
                          </w:rPr>
                        </w:pPr>
                      </w:p>
                      <w:p>
                        <w:pPr>
                          <w:pStyle w:val="TableParagraph"/>
                          <w:spacing w:before="1" w:line="242" w:lineRule="auto"/>
                          <w:ind w:left="108" w:right="179" w:firstLine="420"/>
                          <w:rPr>
                            <w:sz w:val="21"/>
                          </w:rPr>
                        </w:pPr>
                        <w:r>
                          <w:rPr>
                            <w:w w:val="95"/>
                            <w:sz w:val="21"/>
                          </w:rPr>
                          <w:t>严格环境准入。坚持环境质量</w:t>
                        </w:r>
                        <w:r>
                          <w:rPr>
                            <w:rFonts w:ascii="Times New Roman" w:eastAsia="Times New Roman" w:hAnsi="Times New Roman"/>
                            <w:w w:val="95"/>
                            <w:sz w:val="21"/>
                          </w:rPr>
                          <w:t>“</w:t>
                        </w:r>
                        <w:r>
                          <w:rPr>
                            <w:w w:val="95"/>
                            <w:sz w:val="21"/>
                          </w:rPr>
                          <w:t>只能更好，不能变坏</w:t>
                        </w:r>
                        <w:r>
                          <w:rPr>
                            <w:rFonts w:ascii="Times New Roman" w:eastAsia="Times New Roman" w:hAnsi="Times New Roman"/>
                            <w:w w:val="95"/>
                            <w:sz w:val="21"/>
                          </w:rPr>
                          <w:t>”</w:t>
                        </w:r>
                        <w:r>
                          <w:rPr>
                            <w:w w:val="95"/>
                            <w:sz w:val="21"/>
                          </w:rPr>
                          <w:t>的底线，严格落实污染物排</w:t>
                        </w:r>
                        <w:r>
                          <w:rPr>
                            <w:sz w:val="21"/>
                          </w:rPr>
                          <w:t>放</w:t>
                        </w:r>
                        <w:r>
                          <w:rPr>
                            <w:rFonts w:ascii="Times New Roman" w:eastAsia="Times New Roman" w:hAnsi="Times New Roman"/>
                            <w:sz w:val="21"/>
                          </w:rPr>
                          <w:t>“</w:t>
                        </w:r>
                        <w:r>
                          <w:rPr>
                            <w:sz w:val="21"/>
                          </w:rPr>
                          <w:t>减量替代是原则，等量替代是例外</w:t>
                        </w:r>
                        <w:r>
                          <w:rPr>
                            <w:rFonts w:ascii="Times New Roman" w:eastAsia="Times New Roman" w:hAnsi="Times New Roman"/>
                            <w:sz w:val="21"/>
                          </w:rPr>
                          <w:t>”</w:t>
                        </w:r>
                        <w:r>
                          <w:rPr>
                            <w:sz w:val="21"/>
                          </w:rPr>
                          <w:t>的总量控制刚性要求。</w:t>
                        </w:r>
                      </w:p>
                    </w:tc>
                    <w:tc>
                      <w:tcPr>
                        <w:tcW w:w="2816" w:type="dxa"/>
                      </w:tcPr>
                      <w:p>
                        <w:pPr>
                          <w:pStyle w:val="TableParagraph"/>
                          <w:spacing w:before="56"/>
                          <w:ind w:left="107"/>
                          <w:rPr>
                            <w:sz w:val="21"/>
                          </w:rPr>
                        </w:pPr>
                        <w:r>
                          <w:rPr>
                            <w:sz w:val="21"/>
                          </w:rPr>
                          <w:t>符合。</w:t>
                        </w:r>
                      </w:p>
                      <w:p>
                        <w:pPr>
                          <w:pStyle w:val="TableParagraph"/>
                          <w:spacing w:before="5" w:line="242" w:lineRule="auto"/>
                          <w:ind w:left="107" w:right="178"/>
                          <w:rPr>
                            <w:sz w:val="21"/>
                          </w:rPr>
                        </w:pPr>
                        <w:r>
                          <w:rPr>
                            <w:spacing w:val="-1"/>
                            <w:sz w:val="21"/>
                          </w:rPr>
                          <w:t>本项目目前正在办理环评手</w:t>
                        </w:r>
                        <w:r>
                          <w:rPr>
                            <w:sz w:val="21"/>
                          </w:rPr>
                          <w:t xml:space="preserve">续，拟采取污染物治理措 </w:t>
                        </w:r>
                        <w:r>
                          <w:rPr>
                            <w:spacing w:val="-1"/>
                            <w:sz w:val="21"/>
                          </w:rPr>
                          <w:t>施，经预测分析污染物可达标排放，且排放污染物已按</w:t>
                        </w:r>
                        <w:r>
                          <w:rPr>
                            <w:sz w:val="21"/>
                          </w:rPr>
                          <w:t>规定申请总量控制指标。</w:t>
                        </w:r>
                      </w:p>
                    </w:tc>
                  </w:tr>
                  <w:tr>
                    <w:tblPrEx>
                      <w:tblW w:w="0" w:type="auto"/>
                      <w:tblInd w:w="5" w:type="dxa"/>
                      <w:tblLayout w:type="fixed"/>
                      <w:tblCellMar>
                        <w:top w:w="0" w:type="dxa"/>
                        <w:left w:w="0" w:type="dxa"/>
                        <w:bottom w:w="0" w:type="dxa"/>
                        <w:right w:w="0" w:type="dxa"/>
                      </w:tblCellMar>
                    </w:tblPrEx>
                    <w:trPr>
                      <w:trHeight w:val="1475"/>
                    </w:trPr>
                    <w:tc>
                      <w:tcPr>
                        <w:tcW w:w="656" w:type="dxa"/>
                      </w:tcPr>
                      <w:p>
                        <w:pPr>
                          <w:pStyle w:val="TableParagraph"/>
                          <w:rPr>
                            <w:sz w:val="15"/>
                          </w:rPr>
                        </w:pPr>
                      </w:p>
                      <w:p>
                        <w:pPr>
                          <w:pStyle w:val="TableParagraph"/>
                          <w:spacing w:line="242" w:lineRule="auto"/>
                          <w:ind w:left="116" w:right="109"/>
                          <w:jc w:val="both"/>
                          <w:rPr>
                            <w:sz w:val="21"/>
                          </w:rPr>
                        </w:pPr>
                        <w:r>
                          <w:rPr>
                            <w:sz w:val="21"/>
                          </w:rPr>
                          <w:t>深化能源结构调整</w:t>
                        </w:r>
                      </w:p>
                    </w:tc>
                    <w:tc>
                      <w:tcPr>
                        <w:tcW w:w="4172" w:type="dxa"/>
                      </w:tcPr>
                      <w:p>
                        <w:pPr>
                          <w:pStyle w:val="TableParagraph"/>
                          <w:spacing w:before="57" w:line="242" w:lineRule="auto"/>
                          <w:ind w:left="108" w:right="213" w:firstLine="420"/>
                          <w:rPr>
                            <w:sz w:val="21"/>
                          </w:rPr>
                        </w:pPr>
                        <w:r>
                          <w:rPr>
                            <w:w w:val="95"/>
                            <w:sz w:val="21"/>
                          </w:rPr>
                          <w:t>优化能源供给结构。禁止新建</w:t>
                        </w:r>
                        <w:r>
                          <w:rPr>
                            <w:rFonts w:ascii="Times New Roman" w:eastAsia="Times New Roman"/>
                            <w:w w:val="95"/>
                            <w:sz w:val="21"/>
                          </w:rPr>
                          <w:t>35</w:t>
                        </w:r>
                        <w:r>
                          <w:rPr>
                            <w:w w:val="95"/>
                            <w:sz w:val="21"/>
                          </w:rPr>
                          <w:t>蒸吨</w:t>
                        </w:r>
                        <w:r>
                          <w:rPr>
                            <w:rFonts w:ascii="Times New Roman" w:eastAsia="Times New Roman"/>
                            <w:w w:val="95"/>
                            <w:sz w:val="21"/>
                          </w:rPr>
                          <w:t xml:space="preserve">/ </w:t>
                        </w:r>
                        <w:r>
                          <w:rPr>
                            <w:w w:val="95"/>
                            <w:sz w:val="21"/>
                          </w:rPr>
                          <w:t>小时及以下燃煤锅炉，对新建</w:t>
                        </w:r>
                        <w:r>
                          <w:rPr>
                            <w:rFonts w:ascii="Times New Roman" w:eastAsia="Times New Roman"/>
                            <w:w w:val="95"/>
                            <w:sz w:val="21"/>
                          </w:rPr>
                          <w:t>35</w:t>
                        </w:r>
                        <w:r>
                          <w:rPr>
                            <w:w w:val="95"/>
                            <w:sz w:val="21"/>
                          </w:rPr>
                          <w:t>蒸吨</w:t>
                        </w:r>
                        <w:r>
                          <w:rPr>
                            <w:rFonts w:ascii="Times New Roman" w:eastAsia="Times New Roman"/>
                            <w:w w:val="95"/>
                            <w:sz w:val="21"/>
                          </w:rPr>
                          <w:t>/</w:t>
                        </w:r>
                        <w:r>
                          <w:rPr>
                            <w:w w:val="95"/>
                            <w:sz w:val="21"/>
                          </w:rPr>
                          <w:t>小时</w:t>
                        </w:r>
                        <w:r>
                          <w:rPr>
                            <w:sz w:val="21"/>
                          </w:rPr>
                          <w:t>以上的燃煤锅炉严格执行煤炭减量替代办法。新建生物质锅炉不得掺烧煤炭、重 油、渣油等化石燃料。</w:t>
                        </w:r>
                      </w:p>
                    </w:tc>
                    <w:tc>
                      <w:tcPr>
                        <w:tcW w:w="2816" w:type="dxa"/>
                      </w:tcPr>
                      <w:p>
                        <w:pPr>
                          <w:pStyle w:val="TableParagraph"/>
                          <w:spacing w:before="8"/>
                          <w:rPr>
                            <w:sz w:val="25"/>
                          </w:rPr>
                        </w:pPr>
                      </w:p>
                      <w:p>
                        <w:pPr>
                          <w:pStyle w:val="TableParagraph"/>
                          <w:ind w:left="107"/>
                          <w:rPr>
                            <w:sz w:val="21"/>
                          </w:rPr>
                        </w:pPr>
                        <w:r>
                          <w:rPr>
                            <w:w w:val="95"/>
                            <w:sz w:val="21"/>
                          </w:rPr>
                          <w:t>符合。</w:t>
                        </w:r>
                      </w:p>
                      <w:p>
                        <w:pPr>
                          <w:pStyle w:val="TableParagraph"/>
                          <w:spacing w:before="3" w:line="242" w:lineRule="auto"/>
                          <w:ind w:left="107" w:right="178"/>
                          <w:rPr>
                            <w:sz w:val="21"/>
                          </w:rPr>
                        </w:pPr>
                        <w:r>
                          <w:rPr>
                            <w:spacing w:val="-1"/>
                            <w:sz w:val="21"/>
                          </w:rPr>
                          <w:t>本项目不建设锅炉，不使用</w:t>
                        </w:r>
                        <w:r>
                          <w:rPr>
                            <w:sz w:val="21"/>
                          </w:rPr>
                          <w:t>煤炭。</w:t>
                        </w:r>
                      </w:p>
                    </w:tc>
                  </w:tr>
                </w:tbl>
                <w:p>
                  <w:pPr>
                    <w:pStyle w:val="BodyText"/>
                  </w:pPr>
                </w:p>
              </w:txbxContent>
            </v:textbox>
          </v:shape>
        </w:pict>
      </w:r>
    </w:p>
    <w:p>
      <w:pPr>
        <w:spacing w:after="0"/>
        <w:rPr>
          <w:sz w:val="2"/>
          <w:szCs w:val="2"/>
        </w:rPr>
        <w:sectPr>
          <w:footerReference w:type="default" r:id="rId12"/>
          <w:pgSz w:w="11910" w:h="16840"/>
          <w:pgMar w:top="1420" w:right="1119" w:bottom="1120" w:left="1120" w:header="0" w:footer="939" w:gutter="0"/>
          <w:pgNumType w:start="8"/>
          <w:cols w:num="1" w:space="720"/>
        </w:sect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118"/>
        <w:gridCol w:w="849"/>
        <w:gridCol w:w="4257"/>
        <w:gridCol w:w="2528"/>
        <w:gridCol w:w="118"/>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54"/>
        </w:trPr>
        <w:tc>
          <w:tcPr>
            <w:tcW w:w="1168" w:type="dxa"/>
            <w:vMerge w:val="restart"/>
          </w:tcPr>
          <w:p>
            <w:pPr>
              <w:pStyle w:val="TableParagraph"/>
              <w:rPr>
                <w:rFonts w:ascii="Times New Roman"/>
                <w:sz w:val="20"/>
              </w:rPr>
            </w:pPr>
          </w:p>
        </w:tc>
        <w:tc>
          <w:tcPr>
            <w:tcW w:w="118" w:type="dxa"/>
            <w:vMerge w:val="restart"/>
          </w:tcPr>
          <w:p>
            <w:pPr>
              <w:pStyle w:val="TableParagraph"/>
              <w:rPr>
                <w:rFonts w:ascii="Times New Roman"/>
                <w:sz w:val="20"/>
              </w:rPr>
            </w:pPr>
          </w:p>
        </w:tc>
        <w:tc>
          <w:tcPr>
            <w:tcW w:w="849" w:type="dxa"/>
            <w:tcBorders>
              <w:top w:val="single" w:sz="18" w:space="0" w:color="000000"/>
              <w:bottom w:val="nil"/>
              <w:right w:val="single" w:sz="6" w:space="0" w:color="000000"/>
            </w:tcBorders>
          </w:tcPr>
          <w:p>
            <w:pPr>
              <w:pStyle w:val="TableParagraph"/>
              <w:spacing w:line="234" w:lineRule="exact"/>
              <w:ind w:left="88" w:right="73"/>
              <w:jc w:val="center"/>
              <w:rPr>
                <w:sz w:val="21"/>
              </w:rPr>
            </w:pPr>
            <w:r>
              <w:rPr>
                <w:sz w:val="21"/>
              </w:rPr>
              <w:t>织排放</w:t>
            </w:r>
          </w:p>
        </w:tc>
        <w:tc>
          <w:tcPr>
            <w:tcW w:w="4257" w:type="dxa"/>
            <w:vMerge w:val="restart"/>
            <w:tcBorders>
              <w:top w:val="single" w:sz="18"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528" w:type="dxa"/>
            <w:vMerge w:val="restart"/>
            <w:tcBorders>
              <w:top w:val="single" w:sz="18" w:space="0" w:color="000000"/>
              <w:left w:val="single" w:sz="6" w:space="0" w:color="000000"/>
              <w:bottom w:val="single" w:sz="6" w:space="0" w:color="000000"/>
            </w:tcBorders>
          </w:tcPr>
          <w:p>
            <w:pPr>
              <w:pStyle w:val="TableParagraph"/>
              <w:rPr>
                <w:rFonts w:ascii="Times New Roman"/>
                <w:sz w:val="20"/>
              </w:rPr>
            </w:pPr>
          </w:p>
        </w:tc>
        <w:tc>
          <w:tcPr>
            <w:tcW w:w="118" w:type="dxa"/>
            <w:vMerge w:val="restart"/>
            <w:tcBorders>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252"/>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spacing w:line="232" w:lineRule="exact"/>
              <w:ind w:left="88" w:right="73"/>
              <w:jc w:val="center"/>
              <w:rPr>
                <w:sz w:val="21"/>
              </w:rPr>
            </w:pPr>
            <w:r>
              <w:rPr>
                <w:sz w:val="21"/>
              </w:rPr>
              <w:t>控制要</w:t>
            </w:r>
          </w:p>
        </w:tc>
        <w:tc>
          <w:tcPr>
            <w:tcW w:w="4257" w:type="dxa"/>
            <w:vMerge/>
            <w:tcBorders>
              <w:top w:val="nil"/>
              <w:left w:val="single" w:sz="6" w:space="0" w:color="000000"/>
              <w:bottom w:val="single" w:sz="6" w:space="0" w:color="000000"/>
              <w:right w:val="single" w:sz="6" w:space="0" w:color="000000"/>
            </w:tcBorders>
          </w:tcPr>
          <w:p>
            <w:pPr>
              <w:rPr>
                <w:sz w:val="2"/>
                <w:szCs w:val="2"/>
              </w:rPr>
            </w:pPr>
          </w:p>
        </w:tc>
        <w:tc>
          <w:tcPr>
            <w:tcW w:w="2528" w:type="dxa"/>
            <w:vMerge/>
            <w:tcBorders>
              <w:top w:val="nil"/>
              <w:left w:val="single" w:sz="6" w:space="0" w:color="000000"/>
              <w:bottom w:val="single" w:sz="6" w:space="0" w:color="000000"/>
            </w:tcBorders>
          </w:tcPr>
          <w:p>
            <w:pPr>
              <w:rPr>
                <w:sz w:val="2"/>
                <w:szCs w:val="2"/>
              </w:rPr>
            </w:pP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60"/>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single" w:sz="6" w:space="0" w:color="000000"/>
              <w:right w:val="single" w:sz="6" w:space="0" w:color="000000"/>
            </w:tcBorders>
          </w:tcPr>
          <w:p>
            <w:pPr>
              <w:pStyle w:val="TableParagraph"/>
              <w:spacing w:line="241" w:lineRule="exact"/>
              <w:ind w:left="13"/>
              <w:jc w:val="center"/>
              <w:rPr>
                <w:sz w:val="21"/>
              </w:rPr>
            </w:pPr>
            <w:r>
              <w:rPr>
                <w:w w:val="99"/>
                <w:sz w:val="21"/>
              </w:rPr>
              <w:t>求</w:t>
            </w:r>
          </w:p>
        </w:tc>
        <w:tc>
          <w:tcPr>
            <w:tcW w:w="4257" w:type="dxa"/>
            <w:vMerge/>
            <w:tcBorders>
              <w:top w:val="nil"/>
              <w:left w:val="single" w:sz="6" w:space="0" w:color="000000"/>
              <w:bottom w:val="single" w:sz="6" w:space="0" w:color="000000"/>
              <w:right w:val="single" w:sz="6" w:space="0" w:color="000000"/>
            </w:tcBorders>
          </w:tcPr>
          <w:p>
            <w:pPr>
              <w:rPr>
                <w:sz w:val="2"/>
                <w:szCs w:val="2"/>
              </w:rPr>
            </w:pPr>
          </w:p>
        </w:tc>
        <w:tc>
          <w:tcPr>
            <w:tcW w:w="2528" w:type="dxa"/>
            <w:vMerge/>
            <w:tcBorders>
              <w:top w:val="nil"/>
              <w:left w:val="single" w:sz="6" w:space="0" w:color="000000"/>
              <w:bottom w:val="single" w:sz="6" w:space="0" w:color="000000"/>
            </w:tcBorders>
          </w:tcPr>
          <w:p>
            <w:pPr>
              <w:rPr>
                <w:sz w:val="2"/>
                <w:szCs w:val="2"/>
              </w:rPr>
            </w:pP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74"/>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single" w:sz="6" w:space="0" w:color="000000"/>
              <w:bottom w:val="nil"/>
              <w:right w:val="single" w:sz="6" w:space="0" w:color="000000"/>
            </w:tcBorders>
          </w:tcPr>
          <w:p>
            <w:pPr>
              <w:pStyle w:val="TableParagraph"/>
              <w:spacing w:before="13" w:line="240" w:lineRule="exact"/>
              <w:ind w:left="102" w:right="91"/>
              <w:jc w:val="center"/>
              <w:rPr>
                <w:sz w:val="21"/>
              </w:rPr>
            </w:pPr>
            <w:r>
              <w:rPr>
                <w:sz w:val="21"/>
              </w:rPr>
              <w:t>工艺</w:t>
            </w:r>
          </w:p>
        </w:tc>
        <w:tc>
          <w:tcPr>
            <w:tcW w:w="4257" w:type="dxa"/>
            <w:vMerge w:val="restart"/>
            <w:tcBorders>
              <w:top w:val="single" w:sz="6" w:space="0" w:color="000000"/>
              <w:left w:val="single" w:sz="6" w:space="0" w:color="000000"/>
              <w:bottom w:val="single" w:sz="6" w:space="0" w:color="000000"/>
              <w:right w:val="single" w:sz="6" w:space="0" w:color="000000"/>
            </w:tcBorders>
          </w:tcPr>
          <w:p>
            <w:pPr>
              <w:pStyle w:val="TableParagraph"/>
              <w:spacing w:line="242" w:lineRule="auto"/>
              <w:ind w:left="109" w:right="141" w:firstLine="420"/>
              <w:rPr>
                <w:sz w:val="21"/>
              </w:rPr>
            </w:pPr>
            <w:r>
              <w:rPr>
                <w:rFonts w:ascii="Times New Roman" w:eastAsia="Times New Roman"/>
                <w:sz w:val="21"/>
              </w:rPr>
              <w:t xml:space="preserve">VOCs </w:t>
            </w:r>
            <w:r>
              <w:rPr>
                <w:spacing w:val="-6"/>
                <w:sz w:val="21"/>
              </w:rPr>
              <w:t xml:space="preserve">质量占比大于等于 </w:t>
            </w:r>
            <w:r>
              <w:rPr>
                <w:rFonts w:ascii="Times New Roman" w:eastAsia="Times New Roman"/>
                <w:sz w:val="21"/>
              </w:rPr>
              <w:t>10%</w:t>
            </w:r>
            <w:r>
              <w:rPr>
                <w:sz w:val="21"/>
              </w:rPr>
              <w:t>的含</w:t>
            </w:r>
            <w:r>
              <w:rPr>
                <w:rFonts w:ascii="Times New Roman" w:eastAsia="Times New Roman"/>
                <w:sz w:val="21"/>
              </w:rPr>
              <w:t xml:space="preserve">VOCs </w:t>
            </w:r>
            <w:r>
              <w:rPr>
                <w:sz w:val="21"/>
              </w:rPr>
              <w:t>产品，其使用过程应采用密闭设备或</w:t>
            </w:r>
            <w:r>
              <w:rPr>
                <w:spacing w:val="-4"/>
                <w:sz w:val="21"/>
              </w:rPr>
              <w:t xml:space="preserve">在密闭空间内操作，废气应排至 </w:t>
            </w:r>
            <w:r>
              <w:rPr>
                <w:rFonts w:ascii="Times New Roman" w:eastAsia="Times New Roman"/>
                <w:sz w:val="21"/>
              </w:rPr>
              <w:t xml:space="preserve">VOCs </w:t>
            </w:r>
            <w:r>
              <w:rPr>
                <w:sz w:val="21"/>
              </w:rPr>
              <w:t>废气</w:t>
            </w:r>
            <w:r>
              <w:rPr>
                <w:w w:val="95"/>
                <w:sz w:val="21"/>
              </w:rPr>
              <w:t>收集处理系统；无法密闭的，应采取局部气</w:t>
            </w:r>
            <w:r>
              <w:rPr>
                <w:spacing w:val="-5"/>
                <w:sz w:val="21"/>
              </w:rPr>
              <w:t xml:space="preserve">体收集措施，废气应排至 </w:t>
            </w:r>
            <w:r>
              <w:rPr>
                <w:rFonts w:ascii="Times New Roman" w:eastAsia="Times New Roman"/>
                <w:sz w:val="21"/>
              </w:rPr>
              <w:t xml:space="preserve">VOCs </w:t>
            </w:r>
            <w:r>
              <w:rPr>
                <w:sz w:val="21"/>
              </w:rPr>
              <w:t>废气收集处</w:t>
            </w:r>
          </w:p>
          <w:p>
            <w:pPr>
              <w:pStyle w:val="TableParagraph"/>
              <w:spacing w:before="1" w:line="249" w:lineRule="exact"/>
              <w:ind w:left="109"/>
              <w:rPr>
                <w:sz w:val="21"/>
              </w:rPr>
            </w:pPr>
            <w:r>
              <w:rPr>
                <w:sz w:val="21"/>
              </w:rPr>
              <w:t>理系统。</w:t>
            </w:r>
          </w:p>
        </w:tc>
        <w:tc>
          <w:tcPr>
            <w:tcW w:w="2528" w:type="dxa"/>
            <w:tcBorders>
              <w:top w:val="single" w:sz="6" w:space="0" w:color="000000"/>
              <w:left w:val="single" w:sz="6" w:space="0" w:color="000000"/>
              <w:bottom w:val="nil"/>
            </w:tcBorders>
          </w:tcPr>
          <w:p>
            <w:pPr>
              <w:pStyle w:val="TableParagraph"/>
              <w:rPr>
                <w:rFonts w:ascii="Times New Roman"/>
                <w:sz w:val="20"/>
              </w:rPr>
            </w:pPr>
          </w:p>
        </w:tc>
        <w:tc>
          <w:tcPr>
            <w:tcW w:w="118" w:type="dxa"/>
            <w:vMerge w:val="restart"/>
            <w:tcBorders>
              <w:top w:val="nil"/>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038"/>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spacing w:line="260" w:lineRule="exact"/>
              <w:ind w:left="212"/>
              <w:rPr>
                <w:sz w:val="21"/>
              </w:rPr>
            </w:pPr>
            <w:r>
              <w:rPr>
                <w:sz w:val="21"/>
              </w:rPr>
              <w:t>过程</w:t>
            </w:r>
          </w:p>
          <w:p>
            <w:pPr>
              <w:pStyle w:val="TableParagraph"/>
              <w:spacing w:before="1"/>
              <w:ind w:left="161"/>
              <w:rPr>
                <w:rFonts w:ascii="Times New Roman"/>
                <w:sz w:val="21"/>
              </w:rPr>
            </w:pPr>
            <w:r>
              <w:rPr>
                <w:rFonts w:ascii="Times New Roman"/>
                <w:sz w:val="21"/>
              </w:rPr>
              <w:t>VOCs</w:t>
            </w:r>
          </w:p>
          <w:p>
            <w:pPr>
              <w:pStyle w:val="TableParagraph"/>
              <w:spacing w:before="2"/>
              <w:ind w:left="109"/>
              <w:rPr>
                <w:sz w:val="21"/>
              </w:rPr>
            </w:pPr>
            <w:r>
              <w:rPr>
                <w:w w:val="95"/>
                <w:sz w:val="21"/>
              </w:rPr>
              <w:t>无组织</w:t>
            </w:r>
          </w:p>
          <w:p>
            <w:pPr>
              <w:pStyle w:val="TableParagraph"/>
              <w:spacing w:before="4" w:line="240" w:lineRule="exact"/>
              <w:ind w:left="109"/>
              <w:rPr>
                <w:sz w:val="21"/>
              </w:rPr>
            </w:pPr>
            <w:r>
              <w:rPr>
                <w:w w:val="95"/>
                <w:sz w:val="21"/>
              </w:rPr>
              <w:t>排放控</w:t>
            </w:r>
          </w:p>
        </w:tc>
        <w:tc>
          <w:tcPr>
            <w:tcW w:w="4257" w:type="dxa"/>
            <w:vMerge/>
            <w:tcBorders>
              <w:top w:val="nil"/>
              <w:left w:val="single" w:sz="6" w:space="0" w:color="000000"/>
              <w:bottom w:val="single" w:sz="6" w:space="0" w:color="000000"/>
              <w:right w:val="single" w:sz="6" w:space="0" w:color="000000"/>
            </w:tcBorders>
          </w:tcPr>
          <w:p>
            <w:pPr>
              <w:rPr>
                <w:sz w:val="2"/>
                <w:szCs w:val="2"/>
              </w:rPr>
            </w:pPr>
          </w:p>
        </w:tc>
        <w:tc>
          <w:tcPr>
            <w:tcW w:w="2528" w:type="dxa"/>
            <w:tcBorders>
              <w:top w:val="nil"/>
              <w:left w:val="single" w:sz="6" w:space="0" w:color="000000"/>
              <w:bottom w:val="nil"/>
            </w:tcBorders>
          </w:tcPr>
          <w:p>
            <w:pPr>
              <w:pStyle w:val="TableParagraph"/>
              <w:spacing w:before="113" w:line="242" w:lineRule="auto"/>
              <w:ind w:left="110" w:right="86"/>
              <w:jc w:val="both"/>
              <w:rPr>
                <w:sz w:val="21"/>
              </w:rPr>
            </w:pPr>
            <w:r>
              <w:rPr>
                <w:spacing w:val="-30"/>
                <w:sz w:val="21"/>
              </w:rPr>
              <w:t>符 合 。 本 项 目 不 使 用</w:t>
            </w:r>
            <w:r>
              <w:rPr>
                <w:rFonts w:ascii="Times New Roman" w:eastAsia="Times New Roman"/>
                <w:sz w:val="21"/>
              </w:rPr>
              <w:t xml:space="preserve">VOCs </w:t>
            </w:r>
            <w:r>
              <w:rPr>
                <w:spacing w:val="5"/>
                <w:sz w:val="21"/>
              </w:rPr>
              <w:t>质量占比大于等于</w:t>
            </w:r>
            <w:r>
              <w:rPr>
                <w:rFonts w:ascii="Times New Roman" w:eastAsia="Times New Roman"/>
                <w:sz w:val="21"/>
              </w:rPr>
              <w:t>10%</w:t>
            </w:r>
            <w:r>
              <w:rPr>
                <w:spacing w:val="-18"/>
                <w:sz w:val="21"/>
              </w:rPr>
              <w:t xml:space="preserve">的含 </w:t>
            </w:r>
            <w:r>
              <w:rPr>
                <w:rFonts w:ascii="Times New Roman" w:eastAsia="Times New Roman"/>
                <w:sz w:val="21"/>
              </w:rPr>
              <w:t xml:space="preserve">VOCs </w:t>
            </w:r>
            <w:r>
              <w:rPr>
                <w:sz w:val="21"/>
              </w:rPr>
              <w:t>产品。</w:t>
            </w: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76"/>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single" w:sz="6" w:space="0" w:color="000000"/>
              <w:right w:val="single" w:sz="6" w:space="0" w:color="000000"/>
            </w:tcBorders>
          </w:tcPr>
          <w:p>
            <w:pPr>
              <w:pStyle w:val="TableParagraph"/>
              <w:spacing w:line="256" w:lineRule="exact"/>
              <w:ind w:left="88" w:right="73"/>
              <w:jc w:val="center"/>
              <w:rPr>
                <w:sz w:val="21"/>
              </w:rPr>
            </w:pPr>
            <w:r>
              <w:rPr>
                <w:sz w:val="21"/>
              </w:rPr>
              <w:t>制要求</w:t>
            </w:r>
          </w:p>
        </w:tc>
        <w:tc>
          <w:tcPr>
            <w:tcW w:w="4257" w:type="dxa"/>
            <w:vMerge/>
            <w:tcBorders>
              <w:top w:val="nil"/>
              <w:left w:val="single" w:sz="6" w:space="0" w:color="000000"/>
              <w:bottom w:val="single" w:sz="6" w:space="0" w:color="000000"/>
              <w:right w:val="single" w:sz="6" w:space="0" w:color="000000"/>
            </w:tcBorders>
          </w:tcPr>
          <w:p>
            <w:pPr>
              <w:rPr>
                <w:sz w:val="2"/>
                <w:szCs w:val="2"/>
              </w:rPr>
            </w:pPr>
          </w:p>
        </w:tc>
        <w:tc>
          <w:tcPr>
            <w:tcW w:w="2528" w:type="dxa"/>
            <w:tcBorders>
              <w:top w:val="nil"/>
              <w:left w:val="single" w:sz="6" w:space="0" w:color="000000"/>
              <w:bottom w:val="single" w:sz="6" w:space="0" w:color="000000"/>
            </w:tcBorders>
          </w:tcPr>
          <w:p>
            <w:pPr>
              <w:pStyle w:val="TableParagraph"/>
              <w:rPr>
                <w:rFonts w:ascii="Times New Roman"/>
                <w:sz w:val="20"/>
              </w:rPr>
            </w:pP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1349"/>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single" w:sz="6" w:space="0" w:color="000000"/>
              <w:bottom w:val="nil"/>
              <w:right w:val="single" w:sz="6" w:space="0" w:color="000000"/>
            </w:tcBorders>
          </w:tcPr>
          <w:p>
            <w:pPr>
              <w:pStyle w:val="TableParagraph"/>
              <w:rPr>
                <w:rFonts w:ascii="Times New Roman"/>
                <w:sz w:val="20"/>
              </w:rPr>
            </w:pPr>
          </w:p>
        </w:tc>
        <w:tc>
          <w:tcPr>
            <w:tcW w:w="4257" w:type="dxa"/>
            <w:tcBorders>
              <w:top w:val="single" w:sz="6" w:space="0" w:color="000000"/>
              <w:left w:val="single" w:sz="6" w:space="0" w:color="000000"/>
              <w:bottom w:val="nil"/>
              <w:right w:val="single" w:sz="6" w:space="0" w:color="000000"/>
            </w:tcBorders>
          </w:tcPr>
          <w:p>
            <w:pPr>
              <w:pStyle w:val="TableParagraph"/>
              <w:spacing w:line="242" w:lineRule="auto"/>
              <w:ind w:left="109" w:right="153" w:firstLine="420"/>
              <w:rPr>
                <w:sz w:val="21"/>
              </w:rPr>
            </w:pPr>
            <w:r>
              <w:rPr>
                <w:spacing w:val="-5"/>
                <w:sz w:val="21"/>
              </w:rPr>
              <w:t xml:space="preserve">企业应建立台账，记录含 </w:t>
            </w:r>
            <w:r>
              <w:rPr>
                <w:rFonts w:ascii="Times New Roman" w:eastAsia="Times New Roman"/>
                <w:sz w:val="21"/>
              </w:rPr>
              <w:t>VOCs</w:t>
            </w:r>
            <w:r>
              <w:rPr>
                <w:rFonts w:ascii="Times New Roman" w:eastAsia="Times New Roman"/>
                <w:spacing w:val="-14"/>
                <w:sz w:val="21"/>
              </w:rPr>
              <w:t xml:space="preserve"> </w:t>
            </w:r>
            <w:r>
              <w:rPr>
                <w:sz w:val="21"/>
              </w:rPr>
              <w:t>原辅材</w:t>
            </w:r>
            <w:r>
              <w:rPr>
                <w:spacing w:val="-14"/>
                <w:sz w:val="21"/>
              </w:rPr>
              <w:t xml:space="preserve">料和含 </w:t>
            </w:r>
            <w:r>
              <w:rPr>
                <w:rFonts w:ascii="Times New Roman" w:eastAsia="Times New Roman"/>
                <w:sz w:val="21"/>
              </w:rPr>
              <w:t>VOCs</w:t>
            </w:r>
            <w:r>
              <w:rPr>
                <w:rFonts w:ascii="Times New Roman" w:eastAsia="Times New Roman"/>
                <w:spacing w:val="-9"/>
                <w:sz w:val="21"/>
              </w:rPr>
              <w:t xml:space="preserve"> </w:t>
            </w:r>
            <w:r>
              <w:rPr>
                <w:sz w:val="21"/>
              </w:rPr>
              <w:t>产品的名称、使用量、回收</w:t>
            </w:r>
            <w:r>
              <w:rPr>
                <w:spacing w:val="-6"/>
                <w:sz w:val="21"/>
              </w:rPr>
              <w:t xml:space="preserve">量、废弃量、去向以及 </w:t>
            </w:r>
            <w:r>
              <w:rPr>
                <w:rFonts w:ascii="Times New Roman" w:eastAsia="Times New Roman"/>
                <w:sz w:val="21"/>
              </w:rPr>
              <w:t>VOCs</w:t>
            </w:r>
            <w:r>
              <w:rPr>
                <w:rFonts w:ascii="Times New Roman" w:eastAsia="Times New Roman"/>
                <w:spacing w:val="-15"/>
                <w:sz w:val="21"/>
              </w:rPr>
              <w:t xml:space="preserve"> </w:t>
            </w:r>
            <w:r>
              <w:rPr>
                <w:sz w:val="21"/>
              </w:rPr>
              <w:t>含量等信息。</w:t>
            </w:r>
            <w:r>
              <w:rPr>
                <w:spacing w:val="-6"/>
                <w:sz w:val="21"/>
              </w:rPr>
              <w:t xml:space="preserve">台账保存期限不少于 </w:t>
            </w:r>
            <w:r>
              <w:rPr>
                <w:rFonts w:ascii="Times New Roman" w:eastAsia="Times New Roman"/>
                <w:sz w:val="21"/>
              </w:rPr>
              <w:t>3</w:t>
            </w:r>
            <w:r>
              <w:rPr>
                <w:rFonts w:ascii="Times New Roman" w:eastAsia="Times New Roman"/>
                <w:spacing w:val="-16"/>
                <w:sz w:val="21"/>
              </w:rPr>
              <w:t xml:space="preserve"> </w:t>
            </w:r>
            <w:r>
              <w:rPr>
                <w:sz w:val="21"/>
              </w:rPr>
              <w:t>年。通风生产设备、</w:t>
            </w:r>
          </w:p>
          <w:p>
            <w:pPr>
              <w:pStyle w:val="TableParagraph"/>
              <w:spacing w:before="1" w:line="240" w:lineRule="exact"/>
              <w:ind w:left="109"/>
              <w:rPr>
                <w:sz w:val="21"/>
              </w:rPr>
            </w:pPr>
            <w:r>
              <w:rPr>
                <w:w w:val="95"/>
                <w:sz w:val="21"/>
              </w:rPr>
              <w:t>操作工位、车间厂房等应在符合安全生产、</w:t>
            </w:r>
          </w:p>
        </w:tc>
        <w:tc>
          <w:tcPr>
            <w:tcW w:w="2528" w:type="dxa"/>
            <w:vMerge w:val="restart"/>
            <w:tcBorders>
              <w:top w:val="single" w:sz="6" w:space="0" w:color="000000"/>
              <w:left w:val="single" w:sz="6" w:space="0" w:color="000000"/>
              <w:bottom w:val="single" w:sz="6"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27"/>
              </w:rPr>
            </w:pPr>
          </w:p>
          <w:p>
            <w:pPr>
              <w:pStyle w:val="TableParagraph"/>
              <w:spacing w:line="242" w:lineRule="auto"/>
              <w:ind w:left="110" w:right="89" w:firstLine="420"/>
              <w:rPr>
                <w:sz w:val="21"/>
              </w:rPr>
            </w:pPr>
            <w:r>
              <w:rPr>
                <w:sz w:val="21"/>
              </w:rPr>
              <w:t xml:space="preserve">符合。项目为本项 </w:t>
            </w:r>
            <w:r>
              <w:rPr>
                <w:w w:val="95"/>
                <w:sz w:val="21"/>
              </w:rPr>
              <w:t>目，尚未建设，正在办理</w:t>
            </w:r>
            <w:r>
              <w:rPr>
                <w:spacing w:val="-2"/>
                <w:sz w:val="21"/>
              </w:rPr>
              <w:t>环评手续，企业承诺严格</w:t>
            </w:r>
            <w:r>
              <w:rPr>
                <w:sz w:val="21"/>
              </w:rPr>
              <w:t>按照此要求进行操作。</w:t>
            </w:r>
          </w:p>
        </w:tc>
        <w:tc>
          <w:tcPr>
            <w:tcW w:w="118" w:type="dxa"/>
            <w:vMerge w:val="restart"/>
            <w:tcBorders>
              <w:top w:val="nil"/>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252"/>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rPr>
                <w:rFonts w:ascii="Times New Roman"/>
                <w:sz w:val="18"/>
              </w:rPr>
            </w:pPr>
          </w:p>
        </w:tc>
        <w:tc>
          <w:tcPr>
            <w:tcW w:w="4257" w:type="dxa"/>
            <w:tcBorders>
              <w:top w:val="nil"/>
              <w:left w:val="single" w:sz="6" w:space="0" w:color="000000"/>
              <w:bottom w:val="nil"/>
              <w:right w:val="single" w:sz="6" w:space="0" w:color="000000"/>
            </w:tcBorders>
          </w:tcPr>
          <w:p>
            <w:pPr>
              <w:pStyle w:val="TableParagraph"/>
              <w:spacing w:line="232" w:lineRule="exact"/>
              <w:ind w:left="109"/>
              <w:rPr>
                <w:sz w:val="21"/>
              </w:rPr>
            </w:pPr>
            <w:r>
              <w:rPr>
                <w:sz w:val="21"/>
              </w:rPr>
              <w:t>职业卫生相关规定的前提下，根据行业作业</w:t>
            </w:r>
          </w:p>
        </w:tc>
        <w:tc>
          <w:tcPr>
            <w:tcW w:w="2528" w:type="dxa"/>
            <w:vMerge/>
            <w:tcBorders>
              <w:top w:val="nil"/>
              <w:left w:val="single" w:sz="6" w:space="0" w:color="000000"/>
              <w:bottom w:val="single" w:sz="6" w:space="0" w:color="000000"/>
            </w:tcBorders>
          </w:tcPr>
          <w:p>
            <w:pPr>
              <w:rPr>
                <w:sz w:val="2"/>
                <w:szCs w:val="2"/>
              </w:rPr>
            </w:pP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52"/>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rPr>
                <w:rFonts w:ascii="Times New Roman"/>
                <w:sz w:val="18"/>
              </w:rPr>
            </w:pPr>
          </w:p>
        </w:tc>
        <w:tc>
          <w:tcPr>
            <w:tcW w:w="4257" w:type="dxa"/>
            <w:tcBorders>
              <w:top w:val="nil"/>
              <w:left w:val="single" w:sz="6" w:space="0" w:color="000000"/>
              <w:bottom w:val="nil"/>
              <w:right w:val="single" w:sz="6" w:space="0" w:color="000000"/>
            </w:tcBorders>
          </w:tcPr>
          <w:p>
            <w:pPr>
              <w:pStyle w:val="TableParagraph"/>
              <w:spacing w:line="232" w:lineRule="exact"/>
              <w:ind w:left="109"/>
              <w:rPr>
                <w:sz w:val="21"/>
              </w:rPr>
            </w:pPr>
            <w:r>
              <w:rPr>
                <w:sz w:val="21"/>
              </w:rPr>
              <w:t>规程与标准、工业建筑及洁净厂房通风设计</w:t>
            </w:r>
          </w:p>
        </w:tc>
        <w:tc>
          <w:tcPr>
            <w:tcW w:w="2528" w:type="dxa"/>
            <w:vMerge/>
            <w:tcBorders>
              <w:top w:val="nil"/>
              <w:left w:val="single" w:sz="6" w:space="0" w:color="000000"/>
              <w:bottom w:val="single" w:sz="6" w:space="0" w:color="000000"/>
            </w:tcBorders>
          </w:tcPr>
          <w:p>
            <w:pPr>
              <w:rPr>
                <w:sz w:val="2"/>
                <w:szCs w:val="2"/>
              </w:rPr>
            </w:pP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795"/>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spacing w:line="242" w:lineRule="auto"/>
              <w:ind w:left="109" w:right="91"/>
              <w:rPr>
                <w:sz w:val="21"/>
              </w:rPr>
            </w:pPr>
            <w:r>
              <w:rPr>
                <w:sz w:val="21"/>
              </w:rPr>
              <w:t>其他相关要求</w:t>
            </w:r>
          </w:p>
        </w:tc>
        <w:tc>
          <w:tcPr>
            <w:tcW w:w="4257" w:type="dxa"/>
            <w:tcBorders>
              <w:top w:val="nil"/>
              <w:left w:val="single" w:sz="6" w:space="0" w:color="000000"/>
              <w:bottom w:val="nil"/>
              <w:right w:val="single" w:sz="6" w:space="0" w:color="000000"/>
            </w:tcBorders>
          </w:tcPr>
          <w:p>
            <w:pPr>
              <w:pStyle w:val="TableParagraph"/>
              <w:spacing w:line="260" w:lineRule="exact"/>
              <w:ind w:left="109"/>
              <w:rPr>
                <w:sz w:val="21"/>
              </w:rPr>
            </w:pPr>
            <w:r>
              <w:rPr>
                <w:sz w:val="21"/>
              </w:rPr>
              <w:t>规范等的要求，采用合理的通风量。载有</w:t>
            </w:r>
          </w:p>
          <w:p>
            <w:pPr>
              <w:pStyle w:val="TableParagraph"/>
              <w:spacing w:before="2"/>
              <w:ind w:left="109"/>
              <w:rPr>
                <w:sz w:val="21"/>
              </w:rPr>
            </w:pPr>
            <w:r>
              <w:rPr>
                <w:rFonts w:ascii="Times New Roman" w:eastAsia="Times New Roman"/>
                <w:sz w:val="21"/>
              </w:rPr>
              <w:t xml:space="preserve">VOCs </w:t>
            </w:r>
            <w:r>
              <w:rPr>
                <w:sz w:val="21"/>
              </w:rPr>
              <w:t>物料的设备及其管道在开停工</w:t>
            </w:r>
          </w:p>
          <w:p>
            <w:pPr>
              <w:pStyle w:val="TableParagraph"/>
              <w:spacing w:before="4" w:line="240" w:lineRule="exact"/>
              <w:ind w:left="109"/>
              <w:rPr>
                <w:sz w:val="21"/>
              </w:rPr>
            </w:pPr>
            <w:r>
              <w:rPr>
                <w:sz w:val="21"/>
              </w:rPr>
              <w:t>（车）、检维修和清洗时，应在退料阶段将</w:t>
            </w:r>
          </w:p>
        </w:tc>
        <w:tc>
          <w:tcPr>
            <w:tcW w:w="2528" w:type="dxa"/>
            <w:vMerge/>
            <w:tcBorders>
              <w:top w:val="nil"/>
              <w:left w:val="single" w:sz="6" w:space="0" w:color="000000"/>
              <w:bottom w:val="single" w:sz="6" w:space="0" w:color="000000"/>
            </w:tcBorders>
          </w:tcPr>
          <w:p>
            <w:pPr>
              <w:rPr>
                <w:sz w:val="2"/>
                <w:szCs w:val="2"/>
              </w:rPr>
            </w:pP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1622"/>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single" w:sz="6" w:space="0" w:color="000000"/>
              <w:right w:val="single" w:sz="6" w:space="0" w:color="000000"/>
            </w:tcBorders>
          </w:tcPr>
          <w:p>
            <w:pPr>
              <w:pStyle w:val="TableParagraph"/>
              <w:rPr>
                <w:rFonts w:ascii="Times New Roman"/>
                <w:sz w:val="20"/>
              </w:rPr>
            </w:pPr>
          </w:p>
        </w:tc>
        <w:tc>
          <w:tcPr>
            <w:tcW w:w="4257" w:type="dxa"/>
            <w:tcBorders>
              <w:top w:val="nil"/>
              <w:left w:val="single" w:sz="6" w:space="0" w:color="000000"/>
              <w:bottom w:val="single" w:sz="6" w:space="0" w:color="000000"/>
              <w:right w:val="single" w:sz="6" w:space="0" w:color="000000"/>
            </w:tcBorders>
          </w:tcPr>
          <w:p>
            <w:pPr>
              <w:pStyle w:val="TableParagraph"/>
              <w:spacing w:line="242" w:lineRule="auto"/>
              <w:ind w:left="109" w:right="141"/>
              <w:jc w:val="both"/>
              <w:rPr>
                <w:sz w:val="21"/>
              </w:rPr>
            </w:pPr>
            <w:r>
              <w:rPr>
                <w:w w:val="95"/>
                <w:sz w:val="21"/>
              </w:rPr>
              <w:t>残存物料退净，并用密闭容器盛装，退料过</w:t>
            </w:r>
            <w:r>
              <w:rPr>
                <w:spacing w:val="-9"/>
                <w:sz w:val="21"/>
              </w:rPr>
              <w:t xml:space="preserve">程废气应排至 </w:t>
            </w:r>
            <w:r>
              <w:rPr>
                <w:rFonts w:ascii="Times New Roman" w:eastAsia="Times New Roman"/>
                <w:sz w:val="21"/>
              </w:rPr>
              <w:t xml:space="preserve">VOCs </w:t>
            </w:r>
            <w:r>
              <w:rPr>
                <w:sz w:val="21"/>
              </w:rPr>
              <w:t>废气收集处理系统；清</w:t>
            </w:r>
            <w:r>
              <w:rPr>
                <w:spacing w:val="-5"/>
                <w:sz w:val="21"/>
              </w:rPr>
              <w:t xml:space="preserve">洗及吹扫过程排气应排至 </w:t>
            </w:r>
            <w:r>
              <w:rPr>
                <w:rFonts w:ascii="Times New Roman" w:eastAsia="Times New Roman"/>
                <w:sz w:val="21"/>
              </w:rPr>
              <w:t xml:space="preserve">VOCs </w:t>
            </w:r>
            <w:r>
              <w:rPr>
                <w:sz w:val="21"/>
              </w:rPr>
              <w:t>废气收集处</w:t>
            </w:r>
            <w:r>
              <w:rPr>
                <w:spacing w:val="-5"/>
                <w:sz w:val="21"/>
              </w:rPr>
              <w:t xml:space="preserve">理系统。工艺过程产生的含 </w:t>
            </w:r>
            <w:r>
              <w:rPr>
                <w:rFonts w:ascii="Times New Roman" w:eastAsia="Times New Roman"/>
                <w:sz w:val="21"/>
              </w:rPr>
              <w:t xml:space="preserve">VOCs </w:t>
            </w:r>
            <w:r>
              <w:rPr>
                <w:sz w:val="21"/>
              </w:rPr>
              <w:t>废料应要</w:t>
            </w:r>
            <w:r>
              <w:rPr>
                <w:spacing w:val="-4"/>
                <w:sz w:val="21"/>
              </w:rPr>
              <w:t xml:space="preserve">求进行储存、转移和输送。盛装过 </w:t>
            </w:r>
            <w:r>
              <w:rPr>
                <w:rFonts w:ascii="Times New Roman" w:eastAsia="Times New Roman"/>
                <w:sz w:val="21"/>
              </w:rPr>
              <w:t xml:space="preserve">VOCs </w:t>
            </w:r>
            <w:r>
              <w:rPr>
                <w:sz w:val="21"/>
              </w:rPr>
              <w:t>物</w:t>
            </w:r>
          </w:p>
          <w:p>
            <w:pPr>
              <w:pStyle w:val="TableParagraph"/>
              <w:spacing w:line="249" w:lineRule="exact"/>
              <w:ind w:left="109"/>
              <w:rPr>
                <w:sz w:val="21"/>
              </w:rPr>
            </w:pPr>
            <w:r>
              <w:rPr>
                <w:sz w:val="21"/>
              </w:rPr>
              <w:t>料的废包装容器应加盖密闭。</w:t>
            </w:r>
          </w:p>
        </w:tc>
        <w:tc>
          <w:tcPr>
            <w:tcW w:w="2528" w:type="dxa"/>
            <w:vMerge/>
            <w:tcBorders>
              <w:top w:val="nil"/>
              <w:left w:val="single" w:sz="6" w:space="0" w:color="000000"/>
              <w:bottom w:val="single" w:sz="6" w:space="0" w:color="000000"/>
            </w:tcBorders>
          </w:tcPr>
          <w:p>
            <w:pPr>
              <w:rPr>
                <w:sz w:val="2"/>
                <w:szCs w:val="2"/>
              </w:rPr>
            </w:pP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1620"/>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single" w:sz="6" w:space="0" w:color="000000"/>
              <w:bottom w:val="nil"/>
              <w:right w:val="single" w:sz="6" w:space="0" w:color="000000"/>
            </w:tcBorders>
          </w:tcPr>
          <w:p>
            <w:pPr>
              <w:pStyle w:val="TableParagraph"/>
              <w:rPr>
                <w:rFonts w:ascii="Times New Roman"/>
                <w:sz w:val="20"/>
              </w:rPr>
            </w:pPr>
          </w:p>
        </w:tc>
        <w:tc>
          <w:tcPr>
            <w:tcW w:w="4257" w:type="dxa"/>
            <w:tcBorders>
              <w:top w:val="single" w:sz="6" w:space="0" w:color="000000"/>
              <w:left w:val="single" w:sz="6" w:space="0" w:color="000000"/>
              <w:bottom w:val="nil"/>
              <w:right w:val="single" w:sz="6" w:space="0" w:color="000000"/>
            </w:tcBorders>
          </w:tcPr>
          <w:p>
            <w:pPr>
              <w:pStyle w:val="TableParagraph"/>
              <w:spacing w:before="10"/>
              <w:rPr>
                <w:sz w:val="20"/>
              </w:rPr>
            </w:pPr>
          </w:p>
          <w:p>
            <w:pPr>
              <w:pStyle w:val="TableParagraph"/>
              <w:ind w:left="109" w:right="141" w:firstLine="420"/>
              <w:rPr>
                <w:sz w:val="21"/>
              </w:rPr>
            </w:pP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spacing w:val="-28"/>
                <w:position w:val="2"/>
                <w:sz w:val="21"/>
                <w:vertAlign w:val="baseline"/>
              </w:rPr>
              <w:t xml:space="preserve"> </w:t>
            </w:r>
            <w:r>
              <w:rPr>
                <w:position w:val="2"/>
                <w:sz w:val="21"/>
                <w:vertAlign w:val="baseline"/>
              </w:rPr>
              <w:t>废气收集处理系统应与生产工艺设备同步运行。</w:t>
            </w:r>
            <w:r>
              <w:rPr>
                <w:rFonts w:ascii="Times New Roman" w:eastAsia="Times New Roman"/>
                <w:position w:val="2"/>
                <w:sz w:val="21"/>
                <w:vertAlign w:val="baseline"/>
              </w:rPr>
              <w:t>VOC</w:t>
            </w:r>
            <w:r>
              <w:rPr>
                <w:rFonts w:ascii="Times New Roman" w:eastAsia="Times New Roman"/>
                <w:position w:val="2"/>
                <w:sz w:val="21"/>
                <w:vertAlign w:val="subscript"/>
              </w:rPr>
              <w:t>S</w:t>
            </w:r>
            <w:r>
              <w:rPr>
                <w:rFonts w:ascii="Times New Roman" w:eastAsia="Times New Roman"/>
                <w:spacing w:val="-28"/>
                <w:position w:val="2"/>
                <w:sz w:val="21"/>
                <w:vertAlign w:val="baseline"/>
              </w:rPr>
              <w:t xml:space="preserve"> </w:t>
            </w:r>
            <w:r>
              <w:rPr>
                <w:position w:val="2"/>
                <w:sz w:val="21"/>
                <w:vertAlign w:val="baseline"/>
              </w:rPr>
              <w:t>废气收集处理系统发</w:t>
            </w:r>
            <w:r>
              <w:rPr>
                <w:w w:val="95"/>
                <w:sz w:val="21"/>
                <w:vertAlign w:val="baseline"/>
              </w:rPr>
              <w:t>生故障或检修时，对应的生产工艺设备应停</w:t>
            </w:r>
            <w:r>
              <w:rPr>
                <w:spacing w:val="-6"/>
                <w:sz w:val="21"/>
                <w:vertAlign w:val="baseline"/>
              </w:rPr>
              <w:t xml:space="preserve">止运行，待检修完毕 </w:t>
            </w:r>
            <w:r>
              <w:rPr>
                <w:rFonts w:ascii="Times New Roman" w:eastAsia="Times New Roman"/>
                <w:sz w:val="21"/>
                <w:vertAlign w:val="baseline"/>
              </w:rPr>
              <w:t>1</w:t>
            </w:r>
            <w:r>
              <w:rPr>
                <w:rFonts w:ascii="Times New Roman" w:eastAsia="Times New Roman"/>
                <w:spacing w:val="-16"/>
                <w:sz w:val="21"/>
                <w:vertAlign w:val="baseline"/>
              </w:rPr>
              <w:t xml:space="preserve"> </w:t>
            </w:r>
            <w:r>
              <w:rPr>
                <w:sz w:val="21"/>
                <w:vertAlign w:val="baseline"/>
              </w:rPr>
              <w:t>后同步投入使用；生</w:t>
            </w:r>
          </w:p>
          <w:p>
            <w:pPr>
              <w:pStyle w:val="TableParagraph"/>
              <w:spacing w:before="4" w:line="240" w:lineRule="exact"/>
              <w:ind w:left="109"/>
              <w:rPr>
                <w:sz w:val="21"/>
              </w:rPr>
            </w:pPr>
            <w:r>
              <w:rPr>
                <w:w w:val="95"/>
                <w:sz w:val="21"/>
              </w:rPr>
              <w:t>产工艺设备不能停止运行或不能及时停止运</w:t>
            </w:r>
          </w:p>
        </w:tc>
        <w:tc>
          <w:tcPr>
            <w:tcW w:w="2528" w:type="dxa"/>
            <w:tcBorders>
              <w:top w:val="single" w:sz="6" w:space="0" w:color="000000"/>
              <w:left w:val="single" w:sz="6" w:space="0" w:color="000000"/>
              <w:bottom w:val="nil"/>
            </w:tcBorders>
          </w:tcPr>
          <w:p>
            <w:pPr>
              <w:pStyle w:val="TableParagraph"/>
              <w:ind w:left="110" w:right="89" w:firstLine="420"/>
              <w:rPr>
                <w:sz w:val="21"/>
              </w:rPr>
            </w:pPr>
            <w:r>
              <w:rPr>
                <w:spacing w:val="-9"/>
                <w:position w:val="2"/>
                <w:sz w:val="21"/>
              </w:rPr>
              <w:t xml:space="preserve">符合。项目 </w:t>
            </w: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spacing w:val="-29"/>
                <w:position w:val="2"/>
                <w:sz w:val="21"/>
                <w:vertAlign w:val="baseline"/>
              </w:rPr>
              <w:t xml:space="preserve"> </w:t>
            </w:r>
            <w:r>
              <w:rPr>
                <w:position w:val="2"/>
                <w:sz w:val="21"/>
                <w:vertAlign w:val="baseline"/>
              </w:rPr>
              <w:t>废</w:t>
            </w:r>
            <w:r>
              <w:rPr>
                <w:spacing w:val="-2"/>
                <w:sz w:val="21"/>
                <w:vertAlign w:val="baseline"/>
              </w:rPr>
              <w:t>气收集处理系统与生产工</w:t>
            </w:r>
            <w:r>
              <w:rPr>
                <w:position w:val="2"/>
                <w:sz w:val="21"/>
                <w:vertAlign w:val="baseline"/>
              </w:rPr>
              <w:t>艺设备同步运行。</w:t>
            </w:r>
            <w:r>
              <w:rPr>
                <w:rFonts w:ascii="Times New Roman" w:eastAsia="Times New Roman"/>
                <w:position w:val="2"/>
                <w:sz w:val="21"/>
                <w:vertAlign w:val="baseline"/>
              </w:rPr>
              <w:t>VOC</w:t>
            </w:r>
            <w:r>
              <w:rPr>
                <w:rFonts w:ascii="Times New Roman" w:eastAsia="Times New Roman"/>
                <w:position w:val="2"/>
                <w:sz w:val="21"/>
                <w:vertAlign w:val="subscript"/>
              </w:rPr>
              <w:t xml:space="preserve">S </w:t>
            </w:r>
            <w:r>
              <w:rPr>
                <w:spacing w:val="-2"/>
                <w:sz w:val="21"/>
                <w:vertAlign w:val="baseline"/>
              </w:rPr>
              <w:t>废气收集处理系统发生故</w:t>
            </w:r>
            <w:r>
              <w:rPr>
                <w:spacing w:val="-2"/>
                <w:w w:val="95"/>
                <w:sz w:val="21"/>
                <w:vertAlign w:val="baseline"/>
              </w:rPr>
              <w:t>障或检修时，对应的生产</w:t>
            </w:r>
          </w:p>
          <w:p>
            <w:pPr>
              <w:pStyle w:val="TableParagraph"/>
              <w:spacing w:before="1" w:line="240" w:lineRule="exact"/>
              <w:ind w:left="110"/>
              <w:rPr>
                <w:sz w:val="21"/>
              </w:rPr>
            </w:pPr>
            <w:r>
              <w:rPr>
                <w:w w:val="95"/>
                <w:sz w:val="21"/>
              </w:rPr>
              <w:t>工艺设备停止运行，待检</w:t>
            </w:r>
          </w:p>
        </w:tc>
        <w:tc>
          <w:tcPr>
            <w:tcW w:w="118" w:type="dxa"/>
            <w:vMerge w:val="restart"/>
            <w:tcBorders>
              <w:top w:val="nil"/>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805"/>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rPr>
                <w:rFonts w:ascii="Times New Roman"/>
                <w:sz w:val="20"/>
              </w:rPr>
            </w:pPr>
          </w:p>
        </w:tc>
        <w:tc>
          <w:tcPr>
            <w:tcW w:w="4257" w:type="dxa"/>
            <w:tcBorders>
              <w:top w:val="nil"/>
              <w:left w:val="single" w:sz="6" w:space="0" w:color="000000"/>
              <w:bottom w:val="single" w:sz="6" w:space="0" w:color="000000"/>
              <w:right w:val="single" w:sz="6" w:space="0" w:color="000000"/>
            </w:tcBorders>
          </w:tcPr>
          <w:p>
            <w:pPr>
              <w:pStyle w:val="TableParagraph"/>
              <w:spacing w:line="244" w:lineRule="auto"/>
              <w:ind w:left="109" w:right="141"/>
              <w:rPr>
                <w:sz w:val="21"/>
              </w:rPr>
            </w:pPr>
            <w:r>
              <w:rPr>
                <w:w w:val="95"/>
                <w:sz w:val="21"/>
              </w:rPr>
              <w:t>行的，应设置废气应急处理设施或采取其他</w:t>
            </w:r>
            <w:r>
              <w:rPr>
                <w:sz w:val="21"/>
              </w:rPr>
              <w:t>替代措施</w:t>
            </w:r>
          </w:p>
        </w:tc>
        <w:tc>
          <w:tcPr>
            <w:tcW w:w="2528" w:type="dxa"/>
            <w:tcBorders>
              <w:top w:val="nil"/>
              <w:left w:val="single" w:sz="6" w:space="0" w:color="000000"/>
              <w:bottom w:val="single" w:sz="6" w:space="0" w:color="000000"/>
            </w:tcBorders>
          </w:tcPr>
          <w:p>
            <w:pPr>
              <w:pStyle w:val="TableParagraph"/>
              <w:spacing w:line="242" w:lineRule="auto"/>
              <w:ind w:left="110" w:right="89"/>
              <w:rPr>
                <w:rFonts w:ascii="Times New Roman" w:eastAsia="Times New Roman"/>
                <w:sz w:val="21"/>
              </w:rPr>
            </w:pPr>
            <w:r>
              <w:rPr>
                <w:sz w:val="21"/>
              </w:rPr>
              <w:t xml:space="preserve">修完毕后同步投入使用； </w:t>
            </w:r>
            <w:r>
              <w:rPr>
                <w:position w:val="2"/>
                <w:sz w:val="21"/>
              </w:rPr>
              <w:t xml:space="preserve">遇到故障，项目产 </w:t>
            </w:r>
            <w:r>
              <w:rPr>
                <w:rFonts w:ascii="Times New Roman" w:eastAsia="Times New Roman"/>
                <w:position w:val="2"/>
                <w:sz w:val="21"/>
              </w:rPr>
              <w:t>VOC</w:t>
            </w:r>
            <w:r>
              <w:rPr>
                <w:rFonts w:ascii="Times New Roman" w:eastAsia="Times New Roman"/>
                <w:position w:val="2"/>
                <w:sz w:val="21"/>
                <w:vertAlign w:val="subscript"/>
              </w:rPr>
              <w:t>S</w:t>
            </w:r>
          </w:p>
          <w:p>
            <w:pPr>
              <w:pStyle w:val="TableParagraph"/>
              <w:spacing w:line="245" w:lineRule="exact"/>
              <w:ind w:left="110"/>
              <w:rPr>
                <w:sz w:val="21"/>
              </w:rPr>
            </w:pPr>
            <w:r>
              <w:rPr>
                <w:sz w:val="21"/>
              </w:rPr>
              <w:t>工序要能够做到随停</w:t>
            </w: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657"/>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spacing w:before="152" w:line="253" w:lineRule="exact"/>
              <w:ind w:left="164"/>
              <w:rPr>
                <w:rFonts w:ascii="Times New Roman"/>
                <w:sz w:val="21"/>
              </w:rPr>
            </w:pPr>
            <w:r>
              <w:rPr>
                <w:rFonts w:ascii="Times New Roman"/>
                <w:position w:val="2"/>
                <w:sz w:val="21"/>
              </w:rPr>
              <w:t>VOC</w:t>
            </w:r>
            <w:r>
              <w:rPr>
                <w:rFonts w:ascii="Times New Roman"/>
                <w:position w:val="2"/>
                <w:sz w:val="21"/>
                <w:vertAlign w:val="subscript"/>
              </w:rPr>
              <w:t>S</w:t>
            </w:r>
          </w:p>
          <w:p>
            <w:pPr>
              <w:pStyle w:val="TableParagraph"/>
              <w:spacing w:line="233" w:lineRule="exact"/>
              <w:ind w:left="109"/>
              <w:rPr>
                <w:sz w:val="21"/>
              </w:rPr>
            </w:pPr>
            <w:r>
              <w:rPr>
                <w:sz w:val="21"/>
              </w:rPr>
              <w:t>无组织</w:t>
            </w:r>
          </w:p>
        </w:tc>
        <w:tc>
          <w:tcPr>
            <w:tcW w:w="4257" w:type="dxa"/>
            <w:vMerge w:val="restart"/>
            <w:tcBorders>
              <w:top w:val="single" w:sz="6" w:space="0" w:color="000000"/>
              <w:left w:val="single" w:sz="6" w:space="0" w:color="000000"/>
              <w:bottom w:val="single" w:sz="6" w:space="0" w:color="000000"/>
              <w:right w:val="single" w:sz="6" w:space="0" w:color="000000"/>
            </w:tcBorders>
          </w:tcPr>
          <w:p>
            <w:pPr>
              <w:pStyle w:val="TableParagraph"/>
              <w:spacing w:line="242" w:lineRule="auto"/>
              <w:ind w:left="109" w:right="22" w:firstLine="420"/>
              <w:rPr>
                <w:sz w:val="21"/>
              </w:rPr>
            </w:pPr>
            <w:r>
              <w:rPr>
                <w:sz w:val="21"/>
              </w:rPr>
              <w:t xml:space="preserve">废气收集系统排风罩（集气罩）的设置应符合 </w:t>
            </w:r>
            <w:r>
              <w:rPr>
                <w:rFonts w:ascii="Times New Roman" w:eastAsia="Times New Roman"/>
                <w:sz w:val="21"/>
              </w:rPr>
              <w:t xml:space="preserve">GB/T16758 </w:t>
            </w:r>
            <w:r>
              <w:rPr>
                <w:sz w:val="21"/>
              </w:rPr>
              <w:t xml:space="preserve">的规定。采用外部排风罩的，应按 </w:t>
            </w:r>
            <w:r>
              <w:rPr>
                <w:rFonts w:ascii="Times New Roman" w:eastAsia="Times New Roman"/>
                <w:sz w:val="21"/>
              </w:rPr>
              <w:t>GB/T16758</w:t>
            </w:r>
            <w:r>
              <w:rPr>
                <w:sz w:val="21"/>
              </w:rPr>
              <w:t>、</w:t>
            </w:r>
            <w:r>
              <w:rPr>
                <w:rFonts w:ascii="Times New Roman" w:eastAsia="Times New Roman"/>
                <w:sz w:val="21"/>
              </w:rPr>
              <w:t xml:space="preserve">AQ/T 4274-2016 </w:t>
            </w:r>
            <w:r>
              <w:rPr>
                <w:sz w:val="21"/>
              </w:rPr>
              <w:t xml:space="preserve">规定的方法测量控制风速，测量点应选取在离排风罩开口面最远处的 </w:t>
            </w:r>
            <w:r>
              <w:rPr>
                <w:rFonts w:ascii="Times New Roman" w:eastAsia="Times New Roman"/>
                <w:sz w:val="21"/>
              </w:rPr>
              <w:t xml:space="preserve">VOCs </w:t>
            </w:r>
            <w:r>
              <w:rPr>
                <w:sz w:val="21"/>
              </w:rPr>
              <w:t xml:space="preserve">无组织排放位置，控制风速不应低于 </w:t>
            </w:r>
            <w:r>
              <w:rPr>
                <w:rFonts w:ascii="Times New Roman" w:eastAsia="Times New Roman"/>
                <w:sz w:val="21"/>
              </w:rPr>
              <w:t>0.3m/s</w:t>
            </w:r>
            <w:r>
              <w:rPr>
                <w:sz w:val="21"/>
              </w:rPr>
              <w:t>（行业相关规</w:t>
            </w:r>
          </w:p>
          <w:p>
            <w:pPr>
              <w:pStyle w:val="TableParagraph"/>
              <w:spacing w:before="1" w:line="249" w:lineRule="exact"/>
              <w:ind w:left="109"/>
              <w:rPr>
                <w:sz w:val="21"/>
              </w:rPr>
            </w:pPr>
            <w:r>
              <w:rPr>
                <w:sz w:val="21"/>
              </w:rPr>
              <w:t>范有具体规定的，按相关规定执行）。</w:t>
            </w:r>
          </w:p>
        </w:tc>
        <w:tc>
          <w:tcPr>
            <w:tcW w:w="2528" w:type="dxa"/>
            <w:vMerge w:val="restart"/>
            <w:tcBorders>
              <w:top w:val="single" w:sz="6" w:space="0" w:color="000000"/>
              <w:left w:val="single" w:sz="6" w:space="0" w:color="000000"/>
              <w:bottom w:val="single" w:sz="6" w:space="0" w:color="000000"/>
            </w:tcBorders>
          </w:tcPr>
          <w:p>
            <w:pPr>
              <w:pStyle w:val="TableParagraph"/>
              <w:rPr>
                <w:sz w:val="22"/>
              </w:rPr>
            </w:pPr>
          </w:p>
          <w:p>
            <w:pPr>
              <w:pStyle w:val="TableParagraph"/>
              <w:spacing w:before="4"/>
              <w:rPr>
                <w:sz w:val="20"/>
              </w:rPr>
            </w:pPr>
          </w:p>
          <w:p>
            <w:pPr>
              <w:pStyle w:val="TableParagraph"/>
              <w:spacing w:line="242" w:lineRule="auto"/>
              <w:ind w:left="110" w:right="50" w:firstLine="420"/>
              <w:rPr>
                <w:sz w:val="21"/>
              </w:rPr>
            </w:pPr>
            <w:r>
              <w:rPr>
                <w:sz w:val="21"/>
              </w:rPr>
              <w:t>符合。项目废气收集系统集气罩的设置</w:t>
            </w:r>
            <w:r>
              <w:rPr>
                <w:rFonts w:ascii="Times New Roman" w:eastAsia="Times New Roman"/>
                <w:sz w:val="21"/>
              </w:rPr>
              <w:t xml:space="preserve">GB/T16758 </w:t>
            </w:r>
            <w:r>
              <w:rPr>
                <w:sz w:val="21"/>
              </w:rPr>
              <w:t>的规定。</w:t>
            </w:r>
          </w:p>
        </w:tc>
        <w:tc>
          <w:tcPr>
            <w:tcW w:w="118" w:type="dxa"/>
            <w:vMerge w:val="restart"/>
            <w:tcBorders>
              <w:top w:val="nil"/>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252"/>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spacing w:line="232" w:lineRule="exact"/>
              <w:ind w:left="88" w:right="73"/>
              <w:jc w:val="center"/>
              <w:rPr>
                <w:sz w:val="21"/>
              </w:rPr>
            </w:pPr>
            <w:r>
              <w:rPr>
                <w:sz w:val="21"/>
              </w:rPr>
              <w:t>排放废</w:t>
            </w:r>
          </w:p>
        </w:tc>
        <w:tc>
          <w:tcPr>
            <w:tcW w:w="4257" w:type="dxa"/>
            <w:vMerge/>
            <w:tcBorders>
              <w:top w:val="nil"/>
              <w:left w:val="single" w:sz="6" w:space="0" w:color="000000"/>
              <w:bottom w:val="single" w:sz="6" w:space="0" w:color="000000"/>
              <w:right w:val="single" w:sz="6" w:space="0" w:color="000000"/>
            </w:tcBorders>
          </w:tcPr>
          <w:p>
            <w:pPr>
              <w:rPr>
                <w:sz w:val="2"/>
                <w:szCs w:val="2"/>
              </w:rPr>
            </w:pPr>
          </w:p>
        </w:tc>
        <w:tc>
          <w:tcPr>
            <w:tcW w:w="2528" w:type="dxa"/>
            <w:vMerge/>
            <w:tcBorders>
              <w:top w:val="nil"/>
              <w:left w:val="single" w:sz="6" w:space="0" w:color="000000"/>
              <w:bottom w:val="single" w:sz="6" w:space="0" w:color="000000"/>
            </w:tcBorders>
          </w:tcPr>
          <w:p>
            <w:pPr>
              <w:rPr>
                <w:sz w:val="2"/>
                <w:szCs w:val="2"/>
              </w:rPr>
            </w:pP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52"/>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spacing w:line="232" w:lineRule="exact"/>
              <w:ind w:left="88" w:right="73"/>
              <w:jc w:val="center"/>
              <w:rPr>
                <w:sz w:val="21"/>
              </w:rPr>
            </w:pPr>
            <w:r>
              <w:rPr>
                <w:sz w:val="21"/>
              </w:rPr>
              <w:t>气收集</w:t>
            </w:r>
          </w:p>
        </w:tc>
        <w:tc>
          <w:tcPr>
            <w:tcW w:w="4257" w:type="dxa"/>
            <w:vMerge/>
            <w:tcBorders>
              <w:top w:val="nil"/>
              <w:left w:val="single" w:sz="6" w:space="0" w:color="000000"/>
              <w:bottom w:val="single" w:sz="6" w:space="0" w:color="000000"/>
              <w:right w:val="single" w:sz="6" w:space="0" w:color="000000"/>
            </w:tcBorders>
          </w:tcPr>
          <w:p>
            <w:pPr>
              <w:rPr>
                <w:sz w:val="2"/>
                <w:szCs w:val="2"/>
              </w:rPr>
            </w:pPr>
          </w:p>
        </w:tc>
        <w:tc>
          <w:tcPr>
            <w:tcW w:w="2528" w:type="dxa"/>
            <w:vMerge/>
            <w:tcBorders>
              <w:top w:val="nil"/>
              <w:left w:val="single" w:sz="6" w:space="0" w:color="000000"/>
              <w:bottom w:val="single" w:sz="6" w:space="0" w:color="000000"/>
            </w:tcBorders>
          </w:tcPr>
          <w:p>
            <w:pPr>
              <w:rPr>
                <w:sz w:val="2"/>
                <w:szCs w:val="2"/>
              </w:rPr>
            </w:pP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52"/>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spacing w:line="232" w:lineRule="exact"/>
              <w:ind w:left="88" w:right="73"/>
              <w:jc w:val="center"/>
              <w:rPr>
                <w:sz w:val="21"/>
              </w:rPr>
            </w:pPr>
            <w:r>
              <w:rPr>
                <w:sz w:val="21"/>
              </w:rPr>
              <w:t>处理系</w:t>
            </w:r>
          </w:p>
        </w:tc>
        <w:tc>
          <w:tcPr>
            <w:tcW w:w="4257" w:type="dxa"/>
            <w:vMerge/>
            <w:tcBorders>
              <w:top w:val="nil"/>
              <w:left w:val="single" w:sz="6" w:space="0" w:color="000000"/>
              <w:bottom w:val="single" w:sz="6" w:space="0" w:color="000000"/>
              <w:right w:val="single" w:sz="6" w:space="0" w:color="000000"/>
            </w:tcBorders>
          </w:tcPr>
          <w:p>
            <w:pPr>
              <w:rPr>
                <w:sz w:val="2"/>
                <w:szCs w:val="2"/>
              </w:rPr>
            </w:pPr>
          </w:p>
        </w:tc>
        <w:tc>
          <w:tcPr>
            <w:tcW w:w="2528" w:type="dxa"/>
            <w:vMerge/>
            <w:tcBorders>
              <w:top w:val="nil"/>
              <w:left w:val="single" w:sz="6" w:space="0" w:color="000000"/>
              <w:bottom w:val="single" w:sz="6" w:space="0" w:color="000000"/>
            </w:tcBorders>
          </w:tcPr>
          <w:p>
            <w:pPr>
              <w:rPr>
                <w:sz w:val="2"/>
                <w:szCs w:val="2"/>
              </w:rPr>
            </w:pP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405"/>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spacing w:line="260" w:lineRule="exact"/>
              <w:ind w:left="88" w:right="73"/>
              <w:jc w:val="center"/>
              <w:rPr>
                <w:sz w:val="21"/>
              </w:rPr>
            </w:pPr>
            <w:r>
              <w:rPr>
                <w:sz w:val="21"/>
              </w:rPr>
              <w:t>统要求</w:t>
            </w:r>
          </w:p>
        </w:tc>
        <w:tc>
          <w:tcPr>
            <w:tcW w:w="4257" w:type="dxa"/>
            <w:vMerge/>
            <w:tcBorders>
              <w:top w:val="nil"/>
              <w:left w:val="single" w:sz="6" w:space="0" w:color="000000"/>
              <w:bottom w:val="single" w:sz="6" w:space="0" w:color="000000"/>
              <w:right w:val="single" w:sz="6" w:space="0" w:color="000000"/>
            </w:tcBorders>
          </w:tcPr>
          <w:p>
            <w:pPr>
              <w:rPr>
                <w:sz w:val="2"/>
                <w:szCs w:val="2"/>
              </w:rPr>
            </w:pPr>
          </w:p>
        </w:tc>
        <w:tc>
          <w:tcPr>
            <w:tcW w:w="2528" w:type="dxa"/>
            <w:vMerge/>
            <w:tcBorders>
              <w:top w:val="nil"/>
              <w:left w:val="single" w:sz="6" w:space="0" w:color="000000"/>
              <w:bottom w:val="single" w:sz="6" w:space="0" w:color="000000"/>
            </w:tcBorders>
          </w:tcPr>
          <w:p>
            <w:pPr>
              <w:rPr>
                <w:sz w:val="2"/>
                <w:szCs w:val="2"/>
              </w:rPr>
            </w:pPr>
          </w:p>
        </w:tc>
        <w:tc>
          <w:tcPr>
            <w:tcW w:w="118" w:type="dxa"/>
            <w:vMerge/>
            <w:tcBorders>
              <w:top w:val="nil"/>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1629"/>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rPr>
                <w:rFonts w:ascii="Times New Roman"/>
                <w:sz w:val="20"/>
              </w:rPr>
            </w:pPr>
          </w:p>
        </w:tc>
        <w:tc>
          <w:tcPr>
            <w:tcW w:w="4257" w:type="dxa"/>
            <w:tcBorders>
              <w:top w:val="single" w:sz="6" w:space="0" w:color="000000"/>
              <w:left w:val="single" w:sz="6" w:space="0" w:color="000000"/>
              <w:bottom w:val="single" w:sz="6" w:space="0" w:color="000000"/>
              <w:right w:val="single" w:sz="6" w:space="0" w:color="000000"/>
            </w:tcBorders>
          </w:tcPr>
          <w:p>
            <w:pPr>
              <w:pStyle w:val="TableParagraph"/>
              <w:spacing w:line="242" w:lineRule="auto"/>
              <w:ind w:left="109" w:right="141" w:firstLine="420"/>
              <w:rPr>
                <w:sz w:val="21"/>
              </w:rPr>
            </w:pPr>
            <w:r>
              <w:rPr>
                <w:w w:val="95"/>
                <w:sz w:val="21"/>
              </w:rPr>
              <w:t>废气收集系统的输送管道应密闭。废气</w:t>
            </w:r>
            <w:r>
              <w:rPr>
                <w:sz w:val="21"/>
              </w:rPr>
              <w:t xml:space="preserve">收集系统应在负压下运行，若处于正压状 </w:t>
            </w:r>
            <w:r>
              <w:rPr>
                <w:w w:val="95"/>
                <w:sz w:val="21"/>
              </w:rPr>
              <w:t>态，应对输送管道组件的密封点进行泄漏检</w:t>
            </w:r>
            <w:r>
              <w:rPr>
                <w:spacing w:val="-5"/>
                <w:sz w:val="21"/>
              </w:rPr>
              <w:t xml:space="preserve">测，泄漏检测值不应超过 </w:t>
            </w:r>
            <w:r>
              <w:rPr>
                <w:rFonts w:ascii="Times New Roman" w:eastAsia="Times New Roman" w:hAnsi="Times New Roman"/>
                <w:sz w:val="21"/>
              </w:rPr>
              <w:t>500µmol/mol</w:t>
            </w:r>
            <w:r>
              <w:rPr>
                <w:sz w:val="21"/>
              </w:rPr>
              <w:t>，亦</w:t>
            </w:r>
          </w:p>
          <w:p>
            <w:pPr>
              <w:pStyle w:val="TableParagraph"/>
              <w:spacing w:before="1" w:line="270" w:lineRule="atLeast"/>
              <w:ind w:left="109" w:right="141"/>
              <w:rPr>
                <w:sz w:val="21"/>
              </w:rPr>
            </w:pPr>
            <w:r>
              <w:rPr>
                <w:w w:val="95"/>
                <w:sz w:val="21"/>
              </w:rPr>
              <w:t>不应有感官可察觉泄漏。泄漏检测频次、修</w:t>
            </w:r>
            <w:r>
              <w:rPr>
                <w:sz w:val="21"/>
              </w:rPr>
              <w:t xml:space="preserve">复与记录的要求按照第 </w:t>
            </w:r>
            <w:r>
              <w:rPr>
                <w:rFonts w:ascii="Times New Roman" w:eastAsia="Times New Roman"/>
                <w:sz w:val="21"/>
              </w:rPr>
              <w:t xml:space="preserve">8 </w:t>
            </w:r>
            <w:r>
              <w:rPr>
                <w:sz w:val="21"/>
              </w:rPr>
              <w:t>章规定执行</w:t>
            </w:r>
          </w:p>
        </w:tc>
        <w:tc>
          <w:tcPr>
            <w:tcW w:w="2528" w:type="dxa"/>
            <w:tcBorders>
              <w:top w:val="single" w:sz="6" w:space="0" w:color="000000"/>
              <w:left w:val="single" w:sz="6" w:space="0" w:color="000000"/>
              <w:bottom w:val="single" w:sz="6" w:space="0" w:color="000000"/>
            </w:tcBorders>
          </w:tcPr>
          <w:p>
            <w:pPr>
              <w:pStyle w:val="TableParagraph"/>
              <w:spacing w:line="242" w:lineRule="auto"/>
              <w:ind w:left="110" w:right="89" w:firstLine="420"/>
              <w:jc w:val="both"/>
              <w:rPr>
                <w:sz w:val="21"/>
              </w:rPr>
            </w:pPr>
            <w:r>
              <w:rPr>
                <w:sz w:val="21"/>
              </w:rPr>
              <w:t>符合。项目废气收集系统的输送管道密闭，废气收集系统在负压状态下运行，无需对输送管道组</w:t>
            </w:r>
          </w:p>
          <w:p>
            <w:pPr>
              <w:pStyle w:val="TableParagraph"/>
              <w:spacing w:before="1" w:line="270" w:lineRule="atLeast"/>
              <w:ind w:left="110" w:right="300"/>
              <w:rPr>
                <w:sz w:val="21"/>
              </w:rPr>
            </w:pPr>
            <w:r>
              <w:rPr>
                <w:sz w:val="21"/>
              </w:rPr>
              <w:t>件的密封点进行泄漏检测。</w:t>
            </w:r>
          </w:p>
        </w:tc>
        <w:tc>
          <w:tcPr>
            <w:tcW w:w="118" w:type="dxa"/>
            <w:tcBorders>
              <w:top w:val="nil"/>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519"/>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nil"/>
              <w:right w:val="single" w:sz="6" w:space="0" w:color="000000"/>
            </w:tcBorders>
          </w:tcPr>
          <w:p>
            <w:pPr>
              <w:pStyle w:val="TableParagraph"/>
              <w:rPr>
                <w:rFonts w:ascii="Times New Roman"/>
                <w:sz w:val="20"/>
              </w:rPr>
            </w:pPr>
          </w:p>
        </w:tc>
        <w:tc>
          <w:tcPr>
            <w:tcW w:w="4257" w:type="dxa"/>
            <w:vMerge w:val="restart"/>
            <w:tcBorders>
              <w:top w:val="single" w:sz="6" w:space="0" w:color="000000"/>
              <w:left w:val="single" w:sz="6" w:space="0" w:color="000000"/>
              <w:bottom w:val="single" w:sz="18" w:space="0" w:color="000000"/>
              <w:right w:val="single" w:sz="6" w:space="0" w:color="000000"/>
            </w:tcBorders>
          </w:tcPr>
          <w:p>
            <w:pPr>
              <w:pStyle w:val="TableParagraph"/>
              <w:spacing w:line="242" w:lineRule="auto"/>
              <w:ind w:left="109" w:right="160" w:firstLine="420"/>
              <w:rPr>
                <w:sz w:val="21"/>
              </w:rPr>
            </w:pPr>
            <w:r>
              <w:rPr>
                <w:rFonts w:ascii="Times New Roman" w:eastAsia="Times New Roman"/>
                <w:sz w:val="21"/>
              </w:rPr>
              <w:t xml:space="preserve">VOCs </w:t>
            </w:r>
            <w:r>
              <w:rPr>
                <w:sz w:val="21"/>
              </w:rPr>
              <w:t xml:space="preserve">废气收集处理系统污染物排放应符合 </w:t>
            </w:r>
            <w:r>
              <w:rPr>
                <w:rFonts w:ascii="Times New Roman" w:eastAsia="Times New Roman"/>
                <w:sz w:val="21"/>
              </w:rPr>
              <w:t xml:space="preserve">GB16297 </w:t>
            </w:r>
            <w:r>
              <w:rPr>
                <w:sz w:val="21"/>
              </w:rPr>
              <w:t>或相关行业排放标准的规</w:t>
            </w:r>
          </w:p>
          <w:p>
            <w:pPr>
              <w:pStyle w:val="TableParagraph"/>
              <w:spacing w:line="246" w:lineRule="exact"/>
              <w:ind w:left="109"/>
              <w:rPr>
                <w:sz w:val="21"/>
              </w:rPr>
            </w:pPr>
            <w:r>
              <w:rPr>
                <w:sz w:val="21"/>
              </w:rPr>
              <w:t>定。</w:t>
            </w:r>
          </w:p>
        </w:tc>
        <w:tc>
          <w:tcPr>
            <w:tcW w:w="2528" w:type="dxa"/>
            <w:tcBorders>
              <w:top w:val="single" w:sz="6" w:space="0" w:color="000000"/>
              <w:left w:val="single" w:sz="6" w:space="0" w:color="000000"/>
              <w:bottom w:val="nil"/>
            </w:tcBorders>
          </w:tcPr>
          <w:p>
            <w:pPr>
              <w:pStyle w:val="TableParagraph"/>
              <w:spacing w:line="268" w:lineRule="exact"/>
              <w:ind w:right="102"/>
              <w:jc w:val="right"/>
              <w:rPr>
                <w:sz w:val="21"/>
              </w:rPr>
            </w:pPr>
            <w:r>
              <w:rPr>
                <w:spacing w:val="-10"/>
                <w:sz w:val="21"/>
              </w:rPr>
              <w:t xml:space="preserve">符合。项目 </w:t>
            </w:r>
            <w:r>
              <w:rPr>
                <w:rFonts w:ascii="Times New Roman" w:eastAsia="Times New Roman"/>
                <w:sz w:val="21"/>
              </w:rPr>
              <w:t>VOCs</w:t>
            </w:r>
            <w:r>
              <w:rPr>
                <w:rFonts w:ascii="Times New Roman" w:eastAsia="Times New Roman"/>
                <w:spacing w:val="-14"/>
                <w:sz w:val="21"/>
              </w:rPr>
              <w:t xml:space="preserve"> </w:t>
            </w:r>
            <w:r>
              <w:rPr>
                <w:sz w:val="21"/>
              </w:rPr>
              <w:t>废</w:t>
            </w:r>
          </w:p>
          <w:p>
            <w:pPr>
              <w:pStyle w:val="TableParagraph"/>
              <w:spacing w:before="2" w:line="229" w:lineRule="exact"/>
              <w:ind w:right="89"/>
              <w:jc w:val="right"/>
              <w:rPr>
                <w:sz w:val="21"/>
              </w:rPr>
            </w:pPr>
            <w:r>
              <w:rPr>
                <w:w w:val="95"/>
                <w:sz w:val="21"/>
              </w:rPr>
              <w:t>气收集处理系统污染物排</w:t>
            </w:r>
          </w:p>
        </w:tc>
        <w:tc>
          <w:tcPr>
            <w:tcW w:w="118" w:type="dxa"/>
            <w:vMerge w:val="restart"/>
            <w:tcBorders>
              <w:top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245"/>
        </w:trPr>
        <w:tc>
          <w:tcPr>
            <w:tcW w:w="1168" w:type="dxa"/>
            <w:vMerge/>
            <w:tcBorders>
              <w:top w:val="nil"/>
            </w:tcBorders>
          </w:tcPr>
          <w:p>
            <w:pPr>
              <w:rPr>
                <w:sz w:val="2"/>
                <w:szCs w:val="2"/>
              </w:rPr>
            </w:pPr>
          </w:p>
        </w:tc>
        <w:tc>
          <w:tcPr>
            <w:tcW w:w="118" w:type="dxa"/>
            <w:vMerge/>
            <w:tcBorders>
              <w:top w:val="nil"/>
            </w:tcBorders>
          </w:tcPr>
          <w:p>
            <w:pPr>
              <w:rPr>
                <w:sz w:val="2"/>
                <w:szCs w:val="2"/>
              </w:rPr>
            </w:pPr>
          </w:p>
        </w:tc>
        <w:tc>
          <w:tcPr>
            <w:tcW w:w="849" w:type="dxa"/>
            <w:tcBorders>
              <w:top w:val="nil"/>
              <w:bottom w:val="single" w:sz="18" w:space="0" w:color="000000"/>
              <w:right w:val="single" w:sz="6" w:space="0" w:color="000000"/>
            </w:tcBorders>
          </w:tcPr>
          <w:p>
            <w:pPr>
              <w:pStyle w:val="TableParagraph"/>
              <w:rPr>
                <w:rFonts w:ascii="Times New Roman"/>
                <w:sz w:val="16"/>
              </w:rPr>
            </w:pPr>
          </w:p>
        </w:tc>
        <w:tc>
          <w:tcPr>
            <w:tcW w:w="4257" w:type="dxa"/>
            <w:vMerge/>
            <w:tcBorders>
              <w:top w:val="nil"/>
              <w:left w:val="single" w:sz="6" w:space="0" w:color="000000"/>
              <w:bottom w:val="single" w:sz="18" w:space="0" w:color="000000"/>
              <w:right w:val="single" w:sz="6" w:space="0" w:color="000000"/>
            </w:tcBorders>
          </w:tcPr>
          <w:p>
            <w:pPr>
              <w:rPr>
                <w:sz w:val="2"/>
                <w:szCs w:val="2"/>
              </w:rPr>
            </w:pPr>
          </w:p>
        </w:tc>
        <w:tc>
          <w:tcPr>
            <w:tcW w:w="2528" w:type="dxa"/>
            <w:tcBorders>
              <w:top w:val="nil"/>
              <w:left w:val="single" w:sz="6" w:space="0" w:color="000000"/>
              <w:bottom w:val="single" w:sz="18" w:space="0" w:color="000000"/>
            </w:tcBorders>
          </w:tcPr>
          <w:p>
            <w:pPr>
              <w:pStyle w:val="TableParagraph"/>
              <w:spacing w:line="226" w:lineRule="exact"/>
              <w:ind w:left="110"/>
              <w:rPr>
                <w:sz w:val="21"/>
              </w:rPr>
            </w:pPr>
            <w:r>
              <w:rPr>
                <w:sz w:val="21"/>
              </w:rPr>
              <w:t>放符合《挥发性有机物排</w:t>
            </w:r>
          </w:p>
        </w:tc>
        <w:tc>
          <w:tcPr>
            <w:tcW w:w="118" w:type="dxa"/>
            <w:vMerge/>
            <w:tcBorders>
              <w:top w:val="nil"/>
            </w:tcBorders>
          </w:tcPr>
          <w:p>
            <w:pPr>
              <w:rPr>
                <w:sz w:val="2"/>
                <w:szCs w:val="2"/>
              </w:rPr>
            </w:pPr>
          </w:p>
        </w:tc>
      </w:tr>
    </w:tbl>
    <w:p>
      <w:pPr>
        <w:spacing w:after="0"/>
        <w:rPr>
          <w:sz w:val="2"/>
          <w:szCs w:val="2"/>
        </w:rPr>
        <w:sectPr>
          <w:footerReference w:type="default" r:id="rId13"/>
          <w:pgSz w:w="11910" w:h="16840"/>
          <w:pgMar w:top="1420" w:right="1119" w:bottom="1120" w:left="1120" w:header="0" w:footer="939" w:gutter="0"/>
          <w:pgNumType w:start="9"/>
          <w:cols w:num="1" w:space="720"/>
        </w:sect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118"/>
        <w:gridCol w:w="849"/>
        <w:gridCol w:w="4257"/>
        <w:gridCol w:w="2528"/>
        <w:gridCol w:w="118"/>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79"/>
        </w:trPr>
        <w:tc>
          <w:tcPr>
            <w:tcW w:w="1168" w:type="dxa"/>
            <w:vMerge w:val="restart"/>
          </w:tcPr>
          <w:p>
            <w:pPr>
              <w:pStyle w:val="TableParagraph"/>
              <w:rPr>
                <w:rFonts w:ascii="Times New Roman"/>
                <w:sz w:val="20"/>
              </w:rPr>
            </w:pPr>
          </w:p>
        </w:tc>
        <w:tc>
          <w:tcPr>
            <w:tcW w:w="118" w:type="dxa"/>
            <w:vMerge w:val="restart"/>
            <w:tcBorders>
              <w:bottom w:val="nil"/>
            </w:tcBorders>
          </w:tcPr>
          <w:p>
            <w:pPr>
              <w:pStyle w:val="TableParagraph"/>
              <w:rPr>
                <w:rFonts w:ascii="Times New Roman"/>
                <w:sz w:val="20"/>
              </w:rPr>
            </w:pPr>
          </w:p>
        </w:tc>
        <w:tc>
          <w:tcPr>
            <w:tcW w:w="849" w:type="dxa"/>
            <w:vMerge w:val="restart"/>
            <w:tcBorders>
              <w:top w:val="single" w:sz="18" w:space="0" w:color="000000"/>
              <w:right w:val="single" w:sz="6" w:space="0" w:color="000000"/>
            </w:tcBorders>
          </w:tcPr>
          <w:p>
            <w:pPr>
              <w:pStyle w:val="TableParagraph"/>
              <w:rPr>
                <w:rFonts w:ascii="Times New Roman"/>
                <w:sz w:val="20"/>
              </w:rPr>
            </w:pPr>
          </w:p>
        </w:tc>
        <w:tc>
          <w:tcPr>
            <w:tcW w:w="4257" w:type="dxa"/>
            <w:tcBorders>
              <w:top w:val="single" w:sz="18"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528" w:type="dxa"/>
            <w:tcBorders>
              <w:top w:val="single" w:sz="18" w:space="0" w:color="000000"/>
              <w:left w:val="single" w:sz="6" w:space="0" w:color="000000"/>
              <w:bottom w:val="single" w:sz="6" w:space="0" w:color="000000"/>
            </w:tcBorders>
          </w:tcPr>
          <w:p>
            <w:pPr>
              <w:pStyle w:val="TableParagraph"/>
              <w:spacing w:line="242" w:lineRule="auto"/>
              <w:ind w:left="110" w:right="257"/>
              <w:rPr>
                <w:sz w:val="21"/>
              </w:rPr>
            </w:pPr>
            <w:r>
              <w:rPr>
                <w:spacing w:val="-19"/>
                <w:sz w:val="21"/>
              </w:rPr>
              <w:t xml:space="preserve">放标准 第 </w:t>
            </w:r>
            <w:r>
              <w:rPr>
                <w:rFonts w:ascii="Times New Roman" w:eastAsia="Times New Roman"/>
                <w:sz w:val="21"/>
              </w:rPr>
              <w:t xml:space="preserve">6 </w:t>
            </w:r>
            <w:r>
              <w:rPr>
                <w:spacing w:val="-3"/>
                <w:sz w:val="21"/>
              </w:rPr>
              <w:t>部分：有机</w:t>
            </w:r>
            <w:r>
              <w:rPr>
                <w:sz w:val="21"/>
              </w:rPr>
              <w:t>化工行业》</w:t>
            </w:r>
          </w:p>
          <w:p>
            <w:pPr>
              <w:pStyle w:val="TableParagraph"/>
              <w:ind w:left="110"/>
              <w:rPr>
                <w:sz w:val="21"/>
              </w:rPr>
            </w:pPr>
            <w:r>
              <w:rPr>
                <w:sz w:val="21"/>
              </w:rPr>
              <w:t>（</w:t>
            </w:r>
            <w:r>
              <w:rPr>
                <w:rFonts w:ascii="Times New Roman" w:eastAsia="Times New Roman"/>
                <w:sz w:val="21"/>
              </w:rPr>
              <w:t>DB37/2801.6-2018</w:t>
            </w:r>
            <w:r>
              <w:rPr>
                <w:sz w:val="21"/>
              </w:rPr>
              <w:t>）相</w:t>
            </w:r>
          </w:p>
          <w:p>
            <w:pPr>
              <w:pStyle w:val="TableParagraph"/>
              <w:spacing w:line="249" w:lineRule="exact"/>
              <w:ind w:left="110"/>
              <w:rPr>
                <w:sz w:val="21"/>
              </w:rPr>
            </w:pPr>
            <w:r>
              <w:rPr>
                <w:sz w:val="21"/>
              </w:rPr>
              <w:t>关标准要求的规定。</w:t>
            </w:r>
          </w:p>
        </w:tc>
        <w:tc>
          <w:tcPr>
            <w:tcW w:w="118" w:type="dxa"/>
            <w:tcBorders>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904"/>
        </w:trPr>
        <w:tc>
          <w:tcPr>
            <w:tcW w:w="1168" w:type="dxa"/>
            <w:vMerge/>
            <w:tcBorders>
              <w:top w:val="nil"/>
            </w:tcBorders>
          </w:tcPr>
          <w:p>
            <w:pPr>
              <w:rPr>
                <w:sz w:val="2"/>
                <w:szCs w:val="2"/>
              </w:rPr>
            </w:pPr>
          </w:p>
        </w:tc>
        <w:tc>
          <w:tcPr>
            <w:tcW w:w="118" w:type="dxa"/>
            <w:vMerge/>
            <w:tcBorders>
              <w:top w:val="nil"/>
              <w:bottom w:val="nil"/>
            </w:tcBorders>
          </w:tcPr>
          <w:p>
            <w:pPr>
              <w:rPr>
                <w:sz w:val="2"/>
                <w:szCs w:val="2"/>
              </w:rPr>
            </w:pPr>
          </w:p>
        </w:tc>
        <w:tc>
          <w:tcPr>
            <w:tcW w:w="849" w:type="dxa"/>
            <w:vMerge/>
            <w:tcBorders>
              <w:top w:val="nil"/>
              <w:right w:val="single" w:sz="6" w:space="0" w:color="000000"/>
            </w:tcBorders>
          </w:tcPr>
          <w:p>
            <w:pPr>
              <w:rPr>
                <w:sz w:val="2"/>
                <w:szCs w:val="2"/>
              </w:rPr>
            </w:pPr>
          </w:p>
        </w:tc>
        <w:tc>
          <w:tcPr>
            <w:tcW w:w="4257" w:type="dxa"/>
            <w:tcBorders>
              <w:top w:val="single" w:sz="6" w:space="0" w:color="000000"/>
              <w:left w:val="single" w:sz="6" w:space="0" w:color="000000"/>
              <w:right w:val="single" w:sz="6" w:space="0" w:color="000000"/>
            </w:tcBorders>
          </w:tcPr>
          <w:p>
            <w:pPr>
              <w:pStyle w:val="TableParagraph"/>
              <w:spacing w:line="268" w:lineRule="exact"/>
              <w:ind w:left="529"/>
              <w:rPr>
                <w:sz w:val="21"/>
              </w:rPr>
            </w:pPr>
            <w:r>
              <w:rPr>
                <w:sz w:val="21"/>
              </w:rPr>
              <w:t xml:space="preserve">收集的废气中 </w:t>
            </w:r>
            <w:r>
              <w:rPr>
                <w:rFonts w:ascii="Times New Roman" w:eastAsia="Times New Roman"/>
                <w:sz w:val="21"/>
              </w:rPr>
              <w:t xml:space="preserve">NMHC </w:t>
            </w:r>
            <w:r>
              <w:rPr>
                <w:sz w:val="21"/>
              </w:rPr>
              <w:t>初始排放速率）</w:t>
            </w:r>
          </w:p>
          <w:p>
            <w:pPr>
              <w:pStyle w:val="TableParagraph"/>
              <w:spacing w:before="2" w:line="242" w:lineRule="auto"/>
              <w:ind w:left="109" w:right="71"/>
              <w:rPr>
                <w:sz w:val="21"/>
              </w:rPr>
            </w:pPr>
            <w:r>
              <w:rPr>
                <w:sz w:val="21"/>
              </w:rPr>
              <w:t>≧</w:t>
            </w:r>
            <w:r>
              <w:rPr>
                <w:rFonts w:ascii="Times New Roman" w:eastAsia="Times New Roman" w:hAnsi="Times New Roman"/>
                <w:sz w:val="21"/>
              </w:rPr>
              <w:t xml:space="preserve">3kg/h </w:t>
            </w:r>
            <w:r>
              <w:rPr>
                <w:sz w:val="21"/>
              </w:rPr>
              <w:t xml:space="preserve">时，应配置 </w:t>
            </w:r>
            <w:r>
              <w:rPr>
                <w:rFonts w:ascii="Times New Roman" w:eastAsia="Times New Roman" w:hAnsi="Times New Roman"/>
                <w:sz w:val="21"/>
              </w:rPr>
              <w:t xml:space="preserve">VOCs </w:t>
            </w:r>
            <w:r>
              <w:rPr>
                <w:sz w:val="21"/>
              </w:rPr>
              <w:t xml:space="preserve">处理设施，处理效率不应低于 </w:t>
            </w:r>
            <w:r>
              <w:rPr>
                <w:rFonts w:ascii="Times New Roman" w:eastAsia="Times New Roman" w:hAnsi="Times New Roman"/>
                <w:sz w:val="21"/>
              </w:rPr>
              <w:t>80%</w:t>
            </w:r>
            <w:r>
              <w:rPr>
                <w:sz w:val="21"/>
              </w:rPr>
              <w:t xml:space="preserve">；对于重点地区，收集的废气中 </w:t>
            </w:r>
            <w:r>
              <w:rPr>
                <w:rFonts w:ascii="Times New Roman" w:eastAsia="Times New Roman" w:hAnsi="Times New Roman"/>
                <w:sz w:val="21"/>
              </w:rPr>
              <w:t xml:space="preserve">NMHC </w:t>
            </w:r>
            <w:r>
              <w:rPr>
                <w:sz w:val="21"/>
              </w:rPr>
              <w:t>初始排放速率）≧</w:t>
            </w:r>
            <w:r>
              <w:rPr>
                <w:rFonts w:ascii="Times New Roman" w:eastAsia="Times New Roman" w:hAnsi="Times New Roman"/>
                <w:sz w:val="21"/>
              </w:rPr>
              <w:t xml:space="preserve">2kg/h </w:t>
            </w:r>
            <w:r>
              <w:rPr>
                <w:sz w:val="21"/>
              </w:rPr>
              <w:t xml:space="preserve">时， 应配置 </w:t>
            </w:r>
            <w:r>
              <w:rPr>
                <w:rFonts w:ascii="Times New Roman" w:eastAsia="Times New Roman" w:hAnsi="Times New Roman"/>
                <w:sz w:val="21"/>
              </w:rPr>
              <w:t xml:space="preserve">VOCs </w:t>
            </w:r>
            <w:r>
              <w:rPr>
                <w:sz w:val="21"/>
              </w:rPr>
              <w:t>处理设施，处理效率不应低于</w:t>
            </w:r>
            <w:r>
              <w:rPr>
                <w:rFonts w:ascii="Times New Roman" w:eastAsia="Times New Roman" w:hAnsi="Times New Roman"/>
                <w:sz w:val="21"/>
              </w:rPr>
              <w:t>80%</w:t>
            </w:r>
            <w:r>
              <w:rPr>
                <w:sz w:val="21"/>
              </w:rPr>
              <w:t>；采用的原辅材料符合国家有关低</w:t>
            </w:r>
          </w:p>
          <w:p>
            <w:pPr>
              <w:pStyle w:val="TableParagraph"/>
              <w:spacing w:before="4" w:line="251" w:lineRule="exact"/>
              <w:ind w:left="109"/>
              <w:rPr>
                <w:sz w:val="21"/>
              </w:rPr>
            </w:pPr>
            <w:r>
              <w:rPr>
                <w:rFonts w:ascii="Times New Roman" w:eastAsia="Times New Roman"/>
                <w:sz w:val="21"/>
              </w:rPr>
              <w:t xml:space="preserve">VOCs </w:t>
            </w:r>
            <w:r>
              <w:rPr>
                <w:sz w:val="21"/>
              </w:rPr>
              <w:t>含量产品规定的除外。</w:t>
            </w:r>
          </w:p>
        </w:tc>
        <w:tc>
          <w:tcPr>
            <w:tcW w:w="2528" w:type="dxa"/>
            <w:tcBorders>
              <w:top w:val="single" w:sz="6" w:space="0" w:color="000000"/>
              <w:left w:val="single" w:sz="6" w:space="0" w:color="000000"/>
            </w:tcBorders>
          </w:tcPr>
          <w:p>
            <w:pPr>
              <w:pStyle w:val="TableParagraph"/>
              <w:rPr>
                <w:sz w:val="21"/>
              </w:rPr>
            </w:pPr>
          </w:p>
          <w:p>
            <w:pPr>
              <w:pStyle w:val="TableParagraph"/>
              <w:spacing w:line="242" w:lineRule="auto"/>
              <w:ind w:left="110" w:right="25" w:firstLine="420"/>
              <w:rPr>
                <w:sz w:val="21"/>
              </w:rPr>
            </w:pPr>
            <w:r>
              <w:rPr>
                <w:sz w:val="21"/>
              </w:rPr>
              <w:t xml:space="preserve">符合。项目收集的废气中 </w:t>
            </w:r>
            <w:r>
              <w:rPr>
                <w:rFonts w:ascii="Times New Roman" w:eastAsia="Times New Roman"/>
                <w:sz w:val="21"/>
              </w:rPr>
              <w:t xml:space="preserve">NMHC </w:t>
            </w:r>
            <w:r>
              <w:rPr>
                <w:sz w:val="21"/>
              </w:rPr>
              <w:t xml:space="preserve">初始排放速率不足 </w:t>
            </w:r>
            <w:r>
              <w:rPr>
                <w:rFonts w:ascii="Times New Roman" w:eastAsia="Times New Roman"/>
                <w:sz w:val="21"/>
              </w:rPr>
              <w:t>2kg/h</w:t>
            </w:r>
            <w:r>
              <w:rPr>
                <w:sz w:val="21"/>
              </w:rPr>
              <w:t xml:space="preserve">，但企业配套设置了 </w:t>
            </w:r>
            <w:r>
              <w:rPr>
                <w:rFonts w:ascii="Times New Roman" w:eastAsia="Times New Roman"/>
                <w:sz w:val="21"/>
              </w:rPr>
              <w:t xml:space="preserve">VOCs </w:t>
            </w:r>
            <w:r>
              <w:rPr>
                <w:sz w:val="21"/>
              </w:rPr>
              <w:t>收集处理设施</w:t>
            </w:r>
          </w:p>
        </w:tc>
        <w:tc>
          <w:tcPr>
            <w:tcW w:w="118" w:type="dxa"/>
            <w:tcBorders>
              <w:top w:val="nil"/>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0652"/>
        </w:trPr>
        <w:tc>
          <w:tcPr>
            <w:tcW w:w="1168" w:type="dxa"/>
            <w:vMerge/>
            <w:tcBorders>
              <w:top w:val="nil"/>
            </w:tcBorders>
          </w:tcPr>
          <w:p>
            <w:pPr>
              <w:rPr>
                <w:sz w:val="2"/>
                <w:szCs w:val="2"/>
              </w:rPr>
            </w:pPr>
          </w:p>
        </w:tc>
        <w:tc>
          <w:tcPr>
            <w:tcW w:w="7870" w:type="dxa"/>
            <w:gridSpan w:val="5"/>
          </w:tcPr>
          <w:p>
            <w:pPr>
              <w:pStyle w:val="TableParagraph"/>
              <w:spacing w:before="139" w:line="364" w:lineRule="auto"/>
              <w:ind w:left="107" w:right="87" w:firstLine="480"/>
              <w:rPr>
                <w:sz w:val="24"/>
              </w:rPr>
            </w:pPr>
            <w:r>
              <w:rPr>
                <w:sz w:val="24"/>
              </w:rPr>
              <w:t>由上表可知，本项目能够符合《挥发性有机物无组织排放控制标准》（</w:t>
            </w:r>
            <w:r>
              <w:rPr>
                <w:rFonts w:ascii="Times New Roman" w:eastAsia="Times New Roman"/>
                <w:sz w:val="24"/>
              </w:rPr>
              <w:t>GB37822-2019</w:t>
            </w:r>
            <w:r>
              <w:rPr>
                <w:sz w:val="24"/>
              </w:rPr>
              <w:t>）相关要求。</w:t>
            </w:r>
          </w:p>
          <w:p>
            <w:pPr>
              <w:pStyle w:val="TableParagraph"/>
              <w:spacing w:line="306" w:lineRule="exact"/>
              <w:ind w:left="587"/>
              <w:rPr>
                <w:b/>
                <w:sz w:val="24"/>
              </w:rPr>
            </w:pPr>
            <w:r>
              <w:rPr>
                <w:b/>
                <w:sz w:val="24"/>
              </w:rPr>
              <w:t>（</w:t>
            </w:r>
            <w:r>
              <w:rPr>
                <w:rFonts w:ascii="Times New Roman" w:eastAsia="Times New Roman"/>
                <w:b/>
                <w:sz w:val="24"/>
              </w:rPr>
              <w:t>3</w:t>
            </w:r>
            <w:r>
              <w:rPr>
                <w:b/>
                <w:sz w:val="24"/>
              </w:rPr>
              <w:t>）与《山东省环境保护条例》符合性分析</w:t>
            </w:r>
          </w:p>
          <w:p>
            <w:pPr>
              <w:pStyle w:val="TableParagraph"/>
              <w:tabs>
                <w:tab w:val="left" w:pos="628"/>
              </w:tabs>
              <w:spacing w:before="161"/>
              <w:ind w:right="191"/>
              <w:jc w:val="center"/>
              <w:rPr>
                <w:b/>
                <w:sz w:val="24"/>
              </w:rPr>
            </w:pPr>
            <w:r>
              <w:rPr>
                <w:b/>
                <w:sz w:val="24"/>
              </w:rPr>
              <w:t>表</w:t>
            </w:r>
            <w:r>
              <w:rPr>
                <w:b/>
                <w:spacing w:val="-62"/>
                <w:sz w:val="24"/>
              </w:rPr>
              <w:t xml:space="preserve"> </w:t>
            </w:r>
            <w:r>
              <w:rPr>
                <w:rFonts w:ascii="Times New Roman" w:eastAsia="Times New Roman"/>
                <w:b/>
                <w:sz w:val="24"/>
              </w:rPr>
              <w:t>7</w:t>
            </w:r>
            <w:r>
              <w:rPr>
                <w:rFonts w:ascii="Times New Roman" w:eastAsia="Times New Roman"/>
                <w:b/>
                <w:sz w:val="24"/>
              </w:rPr>
              <w:tab/>
            </w:r>
            <w:r>
              <w:rPr>
                <w:b/>
                <w:sz w:val="24"/>
              </w:rPr>
              <w:t>与《山东省环境保护条例》符合性一览表</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9"/>
              <w:rPr>
                <w:sz w:val="19"/>
              </w:rPr>
            </w:pPr>
          </w:p>
          <w:p>
            <w:pPr>
              <w:pStyle w:val="TableParagraph"/>
              <w:ind w:left="587"/>
              <w:rPr>
                <w:sz w:val="24"/>
              </w:rPr>
            </w:pPr>
            <w:r>
              <w:rPr>
                <w:sz w:val="24"/>
              </w:rPr>
              <w:t>由上表可知，本项目能够符合《山东省环境保护条例》相关要求。</w:t>
            </w:r>
          </w:p>
        </w:tc>
      </w:tr>
    </w:tbl>
    <w:p>
      <w:pPr>
        <w:rPr>
          <w:sz w:val="2"/>
          <w:szCs w:val="2"/>
        </w:rPr>
      </w:pPr>
      <w:r>
        <w:pict>
          <v:shape id="_x0000_s1030" o:spid="_x0000_s1029" type="#_x0000_t202" style="width:382.95pt;height:305.45pt;margin-top:317.8pt;margin-left:135.5pt;mso-height-relative:page;mso-position-horizontal-relative:page;mso-position-vertical-relative:page;mso-width-relative:page;position:absolute;z-index:251662336"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75"/>
                    <w:gridCol w:w="4475"/>
                    <w:gridCol w:w="2394"/>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9"/>
                    </w:trPr>
                    <w:tc>
                      <w:tcPr>
                        <w:tcW w:w="775" w:type="dxa"/>
                      </w:tcPr>
                      <w:p>
                        <w:pPr>
                          <w:pStyle w:val="TableParagraph"/>
                          <w:spacing w:before="27"/>
                          <w:ind w:left="155" w:right="147"/>
                          <w:jc w:val="center"/>
                          <w:rPr>
                            <w:b/>
                            <w:sz w:val="21"/>
                          </w:rPr>
                        </w:pPr>
                        <w:r>
                          <w:rPr>
                            <w:b/>
                            <w:sz w:val="21"/>
                          </w:rPr>
                          <w:t>序号</w:t>
                        </w:r>
                      </w:p>
                    </w:tc>
                    <w:tc>
                      <w:tcPr>
                        <w:tcW w:w="4475" w:type="dxa"/>
                      </w:tcPr>
                      <w:p>
                        <w:pPr>
                          <w:pStyle w:val="TableParagraph"/>
                          <w:spacing w:before="27"/>
                          <w:ind w:left="1794" w:right="1787"/>
                          <w:jc w:val="center"/>
                          <w:rPr>
                            <w:b/>
                            <w:sz w:val="21"/>
                          </w:rPr>
                        </w:pPr>
                        <w:r>
                          <w:rPr>
                            <w:b/>
                            <w:sz w:val="21"/>
                          </w:rPr>
                          <w:t>文件要求</w:t>
                        </w:r>
                      </w:p>
                    </w:tc>
                    <w:tc>
                      <w:tcPr>
                        <w:tcW w:w="2394" w:type="dxa"/>
                      </w:tcPr>
                      <w:p>
                        <w:pPr>
                          <w:pStyle w:val="TableParagraph"/>
                          <w:spacing w:before="27"/>
                          <w:ind w:left="775"/>
                          <w:rPr>
                            <w:b/>
                            <w:sz w:val="21"/>
                          </w:rPr>
                        </w:pPr>
                        <w:r>
                          <w:rPr>
                            <w:b/>
                            <w:sz w:val="21"/>
                          </w:rPr>
                          <w:t>工程情况</w:t>
                        </w:r>
                      </w:p>
                    </w:tc>
                  </w:tr>
                  <w:tr>
                    <w:tblPrEx>
                      <w:tblW w:w="0" w:type="auto"/>
                      <w:tblInd w:w="5" w:type="dxa"/>
                      <w:tblLayout w:type="fixed"/>
                      <w:tblCellMar>
                        <w:top w:w="0" w:type="dxa"/>
                        <w:left w:w="0" w:type="dxa"/>
                        <w:bottom w:w="0" w:type="dxa"/>
                        <w:right w:w="0" w:type="dxa"/>
                      </w:tblCellMar>
                    </w:tblPrEx>
                    <w:trPr>
                      <w:trHeight w:val="1633"/>
                    </w:trPr>
                    <w:tc>
                      <w:tcPr>
                        <w:tcW w:w="775" w:type="dxa"/>
                      </w:tcPr>
                      <w:p>
                        <w:pPr>
                          <w:pStyle w:val="TableParagraph"/>
                          <w:rPr>
                            <w:sz w:val="22"/>
                          </w:rPr>
                        </w:pPr>
                      </w:p>
                      <w:p>
                        <w:pPr>
                          <w:pStyle w:val="TableParagraph"/>
                          <w:spacing w:before="3"/>
                          <w:rPr>
                            <w:sz w:val="32"/>
                          </w:rPr>
                        </w:pPr>
                      </w:p>
                      <w:p>
                        <w:pPr>
                          <w:pStyle w:val="TableParagraph"/>
                          <w:ind w:left="9"/>
                          <w:jc w:val="center"/>
                          <w:rPr>
                            <w:rFonts w:ascii="Times New Roman"/>
                            <w:sz w:val="21"/>
                          </w:rPr>
                        </w:pPr>
                        <w:r>
                          <w:rPr>
                            <w:rFonts w:ascii="Times New Roman"/>
                            <w:w w:val="99"/>
                            <w:sz w:val="21"/>
                          </w:rPr>
                          <w:t>1</w:t>
                        </w:r>
                      </w:p>
                    </w:tc>
                    <w:tc>
                      <w:tcPr>
                        <w:tcW w:w="4475" w:type="dxa"/>
                      </w:tcPr>
                      <w:p>
                        <w:pPr>
                          <w:pStyle w:val="TableParagraph"/>
                          <w:spacing w:line="242" w:lineRule="auto"/>
                          <w:ind w:left="107" w:right="157" w:firstLine="420"/>
                          <w:rPr>
                            <w:sz w:val="21"/>
                          </w:rPr>
                        </w:pPr>
                        <w:r>
                          <w:rPr>
                            <w:w w:val="95"/>
                            <w:sz w:val="21"/>
                          </w:rPr>
                          <w:t>禁止建设不符合国家和省产业政策的小型</w:t>
                        </w:r>
                        <w:r>
                          <w:rPr>
                            <w:sz w:val="21"/>
                          </w:rPr>
                          <w:t xml:space="preserve">造纸、制革、印染、染料、炼焦、炼硫、炼 </w:t>
                        </w:r>
                        <w:r>
                          <w:rPr>
                            <w:w w:val="95"/>
                            <w:sz w:val="21"/>
                          </w:rPr>
                          <w:t>砷、炼汞、炼油、电镀、农药、石棉、水泥、 玻璃、钢铁、火电以及其他严重污染环境的生</w:t>
                        </w:r>
                      </w:p>
                      <w:p>
                        <w:pPr>
                          <w:pStyle w:val="TableParagraph"/>
                          <w:spacing w:before="1" w:line="270" w:lineRule="atLeast"/>
                          <w:ind w:left="107" w:right="157"/>
                          <w:rPr>
                            <w:sz w:val="21"/>
                          </w:rPr>
                        </w:pPr>
                        <w:r>
                          <w:rPr>
                            <w:w w:val="95"/>
                            <w:sz w:val="21"/>
                          </w:rPr>
                          <w:t xml:space="preserve">产项目。已经建设的，由所在地的县级以上人 </w:t>
                        </w:r>
                        <w:r>
                          <w:rPr>
                            <w:sz w:val="21"/>
                          </w:rPr>
                          <w:t>民政府责令拆除或者关闭。</w:t>
                        </w:r>
                      </w:p>
                    </w:tc>
                    <w:tc>
                      <w:tcPr>
                        <w:tcW w:w="2394" w:type="dxa"/>
                      </w:tcPr>
                      <w:p>
                        <w:pPr>
                          <w:pStyle w:val="TableParagraph"/>
                          <w:rPr>
                            <w:sz w:val="20"/>
                          </w:rPr>
                        </w:pPr>
                      </w:p>
                      <w:p>
                        <w:pPr>
                          <w:pStyle w:val="TableParagraph"/>
                          <w:spacing w:before="151" w:line="242" w:lineRule="auto"/>
                          <w:ind w:left="108" w:right="99" w:firstLine="420"/>
                          <w:jc w:val="both"/>
                          <w:rPr>
                            <w:sz w:val="21"/>
                          </w:rPr>
                        </w:pPr>
                        <w:r>
                          <w:rPr>
                            <w:sz w:val="21"/>
                          </w:rPr>
                          <w:t>符合。本项目属于塑料板材项目，不涉及左侧所列行业。</w:t>
                        </w:r>
                      </w:p>
                    </w:tc>
                  </w:tr>
                  <w:tr>
                    <w:tblPrEx>
                      <w:tblW w:w="0" w:type="auto"/>
                      <w:tblInd w:w="5" w:type="dxa"/>
                      <w:tblLayout w:type="fixed"/>
                      <w:tblCellMar>
                        <w:top w:w="0" w:type="dxa"/>
                        <w:left w:w="0" w:type="dxa"/>
                        <w:bottom w:w="0" w:type="dxa"/>
                        <w:right w:w="0" w:type="dxa"/>
                      </w:tblCellMar>
                    </w:tblPrEx>
                    <w:trPr>
                      <w:trHeight w:val="816"/>
                    </w:trPr>
                    <w:tc>
                      <w:tcPr>
                        <w:tcW w:w="775" w:type="dxa"/>
                      </w:tcPr>
                      <w:p>
                        <w:pPr>
                          <w:pStyle w:val="TableParagraph"/>
                          <w:spacing w:before="5"/>
                          <w:rPr>
                            <w:sz w:val="22"/>
                          </w:rPr>
                        </w:pPr>
                      </w:p>
                      <w:p>
                        <w:pPr>
                          <w:pStyle w:val="TableParagraph"/>
                          <w:ind w:left="9"/>
                          <w:jc w:val="center"/>
                          <w:rPr>
                            <w:rFonts w:ascii="Times New Roman"/>
                            <w:sz w:val="21"/>
                          </w:rPr>
                        </w:pPr>
                        <w:r>
                          <w:rPr>
                            <w:rFonts w:ascii="Times New Roman"/>
                            <w:w w:val="99"/>
                            <w:sz w:val="21"/>
                          </w:rPr>
                          <w:t>2</w:t>
                        </w:r>
                      </w:p>
                    </w:tc>
                    <w:tc>
                      <w:tcPr>
                        <w:tcW w:w="4475" w:type="dxa"/>
                      </w:tcPr>
                      <w:p>
                        <w:pPr>
                          <w:pStyle w:val="TableParagraph"/>
                          <w:spacing w:before="136" w:line="242" w:lineRule="auto"/>
                          <w:ind w:left="107" w:right="157" w:firstLine="420"/>
                          <w:rPr>
                            <w:sz w:val="21"/>
                          </w:rPr>
                        </w:pPr>
                        <w:r>
                          <w:rPr>
                            <w:w w:val="95"/>
                            <w:sz w:val="21"/>
                          </w:rPr>
                          <w:t>新建、改建、扩建项目，应当依法进行环</w:t>
                        </w:r>
                        <w:r>
                          <w:rPr>
                            <w:sz w:val="21"/>
                          </w:rPr>
                          <w:t>境影响评价。</w:t>
                        </w:r>
                      </w:p>
                    </w:tc>
                    <w:tc>
                      <w:tcPr>
                        <w:tcW w:w="2394" w:type="dxa"/>
                      </w:tcPr>
                      <w:p>
                        <w:pPr>
                          <w:pStyle w:val="TableParagraph"/>
                          <w:spacing w:line="269" w:lineRule="exact"/>
                          <w:ind w:left="108" w:firstLine="420"/>
                          <w:rPr>
                            <w:sz w:val="21"/>
                          </w:rPr>
                        </w:pPr>
                        <w:r>
                          <w:rPr>
                            <w:sz w:val="21"/>
                          </w:rPr>
                          <w:t>符合。本项目为新</w:t>
                        </w:r>
                      </w:p>
                      <w:p>
                        <w:pPr>
                          <w:pStyle w:val="TableParagraph"/>
                          <w:spacing w:before="3" w:line="270" w:lineRule="atLeast"/>
                          <w:ind w:left="108" w:right="96"/>
                          <w:rPr>
                            <w:sz w:val="21"/>
                          </w:rPr>
                        </w:pPr>
                        <w:r>
                          <w:rPr>
                            <w:sz w:val="21"/>
                          </w:rPr>
                          <w:t>建项目，正在进行环境影响评价工作。</w:t>
                        </w:r>
                      </w:p>
                    </w:tc>
                  </w:tr>
                  <w:tr>
                    <w:tblPrEx>
                      <w:tblW w:w="0" w:type="auto"/>
                      <w:tblInd w:w="5" w:type="dxa"/>
                      <w:tblLayout w:type="fixed"/>
                      <w:tblCellMar>
                        <w:top w:w="0" w:type="dxa"/>
                        <w:left w:w="0" w:type="dxa"/>
                        <w:bottom w:w="0" w:type="dxa"/>
                        <w:right w:w="0" w:type="dxa"/>
                      </w:tblCellMar>
                    </w:tblPrEx>
                    <w:trPr>
                      <w:trHeight w:val="1906"/>
                    </w:trPr>
                    <w:tc>
                      <w:tcPr>
                        <w:tcW w:w="775" w:type="dxa"/>
                      </w:tcPr>
                      <w:p>
                        <w:pPr>
                          <w:pStyle w:val="TableParagraph"/>
                          <w:rPr>
                            <w:sz w:val="22"/>
                          </w:rPr>
                        </w:pPr>
                      </w:p>
                      <w:p>
                        <w:pPr>
                          <w:pStyle w:val="TableParagraph"/>
                          <w:rPr>
                            <w:sz w:val="22"/>
                          </w:rPr>
                        </w:pPr>
                      </w:p>
                      <w:p>
                        <w:pPr>
                          <w:pStyle w:val="TableParagraph"/>
                          <w:spacing w:before="10"/>
                          <w:rPr>
                            <w:sz w:val="20"/>
                          </w:rPr>
                        </w:pPr>
                      </w:p>
                      <w:p>
                        <w:pPr>
                          <w:pStyle w:val="TableParagraph"/>
                          <w:ind w:left="9"/>
                          <w:jc w:val="center"/>
                          <w:rPr>
                            <w:rFonts w:ascii="Times New Roman"/>
                            <w:sz w:val="21"/>
                          </w:rPr>
                        </w:pPr>
                        <w:r>
                          <w:rPr>
                            <w:rFonts w:ascii="Times New Roman"/>
                            <w:w w:val="99"/>
                            <w:sz w:val="21"/>
                          </w:rPr>
                          <w:t>3</w:t>
                        </w:r>
                      </w:p>
                    </w:tc>
                    <w:tc>
                      <w:tcPr>
                        <w:tcW w:w="4475" w:type="dxa"/>
                      </w:tcPr>
                      <w:p>
                        <w:pPr>
                          <w:pStyle w:val="TableParagraph"/>
                          <w:spacing w:before="135" w:line="242" w:lineRule="auto"/>
                          <w:ind w:left="107" w:right="157" w:firstLine="420"/>
                          <w:jc w:val="both"/>
                          <w:rPr>
                            <w:sz w:val="21"/>
                          </w:rPr>
                        </w:pPr>
                        <w:r>
                          <w:rPr>
                            <w:w w:val="95"/>
                            <w:sz w:val="21"/>
                          </w:rPr>
                          <w:t xml:space="preserve">排污单位应当采取措施，防治在生产建设或者其他活动中产生的废气、废水、废渣、医 疗废物、颗粒物、恶臭气体、放射性物质以及 噪声、振动、光辐射、电磁辐射等对环境的污 染和危害，其污染排放不得超过排放标准和重 </w:t>
                        </w:r>
                        <w:r>
                          <w:rPr>
                            <w:sz w:val="21"/>
                          </w:rPr>
                          <w:t>点污染物排放总量控制指标。</w:t>
                        </w:r>
                      </w:p>
                    </w:tc>
                    <w:tc>
                      <w:tcPr>
                        <w:tcW w:w="2394" w:type="dxa"/>
                      </w:tcPr>
                      <w:p>
                        <w:pPr>
                          <w:pStyle w:val="TableParagraph"/>
                          <w:spacing w:line="242" w:lineRule="auto"/>
                          <w:ind w:left="108" w:right="96" w:firstLine="420"/>
                          <w:jc w:val="both"/>
                          <w:rPr>
                            <w:sz w:val="21"/>
                          </w:rPr>
                        </w:pPr>
                        <w:r>
                          <w:rPr>
                            <w:w w:val="95"/>
                            <w:sz w:val="21"/>
                          </w:rPr>
                          <w:t>符合。本项目目前</w:t>
                        </w:r>
                        <w:r>
                          <w:rPr>
                            <w:sz w:val="21"/>
                          </w:rPr>
                          <w:t>正在办理环评手续，拟采取污染物治理措施， 经预测分析污染物可达标排放，且排放污染物已按规定申请总量控制</w:t>
                        </w:r>
                      </w:p>
                      <w:p>
                        <w:pPr>
                          <w:pStyle w:val="TableParagraph"/>
                          <w:spacing w:before="4" w:line="251" w:lineRule="exact"/>
                          <w:ind w:left="108"/>
                          <w:rPr>
                            <w:sz w:val="21"/>
                          </w:rPr>
                        </w:pPr>
                        <w:r>
                          <w:rPr>
                            <w:sz w:val="21"/>
                          </w:rPr>
                          <w:t>指标。</w:t>
                        </w:r>
                      </w:p>
                    </w:tc>
                  </w:tr>
                  <w:tr>
                    <w:tblPrEx>
                      <w:tblW w:w="0" w:type="auto"/>
                      <w:tblInd w:w="5" w:type="dxa"/>
                      <w:tblLayout w:type="fixed"/>
                      <w:tblCellMar>
                        <w:top w:w="0" w:type="dxa"/>
                        <w:left w:w="0" w:type="dxa"/>
                        <w:bottom w:w="0" w:type="dxa"/>
                        <w:right w:w="0" w:type="dxa"/>
                      </w:tblCellMar>
                    </w:tblPrEx>
                    <w:trPr>
                      <w:trHeight w:val="1362"/>
                    </w:trPr>
                    <w:tc>
                      <w:tcPr>
                        <w:tcW w:w="775" w:type="dxa"/>
                      </w:tcPr>
                      <w:p>
                        <w:pPr>
                          <w:pStyle w:val="TableParagraph"/>
                          <w:rPr>
                            <w:sz w:val="22"/>
                          </w:rPr>
                        </w:pPr>
                      </w:p>
                      <w:p>
                        <w:pPr>
                          <w:pStyle w:val="TableParagraph"/>
                          <w:spacing w:before="7"/>
                          <w:rPr>
                            <w:sz w:val="21"/>
                          </w:rPr>
                        </w:pPr>
                      </w:p>
                      <w:p>
                        <w:pPr>
                          <w:pStyle w:val="TableParagraph"/>
                          <w:ind w:left="9"/>
                          <w:jc w:val="center"/>
                          <w:rPr>
                            <w:rFonts w:ascii="Times New Roman"/>
                            <w:sz w:val="21"/>
                          </w:rPr>
                        </w:pPr>
                        <w:r>
                          <w:rPr>
                            <w:rFonts w:ascii="Times New Roman"/>
                            <w:w w:val="99"/>
                            <w:sz w:val="21"/>
                          </w:rPr>
                          <w:t>4</w:t>
                        </w:r>
                      </w:p>
                    </w:tc>
                    <w:tc>
                      <w:tcPr>
                        <w:tcW w:w="4475" w:type="dxa"/>
                      </w:tcPr>
                      <w:p>
                        <w:pPr>
                          <w:pStyle w:val="TableParagraph"/>
                          <w:spacing w:before="2" w:line="242" w:lineRule="auto"/>
                          <w:ind w:left="107" w:right="157" w:firstLine="420"/>
                          <w:jc w:val="both"/>
                          <w:rPr>
                            <w:sz w:val="21"/>
                          </w:rPr>
                        </w:pPr>
                        <w:r>
                          <w:rPr>
                            <w:w w:val="95"/>
                            <w:sz w:val="21"/>
                          </w:rPr>
                          <w:t>县级以上人民政府应当根据产业结构调整和产业布局优化的要求，引导工业企业入驻工 业园区；新建有污染物排放的工业项目，除在 安全生产等方面有特殊要求的以外，应当进入</w:t>
                        </w:r>
                      </w:p>
                      <w:p>
                        <w:pPr>
                          <w:pStyle w:val="TableParagraph"/>
                          <w:spacing w:line="253" w:lineRule="exact"/>
                          <w:ind w:left="107"/>
                          <w:rPr>
                            <w:sz w:val="21"/>
                          </w:rPr>
                        </w:pPr>
                        <w:r>
                          <w:rPr>
                            <w:sz w:val="21"/>
                          </w:rPr>
                          <w:t>工业园区或者工业集聚区。</w:t>
                        </w:r>
                      </w:p>
                    </w:tc>
                    <w:tc>
                      <w:tcPr>
                        <w:tcW w:w="2394" w:type="dxa"/>
                      </w:tcPr>
                      <w:p>
                        <w:pPr>
                          <w:pStyle w:val="TableParagraph"/>
                          <w:spacing w:before="136" w:line="242" w:lineRule="auto"/>
                          <w:ind w:left="108" w:right="99" w:firstLine="420"/>
                          <w:jc w:val="both"/>
                          <w:rPr>
                            <w:sz w:val="21"/>
                          </w:rPr>
                        </w:pPr>
                        <w:r>
                          <w:rPr>
                            <w:sz w:val="21"/>
                          </w:rPr>
                          <w:t>符合。本项目为新建项目，位于山东宁津经济开发区，属于工业园区。</w:t>
                        </w:r>
                      </w:p>
                    </w:tc>
                  </w:tr>
                </w:tbl>
                <w:p>
                  <w:pPr>
                    <w:pStyle w:val="BodyText"/>
                  </w:pPr>
                </w:p>
              </w:txbxContent>
            </v:textbox>
          </v:shape>
        </w:pict>
      </w:r>
    </w:p>
    <w:p>
      <w:pPr>
        <w:spacing w:after="0"/>
        <w:rPr>
          <w:sz w:val="2"/>
          <w:szCs w:val="2"/>
        </w:rPr>
        <w:sectPr>
          <w:footerReference w:type="default" r:id="rId14"/>
          <w:pgSz w:w="11910" w:h="16840"/>
          <w:pgMar w:top="1420" w:right="1119" w:bottom="1120" w:left="1120" w:header="0" w:footer="939" w:gutter="0"/>
          <w:pgNumType w:start="10"/>
          <w:cols w:num="1" w:space="720"/>
        </w:sect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113"/>
        <w:gridCol w:w="954"/>
        <w:gridCol w:w="5144"/>
        <w:gridCol w:w="1546"/>
        <w:gridCol w:w="113"/>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551"/>
        </w:trPr>
        <w:tc>
          <w:tcPr>
            <w:tcW w:w="1168" w:type="dxa"/>
            <w:vMerge w:val="restart"/>
          </w:tcPr>
          <w:p>
            <w:pPr>
              <w:pStyle w:val="TableParagraph"/>
              <w:rPr>
                <w:rFonts w:ascii="Times New Roman"/>
                <w:sz w:val="20"/>
              </w:rPr>
            </w:pPr>
          </w:p>
        </w:tc>
        <w:tc>
          <w:tcPr>
            <w:tcW w:w="7870" w:type="dxa"/>
            <w:gridSpan w:val="5"/>
            <w:tcBorders>
              <w:bottom w:val="single" w:sz="4" w:space="0" w:color="000000"/>
            </w:tcBorders>
          </w:tcPr>
          <w:p>
            <w:pPr>
              <w:pStyle w:val="TableParagraph"/>
              <w:spacing w:before="3" w:line="362" w:lineRule="auto"/>
              <w:ind w:left="107" w:right="87" w:firstLine="480"/>
              <w:rPr>
                <w:b/>
                <w:sz w:val="24"/>
              </w:rPr>
            </w:pPr>
            <w:r>
              <w:rPr>
                <w:b/>
                <w:w w:val="95"/>
                <w:sz w:val="24"/>
              </w:rPr>
              <w:t>（</w:t>
            </w:r>
            <w:r>
              <w:rPr>
                <w:rFonts w:ascii="Times New Roman" w:eastAsia="Times New Roman" w:hAnsi="Times New Roman"/>
                <w:b/>
                <w:w w:val="95"/>
                <w:sz w:val="24"/>
              </w:rPr>
              <w:t>4</w:t>
            </w:r>
            <w:r>
              <w:rPr>
                <w:b/>
                <w:w w:val="95"/>
                <w:sz w:val="24"/>
              </w:rPr>
              <w:t>）与《德州市新一轮“四减四增”三年行动方案》（</w:t>
            </w:r>
            <w:r>
              <w:rPr>
                <w:rFonts w:ascii="Times New Roman" w:eastAsia="Times New Roman" w:hAnsi="Times New Roman"/>
                <w:b/>
                <w:w w:val="95"/>
                <w:sz w:val="24"/>
              </w:rPr>
              <w:t xml:space="preserve">2021-2023  </w:t>
            </w:r>
            <w:r>
              <w:rPr>
                <w:b/>
                <w:sz w:val="24"/>
              </w:rPr>
              <w:t>年）符合情况分析</w:t>
            </w:r>
          </w:p>
          <w:p>
            <w:pPr>
              <w:pStyle w:val="TableParagraph"/>
              <w:tabs>
                <w:tab w:val="left" w:pos="587"/>
              </w:tabs>
              <w:spacing w:before="2"/>
              <w:ind w:left="-45"/>
              <w:rPr>
                <w:b/>
                <w:sz w:val="24"/>
              </w:rPr>
            </w:pPr>
            <w:r>
              <w:rPr>
                <w:b/>
                <w:sz w:val="24"/>
              </w:rPr>
              <w:t>表</w:t>
            </w:r>
            <w:r>
              <w:rPr>
                <w:b/>
                <w:spacing w:val="-62"/>
                <w:sz w:val="24"/>
              </w:rPr>
              <w:t xml:space="preserve"> </w:t>
            </w:r>
            <w:r>
              <w:rPr>
                <w:rFonts w:ascii="Times New Roman" w:eastAsia="Times New Roman" w:hAnsi="Times New Roman"/>
                <w:b/>
                <w:sz w:val="24"/>
              </w:rPr>
              <w:t>8</w:t>
            </w:r>
            <w:r>
              <w:rPr>
                <w:rFonts w:ascii="Times New Roman" w:eastAsia="Times New Roman" w:hAnsi="Times New Roman"/>
                <w:b/>
                <w:sz w:val="24"/>
              </w:rPr>
              <w:tab/>
            </w:r>
            <w:r>
              <w:rPr>
                <w:b/>
                <w:sz w:val="24"/>
              </w:rPr>
              <w:t>与《德州市新一轮“四减四增”三年行动方案》（</w:t>
            </w:r>
            <w:r>
              <w:rPr>
                <w:rFonts w:ascii="Times New Roman" w:eastAsia="Times New Roman" w:hAnsi="Times New Roman"/>
                <w:b/>
                <w:sz w:val="24"/>
              </w:rPr>
              <w:t>2021-2023</w:t>
            </w:r>
            <w:r>
              <w:rPr>
                <w:rFonts w:ascii="Times New Roman" w:eastAsia="Times New Roman" w:hAnsi="Times New Roman"/>
                <w:b/>
                <w:spacing w:val="-10"/>
                <w:sz w:val="24"/>
              </w:rPr>
              <w:t xml:space="preserve"> </w:t>
            </w:r>
            <w:r>
              <w:rPr>
                <w:b/>
                <w:sz w:val="24"/>
              </w:rPr>
              <w:t>年）符</w:t>
            </w:r>
          </w:p>
          <w:p>
            <w:pPr>
              <w:pStyle w:val="TableParagraph"/>
              <w:spacing w:before="5" w:line="285" w:lineRule="exact"/>
              <w:ind w:left="3330"/>
              <w:rPr>
                <w:b/>
                <w:sz w:val="24"/>
              </w:rPr>
            </w:pPr>
            <w:r>
              <w:rPr>
                <w:b/>
                <w:sz w:val="24"/>
              </w:rPr>
              <w:t>合性分析表</w:t>
            </w:r>
          </w:p>
        </w:tc>
      </w:tr>
      <w:tr>
        <w:tblPrEx>
          <w:tblW w:w="0" w:type="auto"/>
          <w:tblInd w:w="324" w:type="dxa"/>
          <w:tblLayout w:type="fixed"/>
          <w:tblCellMar>
            <w:top w:w="0" w:type="dxa"/>
            <w:left w:w="0" w:type="dxa"/>
            <w:bottom w:w="0" w:type="dxa"/>
            <w:right w:w="0" w:type="dxa"/>
          </w:tblCellMar>
        </w:tblPrEx>
        <w:trPr>
          <w:trHeight w:val="535"/>
        </w:trPr>
        <w:tc>
          <w:tcPr>
            <w:tcW w:w="1168"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0"/>
              </w:rPr>
            </w:pPr>
          </w:p>
        </w:tc>
        <w:tc>
          <w:tcPr>
            <w:tcW w:w="954" w:type="dxa"/>
            <w:tcBorders>
              <w:top w:val="single" w:sz="4" w:space="0" w:color="000000"/>
              <w:left w:val="single" w:sz="4" w:space="0" w:color="000000"/>
              <w:bottom w:val="single" w:sz="4" w:space="0" w:color="000000"/>
              <w:right w:val="single" w:sz="4" w:space="0" w:color="000000"/>
            </w:tcBorders>
          </w:tcPr>
          <w:p>
            <w:pPr>
              <w:pStyle w:val="TableParagraph"/>
              <w:spacing w:before="132"/>
              <w:ind w:left="270"/>
              <w:rPr>
                <w:b/>
                <w:sz w:val="21"/>
              </w:rPr>
            </w:pPr>
            <w:r>
              <w:rPr>
                <w:b/>
                <w:sz w:val="21"/>
              </w:rPr>
              <w:t>分类</w:t>
            </w:r>
          </w:p>
        </w:tc>
        <w:tc>
          <w:tcPr>
            <w:tcW w:w="5144" w:type="dxa"/>
            <w:tcBorders>
              <w:top w:val="single" w:sz="4" w:space="0" w:color="000000"/>
              <w:left w:val="single" w:sz="4" w:space="0" w:color="000000"/>
              <w:bottom w:val="single" w:sz="4" w:space="0" w:color="000000"/>
              <w:right w:val="single" w:sz="4" w:space="0" w:color="000000"/>
            </w:tcBorders>
          </w:tcPr>
          <w:p>
            <w:pPr>
              <w:pStyle w:val="TableParagraph"/>
              <w:spacing w:before="132"/>
              <w:ind w:left="2134" w:right="2115"/>
              <w:jc w:val="center"/>
              <w:rPr>
                <w:b/>
                <w:sz w:val="21"/>
              </w:rPr>
            </w:pPr>
            <w:r>
              <w:rPr>
                <w:b/>
                <w:sz w:val="21"/>
              </w:rPr>
              <w:t>文件要求</w:t>
            </w:r>
          </w:p>
        </w:tc>
        <w:tc>
          <w:tcPr>
            <w:tcW w:w="1546"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229" w:right="211"/>
              <w:jc w:val="center"/>
              <w:rPr>
                <w:b/>
                <w:sz w:val="21"/>
              </w:rPr>
            </w:pPr>
            <w:r>
              <w:rPr>
                <w:b/>
                <w:sz w:val="21"/>
              </w:rPr>
              <w:t>项目符合性</w:t>
            </w:r>
          </w:p>
          <w:p>
            <w:pPr>
              <w:pStyle w:val="TableParagraph"/>
              <w:spacing w:before="4" w:line="246" w:lineRule="exact"/>
              <w:ind w:left="227" w:right="211"/>
              <w:jc w:val="center"/>
              <w:rPr>
                <w:b/>
                <w:sz w:val="21"/>
              </w:rPr>
            </w:pPr>
            <w:r>
              <w:rPr>
                <w:b/>
                <w:sz w:val="21"/>
              </w:rPr>
              <w:t>分析</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416"/>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7644" w:type="dxa"/>
            <w:gridSpan w:val="3"/>
            <w:tcBorders>
              <w:top w:val="single" w:sz="4" w:space="0" w:color="000000"/>
              <w:left w:val="single" w:sz="4" w:space="0" w:color="000000"/>
              <w:bottom w:val="single" w:sz="4" w:space="0" w:color="000000"/>
              <w:right w:val="single" w:sz="4" w:space="0" w:color="000000"/>
            </w:tcBorders>
          </w:tcPr>
          <w:p>
            <w:pPr>
              <w:pStyle w:val="TableParagraph"/>
              <w:spacing w:before="71"/>
              <w:ind w:left="2752" w:right="2732"/>
              <w:jc w:val="center"/>
              <w:rPr>
                <w:b/>
                <w:sz w:val="21"/>
              </w:rPr>
            </w:pPr>
            <w:r>
              <w:rPr>
                <w:b/>
                <w:sz w:val="21"/>
              </w:rPr>
              <w:t>二、深入调整产业结构</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4074"/>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54"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7"/>
              <w:rPr>
                <w:sz w:val="20"/>
              </w:rPr>
            </w:pPr>
          </w:p>
          <w:p>
            <w:pPr>
              <w:pStyle w:val="TableParagraph"/>
              <w:spacing w:line="242" w:lineRule="auto"/>
              <w:ind w:left="167" w:right="145"/>
              <w:jc w:val="both"/>
              <w:rPr>
                <w:sz w:val="21"/>
              </w:rPr>
            </w:pPr>
            <w:r>
              <w:rPr>
                <w:sz w:val="21"/>
              </w:rPr>
              <w:t>（三） 淘汰低效落后产能</w:t>
            </w:r>
          </w:p>
        </w:tc>
        <w:tc>
          <w:tcPr>
            <w:tcW w:w="514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89" w:firstLine="420"/>
              <w:rPr>
                <w:sz w:val="21"/>
              </w:rPr>
            </w:pPr>
            <w:r>
              <w:rPr>
                <w:sz w:val="21"/>
              </w:rPr>
              <w:t xml:space="preserve">根据省部署要求，依据安全、环保、技术、能 </w:t>
            </w:r>
            <w:r>
              <w:rPr>
                <w:w w:val="95"/>
                <w:sz w:val="21"/>
              </w:rPr>
              <w:t xml:space="preserve">耗、效益标准，以钢铁、地炼、煤电、水泥、轮胎、 </w:t>
            </w:r>
            <w:r>
              <w:rPr>
                <w:sz w:val="21"/>
              </w:rPr>
              <w:t>煤炭、化工等行业为重点，分类组织实施转移、压 减、整合、关停任务，加快淘汰低效落后产能；</w:t>
            </w:r>
          </w:p>
          <w:p>
            <w:pPr>
              <w:pStyle w:val="TableParagraph"/>
              <w:spacing w:line="242" w:lineRule="auto"/>
              <w:ind w:left="113" w:right="98" w:firstLine="420"/>
              <w:rPr>
                <w:sz w:val="21"/>
              </w:rPr>
            </w:pPr>
            <w:r>
              <w:rPr>
                <w:spacing w:val="-4"/>
                <w:sz w:val="21"/>
              </w:rPr>
              <w:t xml:space="preserve">鼓励支持钢铁企业实施短流程改造，到 </w:t>
            </w:r>
            <w:r>
              <w:rPr>
                <w:rFonts w:ascii="Times New Roman" w:eastAsia="Times New Roman"/>
                <w:sz w:val="21"/>
              </w:rPr>
              <w:t>2025</w:t>
            </w:r>
            <w:r>
              <w:rPr>
                <w:rFonts w:ascii="Times New Roman" w:eastAsia="Times New Roman"/>
                <w:spacing w:val="-17"/>
                <w:sz w:val="21"/>
              </w:rPr>
              <w:t xml:space="preserve"> </w:t>
            </w:r>
            <w:r>
              <w:rPr>
                <w:sz w:val="21"/>
              </w:rPr>
              <w:t xml:space="preserve">年， 钢铁企业完成短流程改造，长流程钢铁产能原则上转移至沿海钢铁基地因国家产业政策调整无法实施的， </w:t>
            </w:r>
            <w:r>
              <w:rPr>
                <w:spacing w:val="-4"/>
                <w:sz w:val="21"/>
              </w:rPr>
              <w:t xml:space="preserve">视情况报省政府同意后作相应调整。到 </w:t>
            </w:r>
            <w:r>
              <w:rPr>
                <w:rFonts w:ascii="Times New Roman" w:eastAsia="Times New Roman"/>
                <w:sz w:val="21"/>
              </w:rPr>
              <w:t>2022</w:t>
            </w:r>
            <w:r>
              <w:rPr>
                <w:rFonts w:ascii="Times New Roman" w:eastAsia="Times New Roman"/>
                <w:spacing w:val="-18"/>
                <w:sz w:val="21"/>
              </w:rPr>
              <w:t xml:space="preserve"> </w:t>
            </w:r>
            <w:r>
              <w:rPr>
                <w:sz w:val="21"/>
              </w:rPr>
              <w:t>年，除特种水泥熟料和化工配套水泥熟料生产线外，</w:t>
            </w:r>
            <w:r>
              <w:rPr>
                <w:rFonts w:ascii="Times New Roman" w:eastAsia="Times New Roman"/>
                <w:sz w:val="21"/>
              </w:rPr>
              <w:t>2500</w:t>
            </w:r>
            <w:r>
              <w:rPr>
                <w:rFonts w:ascii="Times New Roman" w:eastAsia="Times New Roman"/>
                <w:spacing w:val="-13"/>
                <w:sz w:val="21"/>
              </w:rPr>
              <w:t xml:space="preserve"> </w:t>
            </w:r>
            <w:r>
              <w:rPr>
                <w:sz w:val="21"/>
              </w:rPr>
              <w:t>吨</w:t>
            </w:r>
            <w:r>
              <w:rPr>
                <w:rFonts w:ascii="Times New Roman" w:eastAsia="Times New Roman"/>
                <w:sz w:val="21"/>
              </w:rPr>
              <w:t xml:space="preserve">/ </w:t>
            </w:r>
            <w:r>
              <w:rPr>
                <w:spacing w:val="-3"/>
                <w:sz w:val="21"/>
              </w:rPr>
              <w:t xml:space="preserve">日以下的水泥熟料生产线全部整合退出。到 </w:t>
            </w:r>
            <w:r>
              <w:rPr>
                <w:rFonts w:ascii="Times New Roman" w:eastAsia="Times New Roman"/>
                <w:sz w:val="21"/>
              </w:rPr>
              <w:t>2022</w:t>
            </w:r>
            <w:r>
              <w:rPr>
                <w:rFonts w:ascii="Times New Roman" w:eastAsia="Times New Roman"/>
                <w:spacing w:val="-18"/>
                <w:sz w:val="21"/>
              </w:rPr>
              <w:t xml:space="preserve"> </w:t>
            </w:r>
            <w:r>
              <w:rPr>
                <w:sz w:val="21"/>
              </w:rPr>
              <w:t>年，</w:t>
            </w:r>
          </w:p>
          <w:p>
            <w:pPr>
              <w:pStyle w:val="TableParagraph"/>
              <w:spacing w:line="242" w:lineRule="auto"/>
              <w:ind w:left="113" w:right="96"/>
              <w:jc w:val="both"/>
              <w:rPr>
                <w:sz w:val="21"/>
              </w:rPr>
            </w:pPr>
            <w:r>
              <w:rPr>
                <w:spacing w:val="-19"/>
                <w:sz w:val="21"/>
              </w:rPr>
              <w:t xml:space="preserve">直径 </w:t>
            </w:r>
            <w:r>
              <w:rPr>
                <w:rFonts w:ascii="Times New Roman" w:eastAsia="Times New Roman"/>
                <w:sz w:val="21"/>
              </w:rPr>
              <w:t>3.2</w:t>
            </w:r>
            <w:r>
              <w:rPr>
                <w:rFonts w:ascii="Times New Roman" w:eastAsia="Times New Roman"/>
                <w:spacing w:val="-13"/>
                <w:sz w:val="21"/>
              </w:rPr>
              <w:t xml:space="preserve"> </w:t>
            </w:r>
            <w:r>
              <w:rPr>
                <w:sz w:val="21"/>
              </w:rPr>
              <w:t>米及以下水泥磨机全部整合退出。逾期未完成产能置换的水泥熟料生产线和水泥磨机，直接关停</w:t>
            </w:r>
            <w:r>
              <w:rPr>
                <w:spacing w:val="-12"/>
                <w:sz w:val="21"/>
              </w:rPr>
              <w:t xml:space="preserve">退出。到 </w:t>
            </w:r>
            <w:r>
              <w:rPr>
                <w:rFonts w:ascii="Times New Roman" w:eastAsia="Times New Roman"/>
                <w:sz w:val="21"/>
              </w:rPr>
              <w:t>2022</w:t>
            </w:r>
            <w:r>
              <w:rPr>
                <w:rFonts w:ascii="Times New Roman" w:eastAsia="Times New Roman"/>
                <w:spacing w:val="-16"/>
                <w:sz w:val="21"/>
              </w:rPr>
              <w:t xml:space="preserve"> </w:t>
            </w:r>
            <w:r>
              <w:rPr>
                <w:sz w:val="21"/>
              </w:rPr>
              <w:t>年，淘汰不能实现密闭式自动投料轮胎</w:t>
            </w:r>
          </w:p>
          <w:p>
            <w:pPr>
              <w:pStyle w:val="TableParagraph"/>
              <w:spacing w:before="2" w:line="270" w:lineRule="atLeast"/>
              <w:ind w:left="113" w:right="189"/>
              <w:rPr>
                <w:sz w:val="21"/>
              </w:rPr>
            </w:pPr>
            <w:r>
              <w:rPr>
                <w:w w:val="95"/>
                <w:sz w:val="21"/>
              </w:rPr>
              <w:t xml:space="preserve">企业的炼胶机及不能实现充氮工艺的子午胎行业硫化 </w:t>
            </w:r>
            <w:r>
              <w:rPr>
                <w:sz w:val="21"/>
              </w:rPr>
              <w:t>设备。</w:t>
            </w:r>
          </w:p>
        </w:tc>
        <w:tc>
          <w:tcPr>
            <w:tcW w:w="154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7"/>
              <w:rPr>
                <w:sz w:val="15"/>
              </w:rPr>
            </w:pPr>
          </w:p>
          <w:p>
            <w:pPr>
              <w:pStyle w:val="TableParagraph"/>
              <w:spacing w:line="242" w:lineRule="auto"/>
              <w:ind w:left="112" w:right="161" w:firstLine="420"/>
              <w:rPr>
                <w:sz w:val="21"/>
              </w:rPr>
            </w:pPr>
            <w:r>
              <w:rPr>
                <w:spacing w:val="-4"/>
                <w:sz w:val="21"/>
              </w:rPr>
              <w:t>符合。本</w:t>
            </w:r>
            <w:r>
              <w:rPr>
                <w:spacing w:val="-2"/>
                <w:sz w:val="21"/>
              </w:rPr>
              <w:t>项目属于塑料</w:t>
            </w:r>
            <w:r>
              <w:rPr>
                <w:spacing w:val="-3"/>
                <w:sz w:val="21"/>
              </w:rPr>
              <w:t>板材项目，为</w:t>
            </w:r>
            <w:r>
              <w:rPr>
                <w:spacing w:val="-2"/>
                <w:sz w:val="21"/>
              </w:rPr>
              <w:t>新建项目，还未建设，目前正在办理环评</w:t>
            </w:r>
            <w:r>
              <w:rPr>
                <w:spacing w:val="-3"/>
                <w:sz w:val="21"/>
              </w:rPr>
              <w:t>手续，不属于</w:t>
            </w:r>
            <w:r>
              <w:rPr>
                <w:sz w:val="21"/>
              </w:rPr>
              <w:t xml:space="preserve">左侧所列行 </w:t>
            </w:r>
            <w:r>
              <w:rPr>
                <w:spacing w:val="-3"/>
                <w:sz w:val="21"/>
              </w:rPr>
              <w:t>业；不涉及左</w:t>
            </w:r>
            <w:r>
              <w:rPr>
                <w:spacing w:val="-2"/>
                <w:sz w:val="21"/>
              </w:rPr>
              <w:t>侧淘汰设备； 不属于“散乱</w:t>
            </w:r>
            <w:r>
              <w:rPr>
                <w:sz w:val="21"/>
              </w:rPr>
              <w:t>污”企业。</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624"/>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54" w:type="dxa"/>
            <w:vMerge/>
            <w:tcBorders>
              <w:top w:val="nil"/>
              <w:left w:val="single" w:sz="4" w:space="0" w:color="000000"/>
              <w:bottom w:val="single" w:sz="4" w:space="0" w:color="000000"/>
              <w:right w:val="single" w:sz="4" w:space="0" w:color="000000"/>
            </w:tcBorders>
          </w:tcPr>
          <w:p>
            <w:pPr>
              <w:rPr>
                <w:sz w:val="2"/>
                <w:szCs w:val="2"/>
              </w:rPr>
            </w:pPr>
          </w:p>
        </w:tc>
        <w:tc>
          <w:tcPr>
            <w:tcW w:w="514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89" w:firstLine="420"/>
              <w:rPr>
                <w:sz w:val="21"/>
              </w:rPr>
            </w:pPr>
            <w:r>
              <w:rPr>
                <w:sz w:val="21"/>
              </w:rPr>
              <w:t xml:space="preserve">实施“散乱污”企业动态清零，按照“发现一 </w:t>
            </w:r>
            <w:r>
              <w:rPr>
                <w:w w:val="95"/>
                <w:sz w:val="21"/>
              </w:rPr>
              <w:t>起、处置一起”的原则，实施分类整治。各县（市、 区）要制定实施方案，重点围绕再生橡胶、废旧塑料 再生、砖瓦、石灰、石膏等行业，对生产工艺装备进 行筛查，按照有关法律法规和程序要求，推动低效落</w:t>
            </w:r>
          </w:p>
          <w:p>
            <w:pPr>
              <w:pStyle w:val="TableParagraph"/>
              <w:spacing w:line="246" w:lineRule="exact"/>
              <w:ind w:left="113"/>
              <w:rPr>
                <w:sz w:val="21"/>
              </w:rPr>
            </w:pPr>
            <w:r>
              <w:rPr>
                <w:sz w:val="21"/>
              </w:rPr>
              <w:t>后产能退出。</w:t>
            </w:r>
          </w:p>
        </w:tc>
        <w:tc>
          <w:tcPr>
            <w:tcW w:w="1546"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164"/>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54"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7"/>
              <w:rPr>
                <w:sz w:val="18"/>
              </w:rPr>
            </w:pPr>
          </w:p>
          <w:p>
            <w:pPr>
              <w:pStyle w:val="TableParagraph"/>
              <w:spacing w:line="242" w:lineRule="auto"/>
              <w:ind w:left="167" w:right="145" w:hanging="3"/>
              <w:jc w:val="center"/>
              <w:rPr>
                <w:sz w:val="21"/>
              </w:rPr>
            </w:pPr>
            <w:r>
              <w:rPr>
                <w:sz w:val="21"/>
              </w:rPr>
              <w:t>（四） 严控重点行业新增产能</w:t>
            </w:r>
          </w:p>
        </w:tc>
        <w:tc>
          <w:tcPr>
            <w:tcW w:w="5144"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22"/>
              </w:rPr>
            </w:pPr>
          </w:p>
          <w:p>
            <w:pPr>
              <w:pStyle w:val="TableParagraph"/>
              <w:spacing w:line="242" w:lineRule="auto"/>
              <w:ind w:left="113" w:right="189" w:firstLine="420"/>
              <w:rPr>
                <w:sz w:val="21"/>
              </w:rPr>
            </w:pPr>
            <w:r>
              <w:rPr>
                <w:w w:val="95"/>
                <w:sz w:val="21"/>
              </w:rPr>
              <w:t xml:space="preserve">重大项目建设，必须首先满足环境质量“只能更 好，不能变坏”的底线，严格落实污染物排放“减量 </w:t>
            </w:r>
            <w:r>
              <w:rPr>
                <w:sz w:val="21"/>
              </w:rPr>
              <w:t>替代是原则，等量替代是例外”的总量控制刚性要 求。</w:t>
            </w:r>
          </w:p>
        </w:tc>
        <w:tc>
          <w:tcPr>
            <w:tcW w:w="154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63" w:firstLine="420"/>
              <w:jc w:val="both"/>
              <w:rPr>
                <w:sz w:val="21"/>
              </w:rPr>
            </w:pPr>
            <w:r>
              <w:rPr>
                <w:sz w:val="21"/>
              </w:rPr>
              <w:t>符合。本项目不属于重大项目，已按双倍替代原则取得当地总量控制指标，对周围环境影响</w:t>
            </w:r>
          </w:p>
          <w:p>
            <w:pPr>
              <w:pStyle w:val="TableParagraph"/>
              <w:spacing w:line="241" w:lineRule="exact"/>
              <w:ind w:left="112"/>
              <w:rPr>
                <w:sz w:val="21"/>
              </w:rPr>
            </w:pPr>
            <w:r>
              <w:rPr>
                <w:sz w:val="21"/>
              </w:rPr>
              <w:t>较小。</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614"/>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54" w:type="dxa"/>
            <w:vMerge/>
            <w:tcBorders>
              <w:top w:val="nil"/>
              <w:left w:val="single" w:sz="4" w:space="0" w:color="000000"/>
              <w:bottom w:val="thickThinMediumGap" w:sz="4" w:space="0" w:color="000000"/>
              <w:right w:val="single" w:sz="4" w:space="0" w:color="000000"/>
            </w:tcBorders>
          </w:tcPr>
          <w:p>
            <w:pPr>
              <w:rPr>
                <w:sz w:val="2"/>
                <w:szCs w:val="2"/>
              </w:rPr>
            </w:pPr>
          </w:p>
        </w:tc>
        <w:tc>
          <w:tcPr>
            <w:tcW w:w="5144" w:type="dxa"/>
            <w:tcBorders>
              <w:top w:val="single" w:sz="4" w:space="0" w:color="000000"/>
              <w:left w:val="single" w:sz="4" w:space="0" w:color="000000"/>
              <w:bottom w:val="single" w:sz="4" w:space="0" w:color="000000"/>
              <w:right w:val="single" w:sz="4" w:space="0" w:color="000000"/>
            </w:tcBorders>
          </w:tcPr>
          <w:p>
            <w:pPr>
              <w:pStyle w:val="TableParagraph"/>
              <w:spacing w:line="259" w:lineRule="exact"/>
              <w:ind w:left="533"/>
              <w:rPr>
                <w:sz w:val="21"/>
              </w:rPr>
            </w:pPr>
            <w:r>
              <w:rPr>
                <w:sz w:val="21"/>
              </w:rPr>
              <w:t>按照国家相关产业政策，深入实施“四上四</w:t>
            </w:r>
          </w:p>
          <w:p>
            <w:pPr>
              <w:pStyle w:val="TableParagraph"/>
              <w:spacing w:before="2" w:line="242" w:lineRule="auto"/>
              <w:ind w:left="113" w:right="189"/>
              <w:rPr>
                <w:sz w:val="21"/>
              </w:rPr>
            </w:pPr>
            <w:r>
              <w:rPr>
                <w:w w:val="95"/>
                <w:sz w:val="21"/>
              </w:rPr>
              <w:t xml:space="preserve">压”，坚持“上新压旧”“上大压小”“上高压低” “上整压散”。对钢铁、地炼、焦化、煤电、水泥、 </w:t>
            </w:r>
            <w:r>
              <w:rPr>
                <w:sz w:val="21"/>
              </w:rPr>
              <w:t xml:space="preserve">轮胎、平板玻璃等重点行业，严格执行产能置换要 </w:t>
            </w:r>
            <w:r>
              <w:rPr>
                <w:w w:val="95"/>
                <w:sz w:val="21"/>
              </w:rPr>
              <w:t>求。严格执行国家煤化工、铁合金等行业产能控制或</w:t>
            </w:r>
          </w:p>
          <w:p>
            <w:pPr>
              <w:pStyle w:val="TableParagraph"/>
              <w:spacing w:before="2" w:line="243" w:lineRule="exact"/>
              <w:ind w:left="113"/>
              <w:rPr>
                <w:sz w:val="21"/>
              </w:rPr>
            </w:pPr>
            <w:r>
              <w:rPr>
                <w:sz w:val="21"/>
              </w:rPr>
              <w:t>产能置换办法。</w:t>
            </w:r>
          </w:p>
        </w:tc>
        <w:tc>
          <w:tcPr>
            <w:tcW w:w="1546"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spacing w:before="163" w:line="242" w:lineRule="auto"/>
              <w:ind w:left="112" w:right="91" w:firstLine="420"/>
              <w:jc w:val="both"/>
              <w:rPr>
                <w:sz w:val="21"/>
              </w:rPr>
            </w:pPr>
            <w:r>
              <w:rPr>
                <w:spacing w:val="14"/>
                <w:sz w:val="21"/>
              </w:rPr>
              <w:t>符合。本</w:t>
            </w:r>
            <w:r>
              <w:rPr>
                <w:spacing w:val="9"/>
                <w:sz w:val="21"/>
              </w:rPr>
              <w:t xml:space="preserve">项目不属于左侧所列行业； </w:t>
            </w:r>
            <w:r>
              <w:rPr>
                <w:spacing w:val="-21"/>
                <w:sz w:val="21"/>
              </w:rPr>
              <w:t>不 属 于 “ 两</w:t>
            </w:r>
            <w:r>
              <w:rPr>
                <w:sz w:val="21"/>
              </w:rPr>
              <w:t>高”项目。</w:t>
            </w: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081"/>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954" w:type="dxa"/>
            <w:vMerge/>
            <w:tcBorders>
              <w:top w:val="nil"/>
              <w:left w:val="single" w:sz="4" w:space="0" w:color="000000"/>
              <w:bottom w:val="thickThinMediumGap" w:sz="4" w:space="0" w:color="000000"/>
              <w:right w:val="single" w:sz="4" w:space="0" w:color="000000"/>
            </w:tcBorders>
          </w:tcPr>
          <w:p>
            <w:pPr>
              <w:rPr>
                <w:sz w:val="2"/>
                <w:szCs w:val="2"/>
              </w:rPr>
            </w:pPr>
          </w:p>
        </w:tc>
        <w:tc>
          <w:tcPr>
            <w:tcW w:w="5144"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3" w:right="189" w:firstLine="420"/>
              <w:rPr>
                <w:sz w:val="21"/>
              </w:rPr>
            </w:pPr>
            <w:r>
              <w:rPr>
                <w:w w:val="95"/>
                <w:sz w:val="21"/>
              </w:rPr>
              <w:t xml:space="preserve">“两高”项目建设做到产能减量、能耗减量、煤 </w:t>
            </w:r>
            <w:r>
              <w:rPr>
                <w:sz w:val="21"/>
              </w:rPr>
              <w:t xml:space="preserve">炭减量、碳排放减量和常规污染物减量等“五个减 </w:t>
            </w:r>
            <w:r>
              <w:rPr>
                <w:w w:val="95"/>
                <w:sz w:val="21"/>
              </w:rPr>
              <w:t>量”，新建项目要按照规定实施减量替代，不符合要</w:t>
            </w:r>
          </w:p>
          <w:p>
            <w:pPr>
              <w:pStyle w:val="TableParagraph"/>
              <w:spacing w:line="254" w:lineRule="exact"/>
              <w:ind w:left="113"/>
              <w:rPr>
                <w:sz w:val="21"/>
              </w:rPr>
            </w:pPr>
            <w:r>
              <w:rPr>
                <w:sz w:val="21"/>
              </w:rPr>
              <w:t>求的高耗能、高排放项目要坚决拿下来。</w:t>
            </w:r>
          </w:p>
        </w:tc>
        <w:tc>
          <w:tcPr>
            <w:tcW w:w="1546"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bl>
    <w:p>
      <w:pPr>
        <w:spacing w:after="0"/>
        <w:rPr>
          <w:sz w:val="2"/>
          <w:szCs w:val="2"/>
        </w:rPr>
        <w:sectPr>
          <w:footerReference w:type="default" r:id="rId15"/>
          <w:pgSz w:w="11910" w:h="16840"/>
          <w:pgMar w:top="1420" w:right="1119" w:bottom="1120" w:left="1120" w:header="0" w:footer="939" w:gutter="0"/>
          <w:pgNumType w:start="11"/>
          <w:cols w:num="1" w:space="720"/>
        </w:sect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113"/>
        <w:gridCol w:w="846"/>
        <w:gridCol w:w="108"/>
        <w:gridCol w:w="4571"/>
        <w:gridCol w:w="573"/>
        <w:gridCol w:w="1546"/>
        <w:gridCol w:w="113"/>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02"/>
        </w:trPr>
        <w:tc>
          <w:tcPr>
            <w:tcW w:w="1168"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954"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5144" w:type="dxa"/>
            <w:gridSpan w:val="2"/>
            <w:tcBorders>
              <w:top w:val="single" w:sz="12" w:space="0" w:color="000000"/>
              <w:left w:val="single" w:sz="4" w:space="0" w:color="000000"/>
              <w:bottom w:val="single" w:sz="4" w:space="0" w:color="000000"/>
              <w:right w:val="single" w:sz="4" w:space="0" w:color="000000"/>
            </w:tcBorders>
          </w:tcPr>
          <w:p>
            <w:pPr>
              <w:pStyle w:val="TableParagraph"/>
              <w:spacing w:before="82" w:line="242" w:lineRule="auto"/>
              <w:ind w:left="113" w:right="189" w:firstLine="420"/>
              <w:rPr>
                <w:sz w:val="21"/>
              </w:rPr>
            </w:pPr>
            <w:r>
              <w:rPr>
                <w:w w:val="95"/>
                <w:sz w:val="21"/>
              </w:rPr>
              <w:t xml:space="preserve">严禁新增水泥熟料、粉磨产能，严禁省外水泥熟 </w:t>
            </w:r>
            <w:r>
              <w:rPr>
                <w:sz w:val="21"/>
              </w:rPr>
              <w:t>料、粉磨、焦化产能转入我市。</w:t>
            </w:r>
          </w:p>
        </w:tc>
        <w:tc>
          <w:tcPr>
            <w:tcW w:w="1546"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942"/>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954"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21"/>
              </w:rPr>
            </w:pPr>
          </w:p>
          <w:p>
            <w:pPr>
              <w:pStyle w:val="TableParagraph"/>
              <w:spacing w:before="1" w:line="242" w:lineRule="auto"/>
              <w:ind w:left="167" w:right="145" w:hanging="3"/>
              <w:jc w:val="center"/>
              <w:rPr>
                <w:sz w:val="21"/>
              </w:rPr>
            </w:pPr>
            <w:r>
              <w:rPr>
                <w:sz w:val="21"/>
              </w:rPr>
              <w:t>（五） 推动绿色循环低碳改造</w:t>
            </w:r>
          </w:p>
        </w:tc>
        <w:tc>
          <w:tcPr>
            <w:tcW w:w="514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3" w:line="242" w:lineRule="auto"/>
              <w:ind w:left="113" w:right="189" w:firstLine="420"/>
              <w:jc w:val="both"/>
              <w:rPr>
                <w:sz w:val="21"/>
              </w:rPr>
            </w:pPr>
            <w:r>
              <w:rPr>
                <w:w w:val="95"/>
                <w:sz w:val="21"/>
              </w:rPr>
              <w:t xml:space="preserve">电力、钢铁、建材、有色、石化、化工等重点行 业制定碳达峰目标，按照上级工作部署，推动开展碳 </w:t>
            </w:r>
            <w:r>
              <w:rPr>
                <w:sz w:val="21"/>
              </w:rPr>
              <w:t>排放权交易工作，实施减污降碳协同治理。</w:t>
            </w:r>
          </w:p>
        </w:tc>
        <w:tc>
          <w:tcPr>
            <w:tcW w:w="1546" w:type="dxa"/>
            <w:tcBorders>
              <w:top w:val="single" w:sz="4" w:space="0" w:color="000000"/>
              <w:left w:val="single" w:sz="4" w:space="0" w:color="000000"/>
              <w:bottom w:val="single" w:sz="4" w:space="0" w:color="000000"/>
              <w:right w:val="single" w:sz="4" w:space="0" w:color="000000"/>
            </w:tcBorders>
          </w:tcPr>
          <w:p>
            <w:pPr>
              <w:pStyle w:val="TableParagraph"/>
              <w:spacing w:before="63" w:line="242" w:lineRule="auto"/>
              <w:ind w:left="112" w:right="91" w:firstLine="420"/>
              <w:jc w:val="both"/>
              <w:rPr>
                <w:sz w:val="21"/>
              </w:rPr>
            </w:pPr>
            <w:r>
              <w:rPr>
                <w:sz w:val="21"/>
              </w:rPr>
              <w:t>符合。本项目不属于左侧所列行业。</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079"/>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954" w:type="dxa"/>
            <w:gridSpan w:val="2"/>
            <w:vMerge/>
            <w:tcBorders>
              <w:top w:val="nil"/>
              <w:left w:val="single" w:sz="4" w:space="0" w:color="000000"/>
              <w:bottom w:val="single" w:sz="4" w:space="0" w:color="000000"/>
              <w:right w:val="single" w:sz="4" w:space="0" w:color="000000"/>
            </w:tcBorders>
          </w:tcPr>
          <w:p>
            <w:pPr>
              <w:rPr>
                <w:sz w:val="2"/>
                <w:szCs w:val="2"/>
              </w:rPr>
            </w:pPr>
          </w:p>
        </w:tc>
        <w:tc>
          <w:tcPr>
            <w:tcW w:w="5144"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89" w:firstLine="420"/>
              <w:jc w:val="both"/>
              <w:rPr>
                <w:sz w:val="21"/>
              </w:rPr>
            </w:pPr>
            <w:r>
              <w:rPr>
                <w:w w:val="95"/>
                <w:sz w:val="21"/>
              </w:rPr>
              <w:t>将“三线一单”作为综合决策的前提条件，加强 在政策制定、环境准入、园区管理、执法监管等方面 的应用，作为区域资源开发、产业布局和结构调整、</w:t>
            </w:r>
          </w:p>
          <w:p>
            <w:pPr>
              <w:pStyle w:val="TableParagraph"/>
              <w:spacing w:line="245" w:lineRule="exact"/>
              <w:ind w:left="113"/>
              <w:rPr>
                <w:sz w:val="21"/>
              </w:rPr>
            </w:pPr>
            <w:r>
              <w:rPr>
                <w:sz w:val="21"/>
              </w:rPr>
              <w:t>城镇建设、重大项目选址和审批的重要依据。</w:t>
            </w:r>
          </w:p>
        </w:tc>
        <w:tc>
          <w:tcPr>
            <w:tcW w:w="154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61" w:firstLine="420"/>
              <w:jc w:val="both"/>
              <w:rPr>
                <w:sz w:val="21"/>
              </w:rPr>
            </w:pPr>
            <w:r>
              <w:rPr>
                <w:sz w:val="21"/>
              </w:rPr>
              <w:t>符合。本项目符合当地“三线一单”</w:t>
            </w:r>
          </w:p>
          <w:p>
            <w:pPr>
              <w:pStyle w:val="TableParagraph"/>
              <w:spacing w:line="245" w:lineRule="exact"/>
              <w:ind w:left="112"/>
              <w:rPr>
                <w:sz w:val="21"/>
              </w:rPr>
            </w:pPr>
            <w:r>
              <w:rPr>
                <w:sz w:val="21"/>
              </w:rPr>
              <w:t>要求。</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897"/>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954" w:type="dxa"/>
            <w:gridSpan w:val="2"/>
            <w:vMerge/>
            <w:tcBorders>
              <w:top w:val="nil"/>
              <w:left w:val="single" w:sz="4" w:space="0" w:color="000000"/>
              <w:bottom w:val="single" w:sz="4" w:space="0" w:color="000000"/>
              <w:right w:val="single" w:sz="4" w:space="0" w:color="000000"/>
            </w:tcBorders>
          </w:tcPr>
          <w:p>
            <w:pPr>
              <w:rPr>
                <w:sz w:val="2"/>
                <w:szCs w:val="2"/>
              </w:rPr>
            </w:pPr>
          </w:p>
        </w:tc>
        <w:tc>
          <w:tcPr>
            <w:tcW w:w="5144" w:type="dxa"/>
            <w:gridSpan w:val="2"/>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533"/>
              <w:rPr>
                <w:sz w:val="21"/>
              </w:rPr>
            </w:pPr>
            <w:r>
              <w:rPr>
                <w:sz w:val="21"/>
              </w:rPr>
              <w:t>加快城市建成区重污染企业搬迁改造。各县</w:t>
            </w:r>
          </w:p>
          <w:p>
            <w:pPr>
              <w:pStyle w:val="TableParagraph"/>
              <w:spacing w:before="4" w:line="242" w:lineRule="auto"/>
              <w:ind w:left="113" w:right="189"/>
              <w:jc w:val="both"/>
              <w:rPr>
                <w:sz w:val="21"/>
              </w:rPr>
            </w:pPr>
            <w:r>
              <w:rPr>
                <w:w w:val="95"/>
                <w:sz w:val="21"/>
              </w:rPr>
              <w:t>（市、区）组织对城市建成区重污染企业布局情况进 行摸底，制定城市建成区重污染企业搬迁改造或关闭 退出工作计划。已经明确退城的企业，按计划退出城 市建成区；未明确退城的企业，分批实施污染深度治 理改造，实现“有组织排放稳定达标、无组织排放全</w:t>
            </w:r>
          </w:p>
          <w:p>
            <w:pPr>
              <w:pStyle w:val="TableParagraph"/>
              <w:spacing w:before="2" w:line="247" w:lineRule="exact"/>
              <w:ind w:left="113"/>
              <w:rPr>
                <w:sz w:val="21"/>
              </w:rPr>
            </w:pPr>
            <w:r>
              <w:rPr>
                <w:sz w:val="21"/>
              </w:rPr>
              <w:t>流程收集处理、物料运输清洁化”。</w:t>
            </w:r>
          </w:p>
        </w:tc>
        <w:tc>
          <w:tcPr>
            <w:tcW w:w="154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91"/>
              <w:jc w:val="both"/>
              <w:rPr>
                <w:sz w:val="21"/>
              </w:rPr>
            </w:pPr>
            <w:r>
              <w:rPr>
                <w:sz w:val="21"/>
              </w:rPr>
              <w:t>符合。本项目为新建项目， 还未建设，目前正在办理环评手续，不属于城市建成区</w:t>
            </w:r>
          </w:p>
          <w:p>
            <w:pPr>
              <w:pStyle w:val="TableParagraph"/>
              <w:spacing w:line="247" w:lineRule="exact"/>
              <w:ind w:left="112"/>
              <w:rPr>
                <w:sz w:val="21"/>
              </w:rPr>
            </w:pPr>
            <w:r>
              <w:rPr>
                <w:sz w:val="21"/>
              </w:rPr>
              <w:t>重污染企业</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407"/>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7644" w:type="dxa"/>
            <w:gridSpan w:val="5"/>
            <w:tcBorders>
              <w:top w:val="single" w:sz="4" w:space="0" w:color="000000"/>
              <w:left w:val="single" w:sz="4" w:space="0" w:color="000000"/>
              <w:bottom w:val="single" w:sz="4" w:space="0" w:color="000000"/>
              <w:right w:val="single" w:sz="4" w:space="0" w:color="000000"/>
            </w:tcBorders>
          </w:tcPr>
          <w:p>
            <w:pPr>
              <w:pStyle w:val="TableParagraph"/>
              <w:spacing w:before="68"/>
              <w:ind w:left="2752" w:right="2732"/>
              <w:jc w:val="center"/>
              <w:rPr>
                <w:b/>
                <w:sz w:val="21"/>
              </w:rPr>
            </w:pPr>
            <w:r>
              <w:rPr>
                <w:b/>
                <w:sz w:val="21"/>
              </w:rPr>
              <w:t>三、深入调整能源结构</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265"/>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95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6" w:line="242" w:lineRule="auto"/>
              <w:ind w:left="167" w:right="145"/>
              <w:jc w:val="both"/>
              <w:rPr>
                <w:sz w:val="21"/>
              </w:rPr>
            </w:pPr>
            <w:r>
              <w:rPr>
                <w:sz w:val="21"/>
              </w:rPr>
              <w:t>（七） 严控化石能源消费</w:t>
            </w:r>
          </w:p>
        </w:tc>
        <w:tc>
          <w:tcPr>
            <w:tcW w:w="514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6" w:line="242" w:lineRule="auto"/>
              <w:ind w:left="113" w:right="189" w:firstLine="420"/>
              <w:jc w:val="both"/>
              <w:rPr>
                <w:sz w:val="21"/>
              </w:rPr>
            </w:pPr>
            <w:r>
              <w:rPr>
                <w:w w:val="95"/>
                <w:sz w:val="21"/>
              </w:rPr>
              <w:t xml:space="preserve">严控能源消费总量，在满足全社会能源需求的前 提下，持续推进煤炭消费压减，增加清洁能源供给， 加大清洁能源替代力度，进一步控制化石能源消费， </w:t>
            </w:r>
            <w:r>
              <w:rPr>
                <w:sz w:val="21"/>
              </w:rPr>
              <w:t>逐步实现新增能源需求主要由清洁能源供给。</w:t>
            </w:r>
          </w:p>
        </w:tc>
        <w:tc>
          <w:tcPr>
            <w:tcW w:w="154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6"/>
              <w:rPr>
                <w:sz w:val="21"/>
              </w:rPr>
            </w:pPr>
          </w:p>
          <w:p>
            <w:pPr>
              <w:pStyle w:val="TableParagraph"/>
              <w:spacing w:line="242" w:lineRule="auto"/>
              <w:ind w:left="112" w:right="163" w:firstLine="420"/>
              <w:jc w:val="both"/>
              <w:rPr>
                <w:sz w:val="21"/>
              </w:rPr>
            </w:pPr>
            <w:r>
              <w:rPr>
                <w:sz w:val="21"/>
              </w:rPr>
              <w:t>符合。本项目不使用煤炭。</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623"/>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95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
              <w:rPr>
                <w:sz w:val="20"/>
              </w:rPr>
            </w:pPr>
          </w:p>
          <w:p>
            <w:pPr>
              <w:pStyle w:val="TableParagraph"/>
              <w:spacing w:line="242" w:lineRule="auto"/>
              <w:ind w:left="167" w:right="145"/>
              <w:jc w:val="both"/>
              <w:rPr>
                <w:sz w:val="21"/>
              </w:rPr>
            </w:pPr>
            <w:r>
              <w:rPr>
                <w:sz w:val="21"/>
              </w:rPr>
              <w:t>（八） 持续压减煤炭使用</w:t>
            </w:r>
          </w:p>
        </w:tc>
        <w:tc>
          <w:tcPr>
            <w:tcW w:w="5144"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24" w:firstLine="420"/>
              <w:rPr>
                <w:sz w:val="21"/>
              </w:rPr>
            </w:pPr>
            <w:r>
              <w:rPr>
                <w:sz w:val="21"/>
              </w:rPr>
              <w:t xml:space="preserve">持续淘汰落后燃煤机组，在确保电力、热力接续稳定供应的前提下，大力推进单机容量 </w:t>
            </w:r>
            <w:r>
              <w:rPr>
                <w:rFonts w:ascii="Times New Roman" w:eastAsia="Times New Roman" w:hAnsi="Times New Roman"/>
                <w:sz w:val="21"/>
              </w:rPr>
              <w:t xml:space="preserve">30 </w:t>
            </w:r>
            <w:r>
              <w:rPr>
                <w:sz w:val="21"/>
              </w:rPr>
              <w:t>万千瓦以下煤电机组关停整合，严格按照减容量“上大压小”政策规划建设清洁高效煤电机组。</w:t>
            </w:r>
          </w:p>
          <w:p>
            <w:pPr>
              <w:pStyle w:val="TableParagraph"/>
              <w:spacing w:line="270" w:lineRule="atLeast"/>
              <w:ind w:left="113" w:right="129" w:firstLine="420"/>
              <w:rPr>
                <w:sz w:val="21"/>
              </w:rPr>
            </w:pPr>
            <w:r>
              <w:rPr>
                <w:rFonts w:ascii="Times New Roman" w:eastAsia="Times New Roman"/>
                <w:sz w:val="21"/>
              </w:rPr>
              <w:t xml:space="preserve">2021 </w:t>
            </w:r>
            <w:r>
              <w:rPr>
                <w:sz w:val="21"/>
              </w:rPr>
              <w:t xml:space="preserve">年年底完成 </w:t>
            </w:r>
            <w:r>
              <w:rPr>
                <w:rFonts w:ascii="Times New Roman" w:eastAsia="Times New Roman"/>
                <w:sz w:val="21"/>
              </w:rPr>
              <w:t xml:space="preserve">35 </w:t>
            </w:r>
            <w:r>
              <w:rPr>
                <w:sz w:val="21"/>
              </w:rPr>
              <w:t>蒸吨</w:t>
            </w:r>
            <w:r>
              <w:rPr>
                <w:rFonts w:ascii="Times New Roman" w:eastAsia="Times New Roman"/>
                <w:sz w:val="21"/>
              </w:rPr>
              <w:t>/</w:t>
            </w:r>
            <w:r>
              <w:rPr>
                <w:sz w:val="21"/>
              </w:rPr>
              <w:t>小时及以下燃煤锅炉淘汰任务，今后不再批建。</w:t>
            </w:r>
          </w:p>
        </w:tc>
        <w:tc>
          <w:tcPr>
            <w:tcW w:w="1546"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286"/>
        </w:trPr>
        <w:tc>
          <w:tcPr>
            <w:tcW w:w="1168" w:type="dxa"/>
            <w:vMerge/>
            <w:tcBorders>
              <w:top w:val="nil"/>
            </w:tcBorders>
          </w:tcPr>
          <w:p>
            <w:pPr>
              <w:rPr>
                <w:sz w:val="2"/>
                <w:szCs w:val="2"/>
              </w:rPr>
            </w:pPr>
          </w:p>
        </w:tc>
        <w:tc>
          <w:tcPr>
            <w:tcW w:w="7870" w:type="dxa"/>
            <w:gridSpan w:val="7"/>
            <w:tcBorders>
              <w:top w:val="single" w:sz="4" w:space="0" w:color="000000"/>
              <w:bottom w:val="single" w:sz="4" w:space="0" w:color="000000"/>
            </w:tcBorders>
          </w:tcPr>
          <w:p>
            <w:pPr>
              <w:pStyle w:val="TableParagraph"/>
              <w:spacing w:before="112" w:line="364" w:lineRule="auto"/>
              <w:ind w:left="107" w:right="84" w:firstLine="480"/>
              <w:rPr>
                <w:sz w:val="24"/>
              </w:rPr>
            </w:pPr>
            <w:r>
              <w:rPr>
                <w:sz w:val="24"/>
              </w:rPr>
              <w:t>由上表可见，本项目符合《《德州市新一轮“四减四增”三年行动方案》（</w:t>
            </w:r>
            <w:r>
              <w:rPr>
                <w:rFonts w:ascii="Times New Roman" w:eastAsia="Times New Roman" w:hAnsi="Times New Roman"/>
                <w:sz w:val="24"/>
              </w:rPr>
              <w:t xml:space="preserve">2021-2023 </w:t>
            </w:r>
            <w:r>
              <w:rPr>
                <w:sz w:val="24"/>
              </w:rPr>
              <w:t>年）的要求。</w:t>
            </w:r>
          </w:p>
          <w:p>
            <w:pPr>
              <w:pStyle w:val="TableParagraph"/>
              <w:spacing w:line="364" w:lineRule="auto"/>
              <w:ind w:left="107" w:right="87" w:firstLine="480"/>
              <w:rPr>
                <w:b/>
                <w:sz w:val="24"/>
              </w:rPr>
            </w:pPr>
            <w:r>
              <w:rPr>
                <w:b/>
                <w:sz w:val="24"/>
              </w:rPr>
              <w:t>（</w:t>
            </w:r>
            <w:r>
              <w:rPr>
                <w:rFonts w:ascii="Times New Roman" w:eastAsia="Times New Roman"/>
                <w:b/>
                <w:sz w:val="24"/>
              </w:rPr>
              <w:t>5</w:t>
            </w:r>
            <w:r>
              <w:rPr>
                <w:b/>
                <w:sz w:val="24"/>
              </w:rPr>
              <w:t>）与《山东省涉挥发性有机物企业分行业治理指导意见》符合性分析</w:t>
            </w:r>
          </w:p>
          <w:p>
            <w:pPr>
              <w:pStyle w:val="TableParagraph"/>
              <w:tabs>
                <w:tab w:val="left" w:pos="771"/>
              </w:tabs>
              <w:spacing w:line="284" w:lineRule="exact"/>
              <w:ind w:left="140"/>
              <w:rPr>
                <w:b/>
                <w:sz w:val="24"/>
              </w:rPr>
            </w:pPr>
            <w:r>
              <w:rPr>
                <w:b/>
                <w:sz w:val="24"/>
              </w:rPr>
              <w:t>表</w:t>
            </w:r>
            <w:r>
              <w:rPr>
                <w:b/>
                <w:spacing w:val="-62"/>
                <w:sz w:val="24"/>
              </w:rPr>
              <w:t xml:space="preserve"> </w:t>
            </w:r>
            <w:r>
              <w:rPr>
                <w:rFonts w:ascii="Times New Roman" w:eastAsia="Times New Roman"/>
                <w:b/>
                <w:sz w:val="24"/>
              </w:rPr>
              <w:t>9</w:t>
            </w:r>
            <w:r>
              <w:rPr>
                <w:rFonts w:ascii="Times New Roman" w:eastAsia="Times New Roman"/>
                <w:b/>
                <w:sz w:val="24"/>
              </w:rPr>
              <w:tab/>
            </w:r>
            <w:r>
              <w:rPr>
                <w:b/>
                <w:sz w:val="24"/>
              </w:rPr>
              <w:t>《山东省涉挥发性有机物企业分行业治理指导意见》符合性分析</w:t>
            </w:r>
          </w:p>
        </w:tc>
      </w:tr>
      <w:tr>
        <w:tblPrEx>
          <w:tblW w:w="0" w:type="auto"/>
          <w:tblInd w:w="324" w:type="dxa"/>
          <w:tblLayout w:type="fixed"/>
          <w:tblCellMar>
            <w:top w:w="0" w:type="dxa"/>
            <w:left w:w="0" w:type="dxa"/>
            <w:bottom w:w="0" w:type="dxa"/>
            <w:right w:w="0" w:type="dxa"/>
          </w:tblCellMar>
        </w:tblPrEx>
        <w:trPr>
          <w:trHeight w:val="387"/>
        </w:trPr>
        <w:tc>
          <w:tcPr>
            <w:tcW w:w="1168"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0"/>
              </w:rPr>
            </w:pPr>
          </w:p>
        </w:tc>
        <w:tc>
          <w:tcPr>
            <w:tcW w:w="846" w:type="dxa"/>
            <w:tcBorders>
              <w:top w:val="single" w:sz="4" w:space="0" w:color="000000"/>
              <w:left w:val="single" w:sz="4" w:space="0" w:color="000000"/>
              <w:bottom w:val="single" w:sz="4" w:space="0" w:color="000000"/>
              <w:right w:val="single" w:sz="4" w:space="0" w:color="000000"/>
            </w:tcBorders>
          </w:tcPr>
          <w:p>
            <w:pPr>
              <w:pStyle w:val="TableParagraph"/>
              <w:spacing w:before="56"/>
              <w:ind w:left="217"/>
              <w:rPr>
                <w:sz w:val="21"/>
              </w:rPr>
            </w:pPr>
            <w:r>
              <w:rPr>
                <w:sz w:val="21"/>
              </w:rPr>
              <w:t>分类</w:t>
            </w:r>
          </w:p>
        </w:tc>
        <w:tc>
          <w:tcPr>
            <w:tcW w:w="467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6"/>
              <w:ind w:left="1901" w:right="1887"/>
              <w:jc w:val="center"/>
              <w:rPr>
                <w:sz w:val="21"/>
              </w:rPr>
            </w:pPr>
            <w:r>
              <w:rPr>
                <w:sz w:val="21"/>
              </w:rPr>
              <w:t>文件要求</w:t>
            </w:r>
          </w:p>
        </w:tc>
        <w:tc>
          <w:tcPr>
            <w:tcW w:w="21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6"/>
              <w:ind w:left="327"/>
              <w:rPr>
                <w:sz w:val="21"/>
              </w:rPr>
            </w:pPr>
            <w:r>
              <w:rPr>
                <w:sz w:val="21"/>
              </w:rPr>
              <w:t>项目符合性分析</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890"/>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846"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22"/>
              </w:rPr>
            </w:pPr>
          </w:p>
          <w:p>
            <w:pPr>
              <w:pStyle w:val="TableParagraph"/>
              <w:spacing w:line="242" w:lineRule="auto"/>
              <w:ind w:left="111" w:right="93"/>
              <w:jc w:val="both"/>
              <w:rPr>
                <w:sz w:val="21"/>
              </w:rPr>
            </w:pPr>
            <w:r>
              <w:rPr>
                <w:sz w:val="21"/>
              </w:rPr>
              <w:t>（一） 推进源头替代</w:t>
            </w:r>
          </w:p>
        </w:tc>
        <w:tc>
          <w:tcPr>
            <w:tcW w:w="4679"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44"/>
              <w:jc w:val="both"/>
              <w:rPr>
                <w:sz w:val="21"/>
              </w:rPr>
            </w:pPr>
            <w:r>
              <w:rPr>
                <w:w w:val="95"/>
                <w:sz w:val="21"/>
              </w:rPr>
              <w:t xml:space="preserve">通过使用水性、粉末、高固体分、无溶剂、辐射 </w:t>
            </w:r>
            <w:r>
              <w:rPr>
                <w:spacing w:val="-12"/>
                <w:sz w:val="21"/>
              </w:rPr>
              <w:t xml:space="preserve">固化等低 </w:t>
            </w:r>
            <w:r>
              <w:rPr>
                <w:rFonts w:ascii="Times New Roman" w:eastAsia="Times New Roman"/>
                <w:sz w:val="21"/>
              </w:rPr>
              <w:t>VOCs</w:t>
            </w:r>
            <w:r>
              <w:rPr>
                <w:rFonts w:ascii="Times New Roman" w:eastAsia="Times New Roman"/>
                <w:spacing w:val="-14"/>
                <w:sz w:val="21"/>
              </w:rPr>
              <w:t xml:space="preserve"> </w:t>
            </w:r>
            <w:r>
              <w:rPr>
                <w:sz w:val="21"/>
              </w:rPr>
              <w:t>含量的涂料，水性、辐射固化、</w:t>
            </w:r>
            <w:r>
              <w:rPr>
                <w:spacing w:val="-10"/>
                <w:sz w:val="21"/>
              </w:rPr>
              <w:t xml:space="preserve">植物基等低 </w:t>
            </w:r>
            <w:r>
              <w:rPr>
                <w:rFonts w:ascii="Times New Roman" w:eastAsia="Times New Roman"/>
                <w:sz w:val="21"/>
              </w:rPr>
              <w:t>VOCs</w:t>
            </w:r>
            <w:r>
              <w:rPr>
                <w:rFonts w:ascii="Times New Roman" w:eastAsia="Times New Roman"/>
                <w:spacing w:val="-14"/>
                <w:sz w:val="21"/>
              </w:rPr>
              <w:t xml:space="preserve"> </w:t>
            </w:r>
            <w:r>
              <w:rPr>
                <w:sz w:val="21"/>
              </w:rPr>
              <w:t>含量的油墨，水基、热熔、无</w:t>
            </w:r>
            <w:r>
              <w:rPr>
                <w:spacing w:val="-4"/>
                <w:sz w:val="21"/>
              </w:rPr>
              <w:t xml:space="preserve">溶剂、辐射固化、改性、生物降解等低 </w:t>
            </w:r>
            <w:r>
              <w:rPr>
                <w:rFonts w:ascii="Times New Roman" w:eastAsia="Times New Roman"/>
                <w:sz w:val="21"/>
              </w:rPr>
              <w:t>VOCs</w:t>
            </w:r>
            <w:r>
              <w:rPr>
                <w:rFonts w:ascii="Times New Roman" w:eastAsia="Times New Roman"/>
                <w:spacing w:val="-14"/>
                <w:sz w:val="21"/>
              </w:rPr>
              <w:t xml:space="preserve"> </w:t>
            </w:r>
            <w:r>
              <w:rPr>
                <w:sz w:val="21"/>
              </w:rPr>
              <w:t>含</w:t>
            </w:r>
            <w:r>
              <w:rPr>
                <w:spacing w:val="-6"/>
                <w:sz w:val="21"/>
              </w:rPr>
              <w:t xml:space="preserve">量的胶粘剂，以及低 </w:t>
            </w:r>
            <w:r>
              <w:rPr>
                <w:rFonts w:ascii="Times New Roman" w:eastAsia="Times New Roman"/>
                <w:sz w:val="21"/>
              </w:rPr>
              <w:t>VOCs</w:t>
            </w:r>
            <w:r>
              <w:rPr>
                <w:rFonts w:ascii="Times New Roman" w:eastAsia="Times New Roman"/>
                <w:spacing w:val="-14"/>
                <w:sz w:val="21"/>
              </w:rPr>
              <w:t xml:space="preserve"> </w:t>
            </w:r>
            <w:r>
              <w:rPr>
                <w:sz w:val="21"/>
              </w:rPr>
              <w:t>含量、低反应活性的</w:t>
            </w:r>
            <w:r>
              <w:rPr>
                <w:w w:val="95"/>
                <w:sz w:val="21"/>
              </w:rPr>
              <w:t>清洗剂等，替代溶剂型涂料、油墨、胶粘剂、清</w:t>
            </w:r>
          </w:p>
          <w:p>
            <w:pPr>
              <w:pStyle w:val="TableParagraph"/>
              <w:spacing w:line="242" w:lineRule="exact"/>
              <w:ind w:left="113"/>
              <w:jc w:val="both"/>
              <w:rPr>
                <w:sz w:val="21"/>
              </w:rPr>
            </w:pPr>
            <w:r>
              <w:rPr>
                <w:sz w:val="21"/>
              </w:rPr>
              <w:t xml:space="preserve">洗剂等，从源头减少 </w:t>
            </w:r>
            <w:r>
              <w:rPr>
                <w:rFonts w:ascii="Times New Roman" w:eastAsia="Times New Roman"/>
                <w:sz w:val="21"/>
              </w:rPr>
              <w:t xml:space="preserve">VOCs </w:t>
            </w:r>
            <w:r>
              <w:rPr>
                <w:sz w:val="21"/>
              </w:rPr>
              <w:t>产生。</w:t>
            </w:r>
          </w:p>
        </w:tc>
        <w:tc>
          <w:tcPr>
            <w:tcW w:w="2119" w:type="dxa"/>
            <w:gridSpan w:val="2"/>
            <w:vMerge w:val="restart"/>
            <w:tcBorders>
              <w:top w:val="single" w:sz="4" w:space="0" w:color="000000"/>
              <w:left w:val="single" w:sz="4" w:space="0" w:color="000000"/>
              <w:bottom w:val="thickThinMediumGap" w:sz="4" w:space="0" w:color="000000"/>
              <w:right w:val="single" w:sz="4" w:space="0" w:color="000000"/>
            </w:tcBorders>
          </w:tcPr>
          <w:p>
            <w:pPr>
              <w:pStyle w:val="TableParagraph"/>
              <w:spacing w:before="1"/>
              <w:rPr>
                <w:sz w:val="21"/>
              </w:rPr>
            </w:pPr>
          </w:p>
          <w:p>
            <w:pPr>
              <w:pStyle w:val="TableParagraph"/>
              <w:spacing w:before="1" w:line="242" w:lineRule="auto"/>
              <w:ind w:left="111" w:right="106" w:firstLine="201"/>
              <w:rPr>
                <w:sz w:val="21"/>
              </w:rPr>
            </w:pPr>
            <w:r>
              <w:rPr>
                <w:sz w:val="21"/>
              </w:rPr>
              <w:t>符合。本项目涉</w:t>
            </w:r>
            <w:r>
              <w:rPr>
                <w:rFonts w:ascii="Times New Roman" w:eastAsia="Times New Roman"/>
                <w:sz w:val="21"/>
              </w:rPr>
              <w:t xml:space="preserve">VOCs </w:t>
            </w:r>
            <w:r>
              <w:rPr>
                <w:sz w:val="21"/>
              </w:rPr>
              <w:t>物料为聚乙烯颗粒、色母粒，常温下为固态，不露天存放，酒精取用时均通过密闭容器。涉</w:t>
            </w:r>
            <w:r>
              <w:rPr>
                <w:rFonts w:ascii="Times New Roman" w:eastAsia="Times New Roman"/>
                <w:sz w:val="21"/>
              </w:rPr>
              <w:t xml:space="preserve">VOCs </w:t>
            </w:r>
            <w:r>
              <w:rPr>
                <w:sz w:val="21"/>
              </w:rPr>
              <w:t>工序均在密闭车间进行，并配备废气收集处理系统。</w:t>
            </w: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081"/>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846" w:type="dxa"/>
            <w:tcBorders>
              <w:top w:val="single" w:sz="4" w:space="0" w:color="000000"/>
              <w:left w:val="single" w:sz="4" w:space="0" w:color="000000"/>
              <w:bottom w:val="thickThinMediumGap" w:sz="4" w:space="0" w:color="000000"/>
              <w:right w:val="single" w:sz="4" w:space="0" w:color="000000"/>
            </w:tcBorders>
          </w:tcPr>
          <w:p>
            <w:pPr>
              <w:pStyle w:val="TableParagraph"/>
              <w:spacing w:before="126" w:line="242" w:lineRule="auto"/>
              <w:ind w:left="111" w:right="93"/>
              <w:jc w:val="both"/>
              <w:rPr>
                <w:sz w:val="21"/>
              </w:rPr>
            </w:pPr>
            <w:r>
              <w:rPr>
                <w:sz w:val="21"/>
              </w:rPr>
              <w:t>（二） 加强过程控制</w:t>
            </w:r>
          </w:p>
        </w:tc>
        <w:tc>
          <w:tcPr>
            <w:tcW w:w="4679"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61" w:lineRule="exact"/>
              <w:ind w:left="113"/>
              <w:rPr>
                <w:sz w:val="21"/>
              </w:rPr>
            </w:pPr>
            <w:r>
              <w:rPr>
                <w:rFonts w:ascii="Times New Roman" w:eastAsia="Times New Roman"/>
                <w:sz w:val="21"/>
              </w:rPr>
              <w:t>1.</w:t>
            </w:r>
            <w:r>
              <w:rPr>
                <w:sz w:val="21"/>
              </w:rPr>
              <w:t xml:space="preserve">加强无组织排放控制。重点对含 </w:t>
            </w:r>
            <w:r>
              <w:rPr>
                <w:rFonts w:ascii="Times New Roman" w:eastAsia="Times New Roman"/>
                <w:sz w:val="21"/>
              </w:rPr>
              <w:t xml:space="preserve">VOCs </w:t>
            </w:r>
            <w:r>
              <w:rPr>
                <w:sz w:val="21"/>
              </w:rPr>
              <w:t>物料</w:t>
            </w:r>
          </w:p>
          <w:p>
            <w:pPr>
              <w:pStyle w:val="TableParagraph"/>
              <w:spacing w:before="2"/>
              <w:ind w:left="113"/>
              <w:rPr>
                <w:sz w:val="21"/>
              </w:rPr>
            </w:pPr>
            <w:r>
              <w:rPr>
                <w:sz w:val="21"/>
              </w:rPr>
              <w:t xml:space="preserve">（包括含 </w:t>
            </w:r>
            <w:r>
              <w:rPr>
                <w:rFonts w:ascii="Times New Roman" w:eastAsia="Times New Roman"/>
                <w:sz w:val="21"/>
              </w:rPr>
              <w:t xml:space="preserve">VOCs </w:t>
            </w:r>
            <w:r>
              <w:rPr>
                <w:sz w:val="21"/>
              </w:rPr>
              <w:t xml:space="preserve">原辅材料、含 </w:t>
            </w:r>
            <w:r>
              <w:rPr>
                <w:rFonts w:ascii="Times New Roman" w:eastAsia="Times New Roman"/>
                <w:sz w:val="21"/>
              </w:rPr>
              <w:t xml:space="preserve">VOCs </w:t>
            </w:r>
            <w:r>
              <w:rPr>
                <w:sz w:val="21"/>
              </w:rPr>
              <w:t>产品、含</w:t>
            </w:r>
          </w:p>
          <w:p>
            <w:pPr>
              <w:pStyle w:val="TableParagraph"/>
              <w:spacing w:before="2"/>
              <w:ind w:left="113"/>
              <w:rPr>
                <w:sz w:val="21"/>
              </w:rPr>
            </w:pPr>
            <w:r>
              <w:rPr>
                <w:rFonts w:ascii="Times New Roman" w:eastAsia="Times New Roman"/>
                <w:sz w:val="21"/>
              </w:rPr>
              <w:t xml:space="preserve">VOCs </w:t>
            </w:r>
            <w:r>
              <w:rPr>
                <w:sz w:val="21"/>
              </w:rPr>
              <w:t>废料以及有机聚合物材料等）储存、转移</w:t>
            </w:r>
          </w:p>
          <w:p>
            <w:pPr>
              <w:pStyle w:val="TableParagraph"/>
              <w:spacing w:before="5" w:line="254" w:lineRule="exact"/>
              <w:ind w:left="113"/>
              <w:rPr>
                <w:sz w:val="21"/>
              </w:rPr>
            </w:pPr>
            <w:r>
              <w:rPr>
                <w:sz w:val="21"/>
              </w:rPr>
              <w:t>和输送、设备与管线组件泄漏、敞开液面逸散、</w:t>
            </w:r>
          </w:p>
        </w:tc>
        <w:tc>
          <w:tcPr>
            <w:tcW w:w="2119" w:type="dxa"/>
            <w:gridSpan w:val="2"/>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bl>
    <w:p>
      <w:pPr>
        <w:spacing w:after="0"/>
        <w:rPr>
          <w:sz w:val="2"/>
          <w:szCs w:val="2"/>
        </w:rPr>
        <w:sectPr>
          <w:footerReference w:type="default" r:id="rId16"/>
          <w:pgSz w:w="11910" w:h="16840"/>
          <w:pgMar w:top="1420" w:right="1119" w:bottom="1120" w:left="1120" w:header="0" w:footer="939" w:gutter="0"/>
          <w:pgNumType w:start="12"/>
          <w:cols w:num="1" w:space="720"/>
        </w:sect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113"/>
        <w:gridCol w:w="846"/>
        <w:gridCol w:w="4679"/>
        <w:gridCol w:w="2119"/>
        <w:gridCol w:w="113"/>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07"/>
        </w:trPr>
        <w:tc>
          <w:tcPr>
            <w:tcW w:w="1168" w:type="dxa"/>
            <w:vMerge w:val="restart"/>
          </w:tcPr>
          <w:p>
            <w:pPr>
              <w:pStyle w:val="TableParagraph"/>
              <w:rPr>
                <w:rFonts w:ascii="Times New Roman"/>
                <w:sz w:val="20"/>
              </w:rPr>
            </w:pPr>
          </w:p>
        </w:tc>
        <w:tc>
          <w:tcPr>
            <w:tcW w:w="113" w:type="dxa"/>
            <w:vMerge w:val="restart"/>
            <w:tcBorders>
              <w:right w:val="single" w:sz="4" w:space="0" w:color="000000"/>
            </w:tcBorders>
          </w:tcPr>
          <w:p>
            <w:pPr>
              <w:pStyle w:val="TableParagraph"/>
              <w:rPr>
                <w:rFonts w:ascii="Times New Roman"/>
                <w:sz w:val="20"/>
              </w:rPr>
            </w:pPr>
          </w:p>
        </w:tc>
        <w:tc>
          <w:tcPr>
            <w:tcW w:w="846" w:type="dxa"/>
            <w:vMerge w:val="restart"/>
            <w:tcBorders>
              <w:top w:val="single" w:sz="12" w:space="0" w:color="000000"/>
              <w:left w:val="single" w:sz="4" w:space="0" w:color="000000"/>
              <w:bottom w:val="thickThinMediumGap" w:sz="4" w:space="0" w:color="000000"/>
              <w:right w:val="single" w:sz="4" w:space="0" w:color="000000"/>
            </w:tcBorders>
          </w:tcPr>
          <w:p>
            <w:pPr>
              <w:pStyle w:val="TableParagraph"/>
              <w:rPr>
                <w:rFonts w:ascii="Times New Roman"/>
                <w:sz w:val="20"/>
              </w:rPr>
            </w:pPr>
          </w:p>
        </w:tc>
        <w:tc>
          <w:tcPr>
            <w:tcW w:w="4679"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3" w:right="144"/>
              <w:rPr>
                <w:sz w:val="21"/>
              </w:rPr>
            </w:pPr>
            <w:r>
              <w:rPr>
                <w:w w:val="95"/>
                <w:sz w:val="21"/>
              </w:rPr>
              <w:t>工艺过程等五类排放源实施管控，通过采取设备 与场所密闭、工艺改进、废气有效收集等措施，</w:t>
            </w:r>
          </w:p>
          <w:p>
            <w:pPr>
              <w:pStyle w:val="TableParagraph"/>
              <w:spacing w:before="1" w:line="241" w:lineRule="exact"/>
              <w:ind w:left="113"/>
              <w:rPr>
                <w:sz w:val="21"/>
              </w:rPr>
            </w:pPr>
            <w:r>
              <w:rPr>
                <w:sz w:val="21"/>
              </w:rPr>
              <w:t xml:space="preserve">削减 </w:t>
            </w:r>
            <w:r>
              <w:rPr>
                <w:rFonts w:ascii="Times New Roman" w:eastAsia="Times New Roman"/>
                <w:sz w:val="21"/>
              </w:rPr>
              <w:t xml:space="preserve">VOCs </w:t>
            </w:r>
            <w:r>
              <w:rPr>
                <w:sz w:val="21"/>
              </w:rPr>
              <w:t>无组织排放。</w:t>
            </w:r>
          </w:p>
        </w:tc>
        <w:tc>
          <w:tcPr>
            <w:tcW w:w="2119"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2430"/>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846" w:type="dxa"/>
            <w:vMerge/>
            <w:tcBorders>
              <w:top w:val="nil"/>
              <w:left w:val="single" w:sz="4" w:space="0" w:color="000000"/>
              <w:bottom w:val="thickThinMediumGap" w:sz="4" w:space="0" w:color="000000"/>
              <w:right w:val="single" w:sz="4" w:space="0" w:color="000000"/>
            </w:tcBorders>
          </w:tcPr>
          <w:p>
            <w:pPr>
              <w:rPr>
                <w:sz w:val="2"/>
                <w:szCs w:val="2"/>
              </w:rPr>
            </w:pPr>
          </w:p>
        </w:tc>
        <w:tc>
          <w:tcPr>
            <w:tcW w:w="467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35"/>
              <w:rPr>
                <w:sz w:val="21"/>
              </w:rPr>
            </w:pPr>
            <w:r>
              <w:rPr>
                <w:rFonts w:ascii="Times New Roman" w:eastAsia="Times New Roman"/>
                <w:sz w:val="21"/>
              </w:rPr>
              <w:t>2.</w:t>
            </w:r>
            <w:r>
              <w:rPr>
                <w:spacing w:val="-4"/>
                <w:sz w:val="21"/>
              </w:rPr>
              <w:t xml:space="preserve">加强设备与场所密闭管理。含 </w:t>
            </w:r>
            <w:r>
              <w:rPr>
                <w:rFonts w:ascii="Times New Roman" w:eastAsia="Times New Roman"/>
                <w:sz w:val="21"/>
              </w:rPr>
              <w:t>VOCs</w:t>
            </w:r>
            <w:r>
              <w:rPr>
                <w:rFonts w:ascii="Times New Roman" w:eastAsia="Times New Roman"/>
                <w:spacing w:val="-13"/>
                <w:sz w:val="21"/>
              </w:rPr>
              <w:t xml:space="preserve"> </w:t>
            </w:r>
            <w:r>
              <w:rPr>
                <w:sz w:val="21"/>
              </w:rPr>
              <w:t>物料应储存于密闭容器、包装袋，高效密封储罐，封闭式</w:t>
            </w:r>
            <w:r>
              <w:rPr>
                <w:spacing w:val="-7"/>
                <w:sz w:val="21"/>
              </w:rPr>
              <w:t xml:space="preserve">储库、料仓等。含 </w:t>
            </w:r>
            <w:r>
              <w:rPr>
                <w:rFonts w:ascii="Times New Roman" w:eastAsia="Times New Roman"/>
                <w:sz w:val="21"/>
              </w:rPr>
              <w:t>VOCs</w:t>
            </w:r>
            <w:r>
              <w:rPr>
                <w:rFonts w:ascii="Times New Roman" w:eastAsia="Times New Roman"/>
                <w:spacing w:val="-13"/>
                <w:sz w:val="21"/>
              </w:rPr>
              <w:t xml:space="preserve"> </w:t>
            </w:r>
            <w:r>
              <w:rPr>
                <w:sz w:val="21"/>
              </w:rPr>
              <w:t>物料转移和输送，应采</w:t>
            </w:r>
            <w:r>
              <w:rPr>
                <w:spacing w:val="-4"/>
                <w:sz w:val="21"/>
              </w:rPr>
              <w:t xml:space="preserve">用密闭管道或密闭容器、罐车等。高 </w:t>
            </w:r>
            <w:r>
              <w:rPr>
                <w:rFonts w:ascii="Times New Roman" w:eastAsia="Times New Roman"/>
                <w:sz w:val="21"/>
              </w:rPr>
              <w:t>VOCs</w:t>
            </w:r>
            <w:r>
              <w:rPr>
                <w:rFonts w:ascii="Times New Roman" w:eastAsia="Times New Roman"/>
                <w:spacing w:val="-13"/>
                <w:sz w:val="21"/>
              </w:rPr>
              <w:t xml:space="preserve"> </w:t>
            </w:r>
            <w:r>
              <w:rPr>
                <w:sz w:val="21"/>
              </w:rPr>
              <w:t>含量废水（</w:t>
            </w:r>
            <w:r>
              <w:rPr>
                <w:spacing w:val="-9"/>
                <w:sz w:val="21"/>
              </w:rPr>
              <w:t xml:space="preserve">废水液面上方 </w:t>
            </w:r>
            <w:r>
              <w:rPr>
                <w:rFonts w:ascii="Times New Roman" w:eastAsia="Times New Roman"/>
                <w:sz w:val="21"/>
              </w:rPr>
              <w:t>100</w:t>
            </w:r>
            <w:r>
              <w:rPr>
                <w:rFonts w:ascii="Times New Roman" w:eastAsia="Times New Roman"/>
                <w:spacing w:val="-13"/>
                <w:sz w:val="21"/>
              </w:rPr>
              <w:t xml:space="preserve"> </w:t>
            </w:r>
            <w:r>
              <w:rPr>
                <w:spacing w:val="-14"/>
                <w:sz w:val="21"/>
              </w:rPr>
              <w:t xml:space="preserve">毫米处 </w:t>
            </w:r>
            <w:r>
              <w:rPr>
                <w:rFonts w:ascii="Times New Roman" w:eastAsia="Times New Roman"/>
                <w:sz w:val="21"/>
              </w:rPr>
              <w:t>VOCs</w:t>
            </w:r>
            <w:r>
              <w:rPr>
                <w:rFonts w:ascii="Times New Roman" w:eastAsia="Times New Roman"/>
                <w:spacing w:val="-12"/>
                <w:sz w:val="21"/>
              </w:rPr>
              <w:t xml:space="preserve"> </w:t>
            </w:r>
            <w:r>
              <w:rPr>
                <w:sz w:val="21"/>
              </w:rPr>
              <w:t>检测浓度</w:t>
            </w:r>
            <w:r>
              <w:rPr>
                <w:spacing w:val="-20"/>
                <w:sz w:val="21"/>
              </w:rPr>
              <w:t xml:space="preserve">超过 </w:t>
            </w:r>
            <w:r>
              <w:rPr>
                <w:rFonts w:ascii="Times New Roman" w:eastAsia="Times New Roman"/>
                <w:sz w:val="21"/>
              </w:rPr>
              <w:t>200ppm</w:t>
            </w:r>
            <w:r>
              <w:rPr>
                <w:spacing w:val="-6"/>
                <w:sz w:val="21"/>
              </w:rPr>
              <w:t xml:space="preserve">，其中重点区域超过 </w:t>
            </w:r>
            <w:r>
              <w:rPr>
                <w:rFonts w:ascii="Times New Roman" w:eastAsia="Times New Roman"/>
                <w:sz w:val="21"/>
              </w:rPr>
              <w:t>100ppm</w:t>
            </w:r>
            <w:r>
              <w:rPr>
                <w:sz w:val="21"/>
              </w:rPr>
              <w:t xml:space="preserve">，以碳计）的收集运输、储存和处理过程，应加盖密 </w:t>
            </w:r>
            <w:r>
              <w:rPr>
                <w:spacing w:val="-15"/>
                <w:sz w:val="21"/>
              </w:rPr>
              <w:t xml:space="preserve">闭。含 </w:t>
            </w:r>
            <w:r>
              <w:rPr>
                <w:rFonts w:ascii="Times New Roman" w:eastAsia="Times New Roman"/>
                <w:sz w:val="21"/>
              </w:rPr>
              <w:t>VOCs</w:t>
            </w:r>
            <w:r>
              <w:rPr>
                <w:rFonts w:ascii="Times New Roman" w:eastAsia="Times New Roman"/>
                <w:spacing w:val="-13"/>
                <w:sz w:val="21"/>
              </w:rPr>
              <w:t xml:space="preserve"> </w:t>
            </w:r>
            <w:r>
              <w:rPr>
                <w:sz w:val="21"/>
              </w:rPr>
              <w:t>物料生产和使用过程，应采取有效</w:t>
            </w:r>
          </w:p>
          <w:p>
            <w:pPr>
              <w:pStyle w:val="TableParagraph"/>
              <w:spacing w:line="242" w:lineRule="exact"/>
              <w:ind w:left="113"/>
              <w:rPr>
                <w:sz w:val="21"/>
              </w:rPr>
            </w:pPr>
            <w:r>
              <w:rPr>
                <w:sz w:val="21"/>
              </w:rPr>
              <w:t>收集措施或在密闭空间中操作。</w:t>
            </w:r>
          </w:p>
        </w:tc>
        <w:tc>
          <w:tcPr>
            <w:tcW w:w="2119"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24" w:type="dxa"/>
          <w:tblLayout w:type="fixed"/>
          <w:tblCellMar>
            <w:top w:w="0" w:type="dxa"/>
            <w:left w:w="0" w:type="dxa"/>
            <w:bottom w:w="0" w:type="dxa"/>
            <w:right w:w="0" w:type="dxa"/>
          </w:tblCellMar>
        </w:tblPrEx>
        <w:trPr>
          <w:trHeight w:val="2159"/>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846" w:type="dxa"/>
            <w:vMerge/>
            <w:tcBorders>
              <w:top w:val="nil"/>
              <w:left w:val="single" w:sz="4" w:space="0" w:color="000000"/>
              <w:bottom w:val="thickThinMediumGap" w:sz="4" w:space="0" w:color="000000"/>
              <w:right w:val="single" w:sz="4" w:space="0" w:color="000000"/>
            </w:tcBorders>
          </w:tcPr>
          <w:p>
            <w:pPr>
              <w:rPr>
                <w:sz w:val="2"/>
                <w:szCs w:val="2"/>
              </w:rPr>
            </w:pPr>
          </w:p>
        </w:tc>
        <w:tc>
          <w:tcPr>
            <w:tcW w:w="467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0"/>
              <w:rPr>
                <w:sz w:val="21"/>
              </w:rPr>
            </w:pPr>
          </w:p>
          <w:p>
            <w:pPr>
              <w:pStyle w:val="TableParagraph"/>
              <w:spacing w:line="242" w:lineRule="auto"/>
              <w:ind w:left="113" w:right="144"/>
              <w:jc w:val="both"/>
              <w:rPr>
                <w:sz w:val="21"/>
              </w:rPr>
            </w:pPr>
            <w:r>
              <w:rPr>
                <w:rFonts w:ascii="Times New Roman" w:eastAsia="Times New Roman"/>
                <w:sz w:val="21"/>
              </w:rPr>
              <w:t>3.</w:t>
            </w:r>
            <w:r>
              <w:rPr>
                <w:sz w:val="21"/>
              </w:rPr>
              <w:t>推进使用先进生产工艺。通过采用全密闭、连</w:t>
            </w:r>
            <w:r>
              <w:rPr>
                <w:w w:val="95"/>
                <w:sz w:val="21"/>
              </w:rPr>
              <w:t xml:space="preserve">续化、自动化等生产技术，以及高效工艺与设备 等，减少工艺过程无组织排放。挥发性有机液体 </w:t>
            </w:r>
            <w:r>
              <w:rPr>
                <w:sz w:val="21"/>
              </w:rPr>
              <w:t>装载优先采用底部装载方式。</w:t>
            </w:r>
          </w:p>
        </w:tc>
        <w:tc>
          <w:tcPr>
            <w:tcW w:w="211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34" w:firstLine="201"/>
              <w:rPr>
                <w:rFonts w:ascii="Times New Roman" w:eastAsia="Times New Roman"/>
                <w:sz w:val="21"/>
              </w:rPr>
            </w:pPr>
            <w:r>
              <w:rPr>
                <w:sz w:val="21"/>
              </w:rPr>
              <w:t xml:space="preserve">符合。项目建成后所有工序均位于封闭式车间内，生产上产生的 </w:t>
            </w:r>
            <w:r>
              <w:rPr>
                <w:rFonts w:ascii="Times New Roman" w:eastAsia="Times New Roman"/>
                <w:sz w:val="21"/>
              </w:rPr>
              <w:t xml:space="preserve">VOCs </w:t>
            </w:r>
            <w:r>
              <w:rPr>
                <w:sz w:val="21"/>
              </w:rPr>
              <w:t>废气经集气装置收集后引入过滤棉</w:t>
            </w:r>
            <w:r>
              <w:rPr>
                <w:rFonts w:ascii="Times New Roman" w:eastAsia="Times New Roman"/>
                <w:sz w:val="21"/>
              </w:rPr>
              <w:t>+</w:t>
            </w:r>
            <w:r>
              <w:rPr>
                <w:sz w:val="21"/>
              </w:rPr>
              <w:t xml:space="preserve">活性炭吸附装置处理后，通过 </w:t>
            </w:r>
            <w:r>
              <w:rPr>
                <w:rFonts w:ascii="Times New Roman" w:eastAsia="Times New Roman"/>
                <w:sz w:val="21"/>
              </w:rPr>
              <w:t>15m</w:t>
            </w:r>
          </w:p>
          <w:p>
            <w:pPr>
              <w:pStyle w:val="TableParagraph"/>
              <w:spacing w:line="242" w:lineRule="exact"/>
              <w:ind w:left="111"/>
              <w:rPr>
                <w:sz w:val="21"/>
              </w:rPr>
            </w:pPr>
            <w:r>
              <w:rPr>
                <w:sz w:val="21"/>
              </w:rPr>
              <w:t>高排气筒排放。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3248"/>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846" w:type="dxa"/>
            <w:vMerge/>
            <w:tcBorders>
              <w:top w:val="nil"/>
              <w:left w:val="single" w:sz="4" w:space="0" w:color="000000"/>
              <w:bottom w:val="thickThinMediumGap" w:sz="4" w:space="0" w:color="000000"/>
              <w:right w:val="single" w:sz="4" w:space="0" w:color="000000"/>
            </w:tcBorders>
          </w:tcPr>
          <w:p>
            <w:pPr>
              <w:rPr>
                <w:sz w:val="2"/>
                <w:szCs w:val="2"/>
              </w:rPr>
            </w:pPr>
          </w:p>
        </w:tc>
        <w:tc>
          <w:tcPr>
            <w:tcW w:w="467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4"/>
              <w:jc w:val="both"/>
              <w:rPr>
                <w:sz w:val="21"/>
              </w:rPr>
            </w:pPr>
            <w:r>
              <w:rPr>
                <w:rFonts w:ascii="Times New Roman" w:eastAsia="Times New Roman" w:hAnsi="Times New Roman"/>
                <w:sz w:val="21"/>
              </w:rPr>
              <w:t>4.</w:t>
            </w:r>
            <w:r>
              <w:rPr>
                <w:sz w:val="21"/>
              </w:rPr>
              <w:t>遵循“应收尽收、分质收集”的原则，科学设计废气收集系统，将无组织排放转变为有组织排放进行控制。采用全密闭措施的，除行业有特殊要求外，应保持微负压状态，并根据相关规范合理设置配风量。采用局部集气罩的，距集气罩开</w:t>
            </w:r>
            <w:r>
              <w:rPr>
                <w:spacing w:val="-9"/>
                <w:sz w:val="21"/>
              </w:rPr>
              <w:t xml:space="preserve">口面最远处的 </w:t>
            </w:r>
            <w:r>
              <w:rPr>
                <w:rFonts w:ascii="Times New Roman" w:eastAsia="Times New Roman" w:hAnsi="Times New Roman"/>
                <w:sz w:val="21"/>
              </w:rPr>
              <w:t xml:space="preserve">VOCs </w:t>
            </w:r>
            <w:r>
              <w:rPr>
                <w:sz w:val="21"/>
              </w:rPr>
              <w:t>无组织排放位置，控制风速</w:t>
            </w:r>
            <w:r>
              <w:rPr>
                <w:spacing w:val="-12"/>
                <w:sz w:val="21"/>
              </w:rPr>
              <w:t xml:space="preserve">应不低于 </w:t>
            </w:r>
            <w:r>
              <w:rPr>
                <w:rFonts w:ascii="Times New Roman" w:eastAsia="Times New Roman" w:hAnsi="Times New Roman"/>
                <w:sz w:val="21"/>
              </w:rPr>
              <w:t xml:space="preserve">0.3 </w:t>
            </w:r>
            <w:r>
              <w:rPr>
                <w:sz w:val="21"/>
              </w:rPr>
              <w:t>米</w:t>
            </w:r>
            <w:r>
              <w:rPr>
                <w:rFonts w:ascii="Times New Roman" w:eastAsia="Times New Roman" w:hAnsi="Times New Roman"/>
                <w:sz w:val="21"/>
              </w:rPr>
              <w:t>/</w:t>
            </w:r>
            <w:r>
              <w:rPr>
                <w:sz w:val="21"/>
              </w:rPr>
              <w:t>秒，有行业要求的按照相关规定</w:t>
            </w:r>
            <w:r>
              <w:rPr>
                <w:spacing w:val="-4"/>
                <w:sz w:val="21"/>
              </w:rPr>
              <w:t>执行；集气罩的设计、安装应符合《机械安全 局部排气通风系统安全要求》（</w:t>
            </w:r>
            <w:r>
              <w:rPr>
                <w:rFonts w:ascii="Times New Roman" w:eastAsia="Times New Roman" w:hAnsi="Times New Roman"/>
                <w:spacing w:val="-4"/>
                <w:sz w:val="21"/>
              </w:rPr>
              <w:t xml:space="preserve">GB/T </w:t>
            </w:r>
            <w:r>
              <w:rPr>
                <w:rFonts w:ascii="Times New Roman" w:eastAsia="Times New Roman" w:hAnsi="Times New Roman"/>
                <w:sz w:val="21"/>
              </w:rPr>
              <w:t>35077</w:t>
            </w:r>
            <w:r>
              <w:rPr>
                <w:sz w:val="21"/>
              </w:rPr>
              <w:t>），通风管路设计应符合《通风管道技术规程》</w:t>
            </w:r>
          </w:p>
          <w:p>
            <w:pPr>
              <w:pStyle w:val="TableParagraph"/>
              <w:ind w:left="113"/>
              <w:rPr>
                <w:sz w:val="21"/>
              </w:rPr>
            </w:pPr>
            <w:r>
              <w:rPr>
                <w:sz w:val="21"/>
              </w:rPr>
              <w:t>（</w:t>
            </w:r>
            <w:r>
              <w:rPr>
                <w:rFonts w:ascii="Times New Roman" w:eastAsia="Times New Roman"/>
                <w:sz w:val="21"/>
              </w:rPr>
              <w:t>JGJ/T 141</w:t>
            </w:r>
            <w:r>
              <w:rPr>
                <w:sz w:val="21"/>
              </w:rPr>
              <w:t>）等相关规范要求，</w:t>
            </w:r>
            <w:r>
              <w:rPr>
                <w:rFonts w:ascii="Times New Roman" w:eastAsia="Times New Roman"/>
                <w:sz w:val="21"/>
              </w:rPr>
              <w:t xml:space="preserve">VOCs </w:t>
            </w:r>
            <w:r>
              <w:rPr>
                <w:sz w:val="21"/>
              </w:rPr>
              <w:t>废气管路</w:t>
            </w:r>
          </w:p>
          <w:p>
            <w:pPr>
              <w:pStyle w:val="TableParagraph"/>
              <w:spacing w:line="242" w:lineRule="exact"/>
              <w:ind w:left="113"/>
              <w:rPr>
                <w:sz w:val="21"/>
              </w:rPr>
            </w:pPr>
            <w:r>
              <w:rPr>
                <w:sz w:val="21"/>
              </w:rPr>
              <w:t>不得与其他废气管路合并。</w:t>
            </w:r>
          </w:p>
        </w:tc>
        <w:tc>
          <w:tcPr>
            <w:tcW w:w="211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
              <w:rPr>
                <w:sz w:val="24"/>
              </w:rPr>
            </w:pPr>
          </w:p>
          <w:p>
            <w:pPr>
              <w:pStyle w:val="TableParagraph"/>
              <w:spacing w:before="1" w:line="242" w:lineRule="auto"/>
              <w:ind w:left="111" w:right="106" w:firstLine="201"/>
              <w:jc w:val="both"/>
              <w:rPr>
                <w:sz w:val="21"/>
              </w:rPr>
            </w:pPr>
            <w:r>
              <w:rPr>
                <w:sz w:val="21"/>
              </w:rPr>
              <w:t>符合。本项目承诺废气收集系统集气装置的设置满足左列所列相关要求。</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2702"/>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846" w:type="dxa"/>
            <w:vMerge/>
            <w:tcBorders>
              <w:top w:val="nil"/>
              <w:left w:val="single" w:sz="4" w:space="0" w:color="000000"/>
              <w:bottom w:val="thickThinMediumGap" w:sz="4" w:space="0" w:color="000000"/>
              <w:right w:val="single" w:sz="4" w:space="0" w:color="000000"/>
            </w:tcBorders>
          </w:tcPr>
          <w:p>
            <w:pPr>
              <w:rPr>
                <w:sz w:val="2"/>
                <w:szCs w:val="2"/>
              </w:rPr>
            </w:pPr>
          </w:p>
        </w:tc>
        <w:tc>
          <w:tcPr>
            <w:tcW w:w="4679"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spacing w:before="4"/>
              <w:rPr>
                <w:sz w:val="30"/>
              </w:rPr>
            </w:pPr>
          </w:p>
          <w:p>
            <w:pPr>
              <w:pStyle w:val="TableParagraph"/>
              <w:spacing w:line="242" w:lineRule="auto"/>
              <w:ind w:left="113" w:right="144"/>
              <w:jc w:val="both"/>
              <w:rPr>
                <w:sz w:val="21"/>
              </w:rPr>
            </w:pPr>
            <w:r>
              <w:rPr>
                <w:rFonts w:ascii="Times New Roman" w:eastAsia="Times New Roman"/>
                <w:sz w:val="21"/>
              </w:rPr>
              <w:t>5.</w:t>
            </w:r>
            <w:r>
              <w:rPr>
                <w:sz w:val="21"/>
              </w:rPr>
              <w:t>推进建设适宜高效的治污设施。企业新建治污</w:t>
            </w:r>
            <w:r>
              <w:rPr>
                <w:w w:val="95"/>
                <w:sz w:val="21"/>
              </w:rPr>
              <w:t xml:space="preserve">设施或对现有治污设施实施改造，应依据排放废 气的浓度、组分、风量，温度、湿度、压力，以 及生产工况等，合理选择治理技术。鼓励企业采 </w:t>
            </w:r>
            <w:r>
              <w:rPr>
                <w:spacing w:val="-5"/>
                <w:sz w:val="21"/>
              </w:rPr>
              <w:t xml:space="preserve">用多种技术的组合工艺，提高 </w:t>
            </w:r>
            <w:r>
              <w:rPr>
                <w:rFonts w:ascii="Times New Roman" w:eastAsia="Times New Roman"/>
                <w:sz w:val="21"/>
              </w:rPr>
              <w:t>VOCs</w:t>
            </w:r>
            <w:r>
              <w:rPr>
                <w:rFonts w:ascii="Times New Roman" w:eastAsia="Times New Roman"/>
                <w:spacing w:val="-14"/>
                <w:sz w:val="21"/>
              </w:rPr>
              <w:t xml:space="preserve"> </w:t>
            </w:r>
            <w:r>
              <w:rPr>
                <w:sz w:val="21"/>
              </w:rPr>
              <w:t>治理效率。</w:t>
            </w:r>
          </w:p>
        </w:tc>
        <w:tc>
          <w:tcPr>
            <w:tcW w:w="211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06" w:firstLine="201"/>
              <w:rPr>
                <w:sz w:val="21"/>
              </w:rPr>
            </w:pPr>
            <w:r>
              <w:rPr>
                <w:sz w:val="21"/>
              </w:rPr>
              <w:t>符合。本项目建成后生产上产生的</w:t>
            </w:r>
            <w:r>
              <w:rPr>
                <w:rFonts w:ascii="Times New Roman" w:eastAsia="Times New Roman"/>
                <w:sz w:val="21"/>
              </w:rPr>
              <w:t>VOCs</w:t>
            </w:r>
            <w:r>
              <w:rPr>
                <w:rFonts w:ascii="Times New Roman" w:eastAsia="Times New Roman"/>
                <w:spacing w:val="-11"/>
                <w:sz w:val="21"/>
              </w:rPr>
              <w:t xml:space="preserve"> </w:t>
            </w:r>
            <w:r>
              <w:rPr>
                <w:sz w:val="21"/>
              </w:rPr>
              <w:t>废气经集气装</w:t>
            </w:r>
            <w:r>
              <w:rPr>
                <w:spacing w:val="-2"/>
                <w:w w:val="95"/>
                <w:sz w:val="21"/>
              </w:rPr>
              <w:t>置收集后引入过滤棉</w:t>
            </w:r>
          </w:p>
          <w:p>
            <w:pPr>
              <w:pStyle w:val="TableParagraph"/>
              <w:spacing w:line="242" w:lineRule="auto"/>
              <w:ind w:left="111" w:right="106"/>
              <w:rPr>
                <w:sz w:val="21"/>
              </w:rPr>
            </w:pPr>
            <w:r>
              <w:rPr>
                <w:rFonts w:ascii="Times New Roman" w:eastAsia="Times New Roman"/>
                <w:sz w:val="21"/>
              </w:rPr>
              <w:t>+</w:t>
            </w:r>
            <w:r>
              <w:rPr>
                <w:sz w:val="21"/>
              </w:rPr>
              <w:t>活性炭吸附装置处</w:t>
            </w:r>
            <w:r>
              <w:rPr>
                <w:spacing w:val="-11"/>
                <w:sz w:val="21"/>
              </w:rPr>
              <w:t xml:space="preserve">理后通过 </w:t>
            </w:r>
            <w:r>
              <w:rPr>
                <w:rFonts w:ascii="Times New Roman" w:eastAsia="Times New Roman"/>
                <w:sz w:val="21"/>
              </w:rPr>
              <w:t>15m</w:t>
            </w:r>
            <w:r>
              <w:rPr>
                <w:rFonts w:ascii="Times New Roman" w:eastAsia="Times New Roman"/>
                <w:spacing w:val="-13"/>
                <w:sz w:val="21"/>
              </w:rPr>
              <w:t xml:space="preserve"> </w:t>
            </w:r>
            <w:r>
              <w:rPr>
                <w:sz w:val="21"/>
              </w:rPr>
              <w:t>高排</w:t>
            </w:r>
            <w:r>
              <w:rPr>
                <w:spacing w:val="-2"/>
                <w:sz w:val="21"/>
              </w:rPr>
              <w:t xml:space="preserve">气筒排放，定期检查环保设备运行情况， </w:t>
            </w:r>
            <w:r>
              <w:rPr>
                <w:spacing w:val="-2"/>
                <w:w w:val="95"/>
                <w:sz w:val="21"/>
              </w:rPr>
              <w:t>确保处理效率达到要</w:t>
            </w:r>
          </w:p>
          <w:p>
            <w:pPr>
              <w:pStyle w:val="TableParagraph"/>
              <w:spacing w:line="241" w:lineRule="exact"/>
              <w:ind w:left="111"/>
              <w:rPr>
                <w:sz w:val="21"/>
              </w:rPr>
            </w:pPr>
            <w:r>
              <w:rPr>
                <w:sz w:val="21"/>
              </w:rPr>
              <w:t>求。</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2171"/>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846" w:type="dxa"/>
            <w:vMerge/>
            <w:tcBorders>
              <w:top w:val="nil"/>
              <w:left w:val="single" w:sz="4" w:space="0" w:color="000000"/>
              <w:bottom w:val="thickThinMediumGap" w:sz="4" w:space="0" w:color="000000"/>
              <w:right w:val="single" w:sz="4" w:space="0" w:color="000000"/>
            </w:tcBorders>
          </w:tcPr>
          <w:p>
            <w:pPr>
              <w:rPr>
                <w:sz w:val="2"/>
                <w:szCs w:val="2"/>
              </w:rPr>
            </w:pPr>
          </w:p>
        </w:tc>
        <w:tc>
          <w:tcPr>
            <w:tcW w:w="4679"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3" w:right="144"/>
              <w:rPr>
                <w:sz w:val="21"/>
              </w:rPr>
            </w:pPr>
            <w:r>
              <w:rPr>
                <w:rFonts w:ascii="Times New Roman" w:eastAsia="Times New Roman" w:hAnsi="Times New Roman"/>
                <w:sz w:val="21"/>
              </w:rPr>
              <w:t>6.</w:t>
            </w:r>
            <w:r>
              <w:rPr>
                <w:sz w:val="21"/>
              </w:rPr>
              <w:t>治污设施的设计与安装应充分考虑安全性、经</w:t>
            </w:r>
            <w:r>
              <w:rPr>
                <w:w w:val="95"/>
                <w:sz w:val="21"/>
              </w:rPr>
              <w:t xml:space="preserve">济性及适用性。具有黏连性、积聚自燃性、高沸 点、与碳发生化学反应的有机废气，不宜采用活 性炭吸附、光催化氧化②、低温等离子③等治污 设施。含有酸性物质的有机废气，应充分考虑对 </w:t>
            </w:r>
            <w:r>
              <w:rPr>
                <w:sz w:val="21"/>
              </w:rPr>
              <w:t xml:space="preserve">治污设施的腐蚀等影响因素。含有颗粒物的废 </w:t>
            </w:r>
            <w:r>
              <w:rPr>
                <w:spacing w:val="-11"/>
                <w:sz w:val="21"/>
              </w:rPr>
              <w:t xml:space="preserve">气，为保障 </w:t>
            </w:r>
            <w:r>
              <w:rPr>
                <w:rFonts w:ascii="Times New Roman" w:eastAsia="Times New Roman" w:hAnsi="Times New Roman"/>
                <w:sz w:val="21"/>
              </w:rPr>
              <w:t>VOCs</w:t>
            </w:r>
            <w:r>
              <w:rPr>
                <w:rFonts w:ascii="Times New Roman" w:eastAsia="Times New Roman" w:hAnsi="Times New Roman"/>
                <w:spacing w:val="-15"/>
                <w:sz w:val="21"/>
              </w:rPr>
              <w:t xml:space="preserve"> </w:t>
            </w:r>
            <w:r>
              <w:rPr>
                <w:sz w:val="21"/>
              </w:rPr>
              <w:t>治污设施运行的稳定性，宜进</w:t>
            </w:r>
          </w:p>
          <w:p>
            <w:pPr>
              <w:pStyle w:val="TableParagraph"/>
              <w:spacing w:line="254" w:lineRule="exact"/>
              <w:ind w:left="113"/>
              <w:rPr>
                <w:sz w:val="21"/>
              </w:rPr>
            </w:pPr>
            <w:r>
              <w:rPr>
                <w:w w:val="95"/>
                <w:sz w:val="21"/>
              </w:rPr>
              <w:t>行预处理降低颗粒物浓度。含卤素的有机废气，</w:t>
            </w:r>
          </w:p>
        </w:tc>
        <w:tc>
          <w:tcPr>
            <w:tcW w:w="2119"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1" w:right="106" w:firstLine="201"/>
              <w:rPr>
                <w:sz w:val="21"/>
              </w:rPr>
            </w:pPr>
            <w:r>
              <w:rPr>
                <w:sz w:val="21"/>
              </w:rPr>
              <w:t>符合。本项目建成后生产上产生的</w:t>
            </w:r>
            <w:r>
              <w:rPr>
                <w:rFonts w:ascii="Times New Roman" w:eastAsia="Times New Roman"/>
                <w:sz w:val="21"/>
              </w:rPr>
              <w:t>VOCs</w:t>
            </w:r>
            <w:r>
              <w:rPr>
                <w:rFonts w:ascii="Times New Roman" w:eastAsia="Times New Roman"/>
                <w:spacing w:val="-11"/>
                <w:sz w:val="21"/>
              </w:rPr>
              <w:t xml:space="preserve"> </w:t>
            </w:r>
            <w:r>
              <w:rPr>
                <w:sz w:val="21"/>
              </w:rPr>
              <w:t>废气经集气装</w:t>
            </w:r>
            <w:r>
              <w:rPr>
                <w:spacing w:val="-2"/>
                <w:w w:val="95"/>
                <w:sz w:val="21"/>
              </w:rPr>
              <w:t>置收集后引入过滤棉</w:t>
            </w:r>
          </w:p>
          <w:p>
            <w:pPr>
              <w:pStyle w:val="TableParagraph"/>
              <w:spacing w:line="242" w:lineRule="auto"/>
              <w:ind w:left="111" w:right="106"/>
              <w:rPr>
                <w:sz w:val="21"/>
              </w:rPr>
            </w:pPr>
            <w:r>
              <w:rPr>
                <w:rFonts w:ascii="Times New Roman" w:eastAsia="Times New Roman"/>
                <w:sz w:val="21"/>
              </w:rPr>
              <w:t>+</w:t>
            </w:r>
            <w:r>
              <w:rPr>
                <w:sz w:val="21"/>
              </w:rPr>
              <w:t>活性炭吸附装置处</w:t>
            </w:r>
            <w:r>
              <w:rPr>
                <w:spacing w:val="-11"/>
                <w:sz w:val="21"/>
              </w:rPr>
              <w:t xml:space="preserve">理后通过 </w:t>
            </w:r>
            <w:r>
              <w:rPr>
                <w:rFonts w:ascii="Times New Roman" w:eastAsia="Times New Roman"/>
                <w:sz w:val="21"/>
              </w:rPr>
              <w:t>15m</w:t>
            </w:r>
            <w:r>
              <w:rPr>
                <w:rFonts w:ascii="Times New Roman" w:eastAsia="Times New Roman"/>
                <w:spacing w:val="-13"/>
                <w:sz w:val="21"/>
              </w:rPr>
              <w:t xml:space="preserve"> </w:t>
            </w:r>
            <w:r>
              <w:rPr>
                <w:sz w:val="21"/>
              </w:rPr>
              <w:t>高排</w:t>
            </w:r>
            <w:r>
              <w:rPr>
                <w:spacing w:val="-2"/>
                <w:w w:val="95"/>
                <w:sz w:val="21"/>
              </w:rPr>
              <w:t>气筒排放，保证活性</w:t>
            </w:r>
          </w:p>
          <w:p>
            <w:pPr>
              <w:pStyle w:val="TableParagraph"/>
              <w:spacing w:line="254" w:lineRule="exact"/>
              <w:ind w:left="111"/>
              <w:rPr>
                <w:sz w:val="21"/>
              </w:rPr>
            </w:pPr>
            <w:r>
              <w:rPr>
                <w:w w:val="95"/>
                <w:sz w:val="21"/>
              </w:rPr>
              <w:t>炭的更换频次，确保</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7"/>
          <w:pgSz w:w="11910" w:h="16840"/>
          <w:pgMar w:top="1420" w:right="1119" w:bottom="1120" w:left="1120" w:header="0" w:footer="939" w:gutter="0"/>
          <w:pgNumType w:start="13"/>
          <w:cols w:num="1" w:space="720"/>
        </w:sect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113"/>
        <w:gridCol w:w="846"/>
        <w:gridCol w:w="648"/>
        <w:gridCol w:w="4031"/>
        <w:gridCol w:w="2119"/>
        <w:gridCol w:w="113"/>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717"/>
        </w:trPr>
        <w:tc>
          <w:tcPr>
            <w:tcW w:w="1168"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846"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679" w:type="dxa"/>
            <w:gridSpan w:val="2"/>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3" w:right="144"/>
              <w:rPr>
                <w:sz w:val="21"/>
              </w:rPr>
            </w:pPr>
            <w:r>
              <w:rPr>
                <w:w w:val="95"/>
                <w:sz w:val="21"/>
              </w:rPr>
              <w:t xml:space="preserve">在使用直接燃烧、蓄热式燃烧等处理工艺时，宜 采用急冷等方式减少二噁英④的产生。使用臭氧 发生器等基于臭氧发生原理的治污设施，应采取 有效措施降低臭氧逸散对周边环境的影响。采用 吸附处理工艺的，应满足《吸附法工业有机废气 </w:t>
            </w:r>
            <w:r>
              <w:rPr>
                <w:sz w:val="21"/>
              </w:rPr>
              <w:t>治理工程技术规范》（</w:t>
            </w:r>
            <w:r>
              <w:rPr>
                <w:rFonts w:ascii="Times New Roman" w:eastAsia="Times New Roman" w:hAnsi="Times New Roman"/>
                <w:sz w:val="21"/>
              </w:rPr>
              <w:t>HJ</w:t>
            </w:r>
            <w:r>
              <w:rPr>
                <w:rFonts w:ascii="Times New Roman" w:eastAsia="Times New Roman" w:hAnsi="Times New Roman"/>
                <w:spacing w:val="-5"/>
                <w:sz w:val="21"/>
              </w:rPr>
              <w:t xml:space="preserve"> </w:t>
            </w:r>
            <w:r>
              <w:rPr>
                <w:rFonts w:ascii="Times New Roman" w:eastAsia="Times New Roman" w:hAnsi="Times New Roman"/>
                <w:sz w:val="21"/>
              </w:rPr>
              <w:t>2026</w:t>
            </w:r>
            <w:r>
              <w:rPr>
                <w:sz w:val="21"/>
              </w:rPr>
              <w:t>）要求。采用催</w:t>
            </w:r>
            <w:r>
              <w:rPr>
                <w:w w:val="95"/>
                <w:sz w:val="21"/>
              </w:rPr>
              <w:t xml:space="preserve">化燃烧工艺的，应满足《催化燃烧法工业有机废 </w:t>
            </w:r>
            <w:r>
              <w:rPr>
                <w:sz w:val="21"/>
              </w:rPr>
              <w:t>气治理工程技术规范》（</w:t>
            </w:r>
            <w:r>
              <w:rPr>
                <w:rFonts w:ascii="Times New Roman" w:eastAsia="Times New Roman" w:hAnsi="Times New Roman"/>
                <w:sz w:val="21"/>
              </w:rPr>
              <w:t>HJ</w:t>
            </w:r>
            <w:r>
              <w:rPr>
                <w:rFonts w:ascii="Times New Roman" w:eastAsia="Times New Roman" w:hAnsi="Times New Roman"/>
                <w:spacing w:val="-4"/>
                <w:sz w:val="21"/>
              </w:rPr>
              <w:t xml:space="preserve"> </w:t>
            </w:r>
            <w:r>
              <w:rPr>
                <w:rFonts w:ascii="Times New Roman" w:eastAsia="Times New Roman" w:hAnsi="Times New Roman"/>
                <w:sz w:val="21"/>
              </w:rPr>
              <w:t>2027</w:t>
            </w:r>
            <w:r>
              <w:rPr>
                <w:sz w:val="21"/>
              </w:rPr>
              <w:t>）要求。采用蓄热燃烧等工艺的，应按相关技术规范要求设</w:t>
            </w:r>
          </w:p>
          <w:p>
            <w:pPr>
              <w:pStyle w:val="TableParagraph"/>
              <w:spacing w:before="5" w:line="246" w:lineRule="exact"/>
              <w:ind w:left="113"/>
              <w:rPr>
                <w:sz w:val="21"/>
              </w:rPr>
            </w:pPr>
            <w:r>
              <w:rPr>
                <w:sz w:val="21"/>
              </w:rPr>
              <w:t>计。</w:t>
            </w:r>
          </w:p>
        </w:tc>
        <w:tc>
          <w:tcPr>
            <w:tcW w:w="2119" w:type="dxa"/>
            <w:tcBorders>
              <w:top w:val="single" w:sz="12" w:space="0" w:color="000000"/>
              <w:left w:val="single" w:sz="4" w:space="0" w:color="000000"/>
              <w:bottom w:val="single" w:sz="4" w:space="0" w:color="000000"/>
              <w:right w:val="single" w:sz="4" w:space="0" w:color="000000"/>
            </w:tcBorders>
          </w:tcPr>
          <w:p>
            <w:pPr>
              <w:pStyle w:val="TableParagraph"/>
              <w:spacing w:before="1"/>
              <w:ind w:left="111"/>
              <w:rPr>
                <w:sz w:val="21"/>
              </w:rPr>
            </w:pPr>
            <w:r>
              <w:rPr>
                <w:sz w:val="21"/>
              </w:rPr>
              <w:t>处理效率达到要求。</w:t>
            </w:r>
          </w:p>
        </w:tc>
        <w:tc>
          <w:tcPr>
            <w:tcW w:w="113" w:type="dxa"/>
            <w:tcBorders>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897"/>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46"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22"/>
              </w:rPr>
            </w:pPr>
          </w:p>
          <w:p>
            <w:pPr>
              <w:pStyle w:val="TableParagraph"/>
              <w:spacing w:line="242" w:lineRule="auto"/>
              <w:ind w:left="111" w:right="93"/>
              <w:jc w:val="both"/>
              <w:rPr>
                <w:sz w:val="21"/>
              </w:rPr>
            </w:pPr>
            <w:r>
              <w:rPr>
                <w:sz w:val="21"/>
              </w:rPr>
              <w:t>（三） 加强末端管控</w:t>
            </w:r>
          </w:p>
        </w:tc>
        <w:tc>
          <w:tcPr>
            <w:tcW w:w="4679"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9"/>
              <w:jc w:val="both"/>
              <w:rPr>
                <w:sz w:val="21"/>
              </w:rPr>
            </w:pPr>
            <w:r>
              <w:rPr>
                <w:sz w:val="21"/>
              </w:rPr>
              <w:t>实行重点排放源排放浓度与去除效率双重控制。车间或生产设施收集排放的废气，</w:t>
            </w:r>
            <w:r>
              <w:rPr>
                <w:rFonts w:ascii="Times New Roman" w:eastAsia="Times New Roman"/>
                <w:sz w:val="21"/>
              </w:rPr>
              <w:t>VOCs</w:t>
            </w:r>
            <w:r>
              <w:rPr>
                <w:rFonts w:ascii="Times New Roman" w:eastAsia="Times New Roman"/>
                <w:spacing w:val="-13"/>
                <w:sz w:val="21"/>
              </w:rPr>
              <w:t xml:space="preserve"> </w:t>
            </w:r>
            <w:r>
              <w:rPr>
                <w:sz w:val="21"/>
              </w:rPr>
              <w:t>初始排</w:t>
            </w:r>
            <w:r>
              <w:rPr>
                <w:spacing w:val="-8"/>
                <w:sz w:val="21"/>
              </w:rPr>
              <w:t xml:space="preserve">放速率大于等于 </w:t>
            </w:r>
            <w:r>
              <w:rPr>
                <w:rFonts w:ascii="Times New Roman" w:eastAsia="Times New Roman"/>
                <w:sz w:val="21"/>
              </w:rPr>
              <w:t>3</w:t>
            </w:r>
            <w:r>
              <w:rPr>
                <w:rFonts w:ascii="Times New Roman" w:eastAsia="Times New Roman"/>
                <w:spacing w:val="-16"/>
                <w:sz w:val="21"/>
              </w:rPr>
              <w:t xml:space="preserve"> </w:t>
            </w:r>
            <w:r>
              <w:rPr>
                <w:sz w:val="21"/>
              </w:rPr>
              <w:t>千克</w:t>
            </w:r>
            <w:r>
              <w:rPr>
                <w:rFonts w:ascii="Times New Roman" w:eastAsia="Times New Roman"/>
                <w:sz w:val="21"/>
              </w:rPr>
              <w:t>/</w:t>
            </w:r>
            <w:r>
              <w:rPr>
                <w:sz w:val="21"/>
              </w:rPr>
              <w:t>小时、重点区域大于等于</w:t>
            </w:r>
          </w:p>
          <w:p>
            <w:pPr>
              <w:pStyle w:val="TableParagraph"/>
              <w:spacing w:line="242" w:lineRule="auto"/>
              <w:ind w:left="113" w:right="130"/>
              <w:rPr>
                <w:sz w:val="21"/>
              </w:rPr>
            </w:pPr>
            <w:r>
              <w:rPr>
                <w:rFonts w:ascii="Times New Roman" w:eastAsia="Times New Roman"/>
                <w:sz w:val="21"/>
              </w:rPr>
              <w:t>2</w:t>
            </w:r>
            <w:r>
              <w:rPr>
                <w:rFonts w:ascii="Times New Roman" w:eastAsia="Times New Roman"/>
                <w:spacing w:val="-19"/>
                <w:sz w:val="21"/>
              </w:rPr>
              <w:t xml:space="preserve"> </w:t>
            </w:r>
            <w:r>
              <w:rPr>
                <w:sz w:val="21"/>
              </w:rPr>
              <w:t>千克</w:t>
            </w:r>
            <w:r>
              <w:rPr>
                <w:rFonts w:ascii="Times New Roman" w:eastAsia="Times New Roman"/>
                <w:sz w:val="21"/>
              </w:rPr>
              <w:t>/</w:t>
            </w:r>
            <w:r>
              <w:rPr>
                <w:sz w:val="21"/>
              </w:rPr>
              <w:t>小时的，应加大控制力度，除确保排放浓度稳定达标外，还应实行去除效率控制，</w:t>
            </w:r>
            <w:r>
              <w:rPr>
                <w:rFonts w:ascii="Times New Roman" w:eastAsia="Times New Roman"/>
                <w:sz w:val="21"/>
              </w:rPr>
              <w:t xml:space="preserve">VOCs </w:t>
            </w:r>
            <w:r>
              <w:rPr>
                <w:spacing w:val="-9"/>
                <w:sz w:val="21"/>
              </w:rPr>
              <w:t xml:space="preserve">去除率应不低于 </w:t>
            </w:r>
            <w:r>
              <w:rPr>
                <w:rFonts w:ascii="Times New Roman" w:eastAsia="Times New Roman"/>
                <w:sz w:val="21"/>
              </w:rPr>
              <w:t>80%</w:t>
            </w:r>
            <w:r>
              <w:rPr>
                <w:sz w:val="21"/>
              </w:rPr>
              <w:t>。有行业排放标准的按其相</w:t>
            </w:r>
          </w:p>
          <w:p>
            <w:pPr>
              <w:pStyle w:val="TableParagraph"/>
              <w:spacing w:line="246" w:lineRule="exact"/>
              <w:ind w:left="113"/>
              <w:rPr>
                <w:sz w:val="21"/>
              </w:rPr>
            </w:pPr>
            <w:r>
              <w:rPr>
                <w:sz w:val="21"/>
              </w:rPr>
              <w:t>关规定执行。</w:t>
            </w:r>
          </w:p>
        </w:tc>
        <w:tc>
          <w:tcPr>
            <w:tcW w:w="2119" w:type="dxa"/>
            <w:tcBorders>
              <w:top w:val="single" w:sz="4" w:space="0" w:color="000000"/>
              <w:left w:val="single" w:sz="4" w:space="0" w:color="000000"/>
              <w:bottom w:val="single" w:sz="4" w:space="0" w:color="000000"/>
              <w:right w:val="single" w:sz="4" w:space="0" w:color="000000"/>
            </w:tcBorders>
          </w:tcPr>
          <w:p>
            <w:pPr>
              <w:pStyle w:val="TableParagraph"/>
              <w:spacing w:before="11"/>
              <w:rPr>
                <w:sz w:val="20"/>
              </w:rPr>
            </w:pPr>
          </w:p>
          <w:p>
            <w:pPr>
              <w:pStyle w:val="TableParagraph"/>
              <w:spacing w:line="242" w:lineRule="auto"/>
              <w:ind w:left="111" w:right="124" w:firstLine="201"/>
              <w:rPr>
                <w:sz w:val="21"/>
              </w:rPr>
            </w:pPr>
            <w:r>
              <w:rPr>
                <w:sz w:val="21"/>
              </w:rPr>
              <w:t>符合。本项目</w:t>
            </w:r>
            <w:r>
              <w:rPr>
                <w:rFonts w:ascii="Times New Roman" w:eastAsia="Times New Roman"/>
                <w:sz w:val="21"/>
              </w:rPr>
              <w:t xml:space="preserve">VOCs </w:t>
            </w:r>
            <w:r>
              <w:rPr>
                <w:sz w:val="21"/>
              </w:rPr>
              <w:t xml:space="preserve">初始排放速率小于 </w:t>
            </w:r>
            <w:r>
              <w:rPr>
                <w:rFonts w:ascii="Times New Roman" w:eastAsia="Times New Roman"/>
                <w:sz w:val="21"/>
              </w:rPr>
              <w:t xml:space="preserve">2 </w:t>
            </w:r>
            <w:r>
              <w:rPr>
                <w:sz w:val="21"/>
              </w:rPr>
              <w:t>千克</w:t>
            </w:r>
            <w:r>
              <w:rPr>
                <w:rFonts w:ascii="Times New Roman" w:eastAsia="Times New Roman"/>
                <w:sz w:val="21"/>
              </w:rPr>
              <w:t>/</w:t>
            </w:r>
            <w:r>
              <w:rPr>
                <w:sz w:val="21"/>
              </w:rPr>
              <w:t>小时， 配套建设过滤棉</w:t>
            </w:r>
            <w:r>
              <w:rPr>
                <w:rFonts w:ascii="Times New Roman" w:eastAsia="Times New Roman"/>
                <w:sz w:val="21"/>
              </w:rPr>
              <w:t>+</w:t>
            </w:r>
            <w:r>
              <w:rPr>
                <w:sz w:val="21"/>
              </w:rPr>
              <w:t>活性炭吸附装置。</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806"/>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4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
              <w:rPr>
                <w:sz w:val="16"/>
              </w:rPr>
            </w:pPr>
          </w:p>
          <w:p>
            <w:pPr>
              <w:pStyle w:val="TableParagraph"/>
              <w:spacing w:line="242" w:lineRule="auto"/>
              <w:ind w:left="111" w:right="93"/>
              <w:jc w:val="both"/>
              <w:rPr>
                <w:sz w:val="21"/>
              </w:rPr>
            </w:pPr>
            <w:r>
              <w:rPr>
                <w:sz w:val="21"/>
              </w:rPr>
              <w:t>（十） 塑料制品加工行业</w:t>
            </w:r>
          </w:p>
        </w:tc>
        <w:tc>
          <w:tcPr>
            <w:tcW w:w="4679"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44" w:firstLine="420"/>
              <w:rPr>
                <w:sz w:val="21"/>
              </w:rPr>
            </w:pPr>
            <w:r>
              <w:rPr>
                <w:w w:val="95"/>
                <w:sz w:val="21"/>
              </w:rPr>
              <w:t>加热挤出工段宜采用上吸风方式对废气进行 有效收集，吹塑工段宜采取环绕方式对废气进行</w:t>
            </w:r>
          </w:p>
          <w:p>
            <w:pPr>
              <w:pStyle w:val="TableParagraph"/>
              <w:spacing w:line="247" w:lineRule="exact"/>
              <w:ind w:left="113"/>
              <w:rPr>
                <w:sz w:val="21"/>
              </w:rPr>
            </w:pPr>
            <w:r>
              <w:rPr>
                <w:sz w:val="21"/>
              </w:rPr>
              <w:t>有效收集。</w:t>
            </w:r>
          </w:p>
        </w:tc>
        <w:tc>
          <w:tcPr>
            <w:tcW w:w="211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06" w:firstLine="420"/>
              <w:rPr>
                <w:sz w:val="21"/>
              </w:rPr>
            </w:pPr>
            <w:r>
              <w:rPr>
                <w:sz w:val="21"/>
              </w:rPr>
              <w:t>符合。本项目承诺建设时按照左侧要</w:t>
            </w:r>
          </w:p>
          <w:p>
            <w:pPr>
              <w:pStyle w:val="TableParagraph"/>
              <w:spacing w:line="247" w:lineRule="exact"/>
              <w:ind w:left="111"/>
              <w:rPr>
                <w:sz w:val="21"/>
              </w:rPr>
            </w:pPr>
            <w:r>
              <w:rPr>
                <w:sz w:val="21"/>
              </w:rPr>
              <w:t>求进行建设。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535"/>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46" w:type="dxa"/>
            <w:vMerge/>
            <w:tcBorders>
              <w:top w:val="nil"/>
              <w:left w:val="single" w:sz="4" w:space="0" w:color="000000"/>
              <w:bottom w:val="single" w:sz="4" w:space="0" w:color="000000"/>
              <w:right w:val="single" w:sz="4" w:space="0" w:color="000000"/>
            </w:tcBorders>
          </w:tcPr>
          <w:p>
            <w:pPr>
              <w:rPr>
                <w:sz w:val="2"/>
                <w:szCs w:val="2"/>
              </w:rPr>
            </w:pPr>
          </w:p>
        </w:tc>
        <w:tc>
          <w:tcPr>
            <w:tcW w:w="4679"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533"/>
              <w:rPr>
                <w:sz w:val="21"/>
              </w:rPr>
            </w:pPr>
            <w:r>
              <w:rPr>
                <w:sz w:val="21"/>
              </w:rPr>
              <w:t>印刷工段产生的废气参照（二十）印刷业进</w:t>
            </w:r>
          </w:p>
          <w:p>
            <w:pPr>
              <w:pStyle w:val="TableParagraph"/>
              <w:spacing w:before="2" w:line="248" w:lineRule="exact"/>
              <w:ind w:left="113"/>
              <w:rPr>
                <w:sz w:val="21"/>
              </w:rPr>
            </w:pPr>
            <w:r>
              <w:rPr>
                <w:sz w:val="21"/>
              </w:rPr>
              <w:t>行收集、处理。</w:t>
            </w:r>
          </w:p>
        </w:tc>
        <w:tc>
          <w:tcPr>
            <w:tcW w:w="2119"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531"/>
              <w:rPr>
                <w:sz w:val="21"/>
              </w:rPr>
            </w:pPr>
            <w:r>
              <w:rPr>
                <w:sz w:val="21"/>
              </w:rPr>
              <w:t>符合。本项目不</w:t>
            </w:r>
          </w:p>
          <w:p>
            <w:pPr>
              <w:pStyle w:val="TableParagraph"/>
              <w:spacing w:before="2" w:line="248" w:lineRule="exact"/>
              <w:ind w:left="111"/>
              <w:rPr>
                <w:sz w:val="21"/>
              </w:rPr>
            </w:pPr>
            <w:r>
              <w:rPr>
                <w:sz w:val="21"/>
              </w:rPr>
              <w:t>涉及印刷工序。</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2168"/>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846" w:type="dxa"/>
            <w:vMerge/>
            <w:tcBorders>
              <w:top w:val="nil"/>
              <w:left w:val="single" w:sz="4" w:space="0" w:color="000000"/>
              <w:bottom w:val="single" w:sz="4" w:space="0" w:color="000000"/>
              <w:right w:val="single" w:sz="4" w:space="0" w:color="000000"/>
            </w:tcBorders>
          </w:tcPr>
          <w:p>
            <w:pPr>
              <w:rPr>
                <w:sz w:val="2"/>
                <w:szCs w:val="2"/>
              </w:rPr>
            </w:pPr>
          </w:p>
        </w:tc>
        <w:tc>
          <w:tcPr>
            <w:tcW w:w="4679"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2"/>
              <w:rPr>
                <w:sz w:val="22"/>
              </w:rPr>
            </w:pPr>
          </w:p>
          <w:p>
            <w:pPr>
              <w:pStyle w:val="TableParagraph"/>
              <w:spacing w:line="242" w:lineRule="auto"/>
              <w:ind w:left="113" w:right="144" w:firstLine="420"/>
              <w:jc w:val="both"/>
              <w:rPr>
                <w:sz w:val="21"/>
              </w:rPr>
            </w:pPr>
            <w:r>
              <w:rPr>
                <w:w w:val="95"/>
                <w:sz w:val="21"/>
              </w:rPr>
              <w:t xml:space="preserve">加热挤出、压制、吹塑（发泡）、印刷等工 艺产生的废气经除尘后宜采用浓缩结合燃烧法等 工艺进行处理；使用含氯原料的工艺废气在处理 </w:t>
            </w:r>
            <w:r>
              <w:rPr>
                <w:sz w:val="21"/>
              </w:rPr>
              <w:t>过程中应充分考虑二噁英及酸性气体的控制。</w:t>
            </w:r>
          </w:p>
        </w:tc>
        <w:tc>
          <w:tcPr>
            <w:tcW w:w="211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06" w:firstLine="420"/>
              <w:jc w:val="both"/>
              <w:rPr>
                <w:sz w:val="21"/>
              </w:rPr>
            </w:pPr>
            <w:r>
              <w:rPr>
                <w:spacing w:val="-2"/>
                <w:sz w:val="21"/>
              </w:rPr>
              <w:t>符合。本项目熔融、挤出工序产生废</w:t>
            </w:r>
            <w:r>
              <w:rPr>
                <w:spacing w:val="-2"/>
                <w:w w:val="95"/>
                <w:sz w:val="21"/>
              </w:rPr>
              <w:t>气经收集引入过滤棉</w:t>
            </w:r>
          </w:p>
          <w:p>
            <w:pPr>
              <w:pStyle w:val="TableParagraph"/>
              <w:spacing w:line="242" w:lineRule="auto"/>
              <w:ind w:left="111" w:right="106"/>
              <w:rPr>
                <w:sz w:val="21"/>
              </w:rPr>
            </w:pPr>
            <w:r>
              <w:rPr>
                <w:rFonts w:ascii="Times New Roman" w:eastAsia="Times New Roman"/>
                <w:sz w:val="21"/>
              </w:rPr>
              <w:t>+</w:t>
            </w:r>
            <w:r>
              <w:rPr>
                <w:sz w:val="21"/>
              </w:rPr>
              <w:t>活性炭吸附装置处</w:t>
            </w:r>
            <w:r>
              <w:rPr>
                <w:spacing w:val="-2"/>
                <w:sz w:val="21"/>
              </w:rPr>
              <w:t>理，保证活性炭的更</w:t>
            </w:r>
            <w:r>
              <w:rPr>
                <w:spacing w:val="-2"/>
                <w:w w:val="95"/>
                <w:sz w:val="21"/>
              </w:rPr>
              <w:t>换频次，确保处理效</w:t>
            </w:r>
          </w:p>
          <w:p>
            <w:pPr>
              <w:pStyle w:val="TableParagraph"/>
              <w:spacing w:line="270" w:lineRule="atLeast"/>
              <w:ind w:left="111" w:right="106"/>
              <w:rPr>
                <w:sz w:val="21"/>
              </w:rPr>
            </w:pPr>
            <w:r>
              <w:rPr>
                <w:sz w:val="21"/>
              </w:rPr>
              <w:t>率达到要求，不涉及含氯原料。</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2691"/>
        </w:trPr>
        <w:tc>
          <w:tcPr>
            <w:tcW w:w="1168" w:type="dxa"/>
            <w:vMerge/>
            <w:tcBorders>
              <w:top w:val="nil"/>
            </w:tcBorders>
          </w:tcPr>
          <w:p>
            <w:pPr>
              <w:rPr>
                <w:sz w:val="2"/>
                <w:szCs w:val="2"/>
              </w:rPr>
            </w:pPr>
          </w:p>
        </w:tc>
        <w:tc>
          <w:tcPr>
            <w:tcW w:w="7870" w:type="dxa"/>
            <w:gridSpan w:val="6"/>
            <w:tcBorders>
              <w:top w:val="single" w:sz="4" w:space="0" w:color="000000"/>
              <w:bottom w:val="single" w:sz="4" w:space="0" w:color="000000"/>
            </w:tcBorders>
          </w:tcPr>
          <w:p>
            <w:pPr>
              <w:pStyle w:val="TableParagraph"/>
              <w:spacing w:before="115" w:line="362" w:lineRule="auto"/>
              <w:ind w:left="107" w:right="87" w:firstLine="480"/>
              <w:rPr>
                <w:sz w:val="24"/>
              </w:rPr>
            </w:pPr>
            <w:r>
              <w:rPr>
                <w:sz w:val="24"/>
              </w:rPr>
              <w:t>由上表可知，本项目能够符合《山东省涉挥发性有机物企业分行业治理指导意见》相关要求。</w:t>
            </w:r>
          </w:p>
          <w:p>
            <w:pPr>
              <w:pStyle w:val="TableParagraph"/>
              <w:spacing w:before="5"/>
              <w:ind w:left="107"/>
              <w:rPr>
                <w:b/>
                <w:sz w:val="24"/>
              </w:rPr>
            </w:pPr>
            <w:r>
              <w:rPr>
                <w:rFonts w:ascii="Times New Roman" w:eastAsia="Times New Roman"/>
                <w:b/>
                <w:sz w:val="24"/>
              </w:rPr>
              <w:t>3</w:t>
            </w:r>
            <w:r>
              <w:rPr>
                <w:b/>
                <w:sz w:val="24"/>
              </w:rPr>
              <w:t>、项目选址合理性分析</w:t>
            </w:r>
          </w:p>
          <w:p>
            <w:pPr>
              <w:pStyle w:val="TableParagraph"/>
              <w:spacing w:before="158" w:line="340" w:lineRule="auto"/>
              <w:ind w:left="107" w:right="87" w:firstLine="480"/>
              <w:rPr>
                <w:sz w:val="24"/>
              </w:rPr>
            </w:pPr>
            <w:r>
              <w:rPr>
                <w:sz w:val="24"/>
              </w:rPr>
              <w:t>本项目位于山东省德州市宁津县辽河大街东首路北，具体选址合理性分析如下。</w:t>
            </w:r>
          </w:p>
          <w:p>
            <w:pPr>
              <w:pStyle w:val="TableParagraph"/>
              <w:spacing w:line="284" w:lineRule="exact"/>
              <w:ind w:left="1768"/>
              <w:rPr>
                <w:b/>
                <w:sz w:val="24"/>
              </w:rPr>
            </w:pPr>
            <w:r>
              <w:rPr>
                <w:b/>
                <w:sz w:val="24"/>
              </w:rPr>
              <w:t xml:space="preserve">表 </w:t>
            </w:r>
            <w:r>
              <w:rPr>
                <w:rFonts w:ascii="Times New Roman" w:eastAsia="Times New Roman"/>
                <w:b/>
                <w:sz w:val="24"/>
              </w:rPr>
              <w:t xml:space="preserve">10 </w:t>
            </w:r>
            <w:r>
              <w:rPr>
                <w:b/>
                <w:sz w:val="24"/>
              </w:rPr>
              <w:t>项目地址选择合理性分析一览表</w:t>
            </w:r>
          </w:p>
        </w:tc>
      </w:tr>
      <w:tr>
        <w:tblPrEx>
          <w:tblW w:w="0" w:type="auto"/>
          <w:tblInd w:w="324" w:type="dxa"/>
          <w:tblLayout w:type="fixed"/>
          <w:tblCellMar>
            <w:top w:w="0" w:type="dxa"/>
            <w:left w:w="0" w:type="dxa"/>
            <w:bottom w:w="0" w:type="dxa"/>
            <w:right w:w="0" w:type="dxa"/>
          </w:tblCellMar>
        </w:tblPrEx>
        <w:trPr>
          <w:trHeight w:val="320"/>
        </w:trPr>
        <w:tc>
          <w:tcPr>
            <w:tcW w:w="1168" w:type="dxa"/>
            <w:vMerge/>
            <w:tcBorders>
              <w:top w:val="nil"/>
            </w:tcBorders>
          </w:tcPr>
          <w:p>
            <w:pPr>
              <w:rPr>
                <w:sz w:val="2"/>
                <w:szCs w:val="2"/>
              </w:rPr>
            </w:pPr>
          </w:p>
        </w:tc>
        <w:tc>
          <w:tcPr>
            <w:tcW w:w="113" w:type="dxa"/>
            <w:vMerge w:val="restart"/>
            <w:tcBorders>
              <w:top w:val="nil"/>
              <w:right w:val="single" w:sz="4" w:space="0" w:color="000000"/>
            </w:tcBorders>
          </w:tcPr>
          <w:p>
            <w:pPr>
              <w:pStyle w:val="TableParagraph"/>
              <w:rPr>
                <w:rFonts w:ascii="Times New Roman"/>
                <w:sz w:val="20"/>
              </w:rPr>
            </w:pPr>
          </w:p>
        </w:tc>
        <w:tc>
          <w:tcPr>
            <w:tcW w:w="149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3"/>
              <w:ind w:left="431"/>
              <w:rPr>
                <w:sz w:val="21"/>
              </w:rPr>
            </w:pPr>
            <w:r>
              <w:rPr>
                <w:sz w:val="21"/>
              </w:rPr>
              <w:t>项目分析</w:t>
            </w:r>
          </w:p>
        </w:tc>
        <w:tc>
          <w:tcPr>
            <w:tcW w:w="615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3"/>
              <w:ind w:left="2948" w:right="2732"/>
              <w:jc w:val="center"/>
              <w:rPr>
                <w:sz w:val="21"/>
              </w:rPr>
            </w:pPr>
            <w:r>
              <w:rPr>
                <w:sz w:val="21"/>
              </w:rPr>
              <w:t>结论</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806"/>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149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2" w:line="242" w:lineRule="auto"/>
              <w:ind w:left="435" w:right="313" w:hanging="106"/>
              <w:rPr>
                <w:sz w:val="21"/>
              </w:rPr>
            </w:pPr>
            <w:r>
              <w:rPr>
                <w:sz w:val="21"/>
              </w:rPr>
              <w:t>土地利用符合性</w:t>
            </w:r>
          </w:p>
        </w:tc>
        <w:tc>
          <w:tcPr>
            <w:tcW w:w="6150"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4" w:firstLine="420"/>
              <w:rPr>
                <w:sz w:val="21"/>
              </w:rPr>
            </w:pPr>
            <w:r>
              <w:rPr>
                <w:sz w:val="21"/>
              </w:rPr>
              <w:t>厂址位于山东省德州市宁津县辽河大街东首路北，属于宁津经济开发区规划范围，用地为工业用地，符合宁津县经济开发区</w:t>
            </w:r>
          </w:p>
          <w:p>
            <w:pPr>
              <w:pStyle w:val="TableParagraph"/>
              <w:spacing w:line="247" w:lineRule="exact"/>
              <w:ind w:left="113"/>
              <w:rPr>
                <w:sz w:val="21"/>
              </w:rPr>
            </w:pPr>
            <w:r>
              <w:rPr>
                <w:sz w:val="21"/>
              </w:rPr>
              <w:t>总体规划。</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984"/>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149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
              <w:rPr>
                <w:sz w:val="17"/>
              </w:rPr>
            </w:pPr>
          </w:p>
          <w:p>
            <w:pPr>
              <w:pStyle w:val="TableParagraph"/>
              <w:spacing w:line="242" w:lineRule="auto"/>
              <w:ind w:left="541" w:right="102" w:hanging="420"/>
              <w:rPr>
                <w:sz w:val="21"/>
              </w:rPr>
            </w:pPr>
            <w:r>
              <w:rPr>
                <w:sz w:val="21"/>
              </w:rPr>
              <w:t>供水、供电、排水</w:t>
            </w:r>
          </w:p>
        </w:tc>
        <w:tc>
          <w:tcPr>
            <w:tcW w:w="615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2" w:line="242" w:lineRule="auto"/>
              <w:ind w:left="113" w:right="94" w:firstLine="420"/>
              <w:jc w:val="both"/>
              <w:rPr>
                <w:sz w:val="21"/>
              </w:rPr>
            </w:pPr>
            <w:r>
              <w:rPr>
                <w:sz w:val="21"/>
              </w:rPr>
              <w:t>本项目生产用水、生活用水来自宁津县市政供水管网，供电设施齐全。本项目无生产废水排放，生活污水经化粪池处理后通过市政污水管网排入宁津县嘉诚水质净化有限公司深度处理。</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327"/>
        </w:trPr>
        <w:tc>
          <w:tcPr>
            <w:tcW w:w="1168" w:type="dxa"/>
            <w:vMerge/>
            <w:tcBorders>
              <w:top w:val="nil"/>
            </w:tcBorders>
          </w:tcPr>
          <w:p>
            <w:pPr>
              <w:rPr>
                <w:sz w:val="2"/>
                <w:szCs w:val="2"/>
              </w:rPr>
            </w:pPr>
          </w:p>
        </w:tc>
        <w:tc>
          <w:tcPr>
            <w:tcW w:w="113" w:type="dxa"/>
            <w:vMerge/>
            <w:tcBorders>
              <w:top w:val="nil"/>
              <w:right w:val="single" w:sz="4" w:space="0" w:color="000000"/>
            </w:tcBorders>
          </w:tcPr>
          <w:p>
            <w:pPr>
              <w:rPr>
                <w:sz w:val="2"/>
                <w:szCs w:val="2"/>
              </w:rPr>
            </w:pPr>
          </w:p>
        </w:tc>
        <w:tc>
          <w:tcPr>
            <w:tcW w:w="1494"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24"/>
              <w:ind w:left="330"/>
              <w:rPr>
                <w:sz w:val="21"/>
              </w:rPr>
            </w:pPr>
            <w:r>
              <w:rPr>
                <w:sz w:val="21"/>
              </w:rPr>
              <w:t>交通运输</w:t>
            </w:r>
          </w:p>
        </w:tc>
        <w:tc>
          <w:tcPr>
            <w:tcW w:w="6150"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24"/>
              <w:ind w:left="533"/>
              <w:rPr>
                <w:sz w:val="21"/>
              </w:rPr>
            </w:pPr>
            <w:r>
              <w:rPr>
                <w:sz w:val="21"/>
              </w:rPr>
              <w:t>本项目厂界南侧为辽河大街，交通便利。</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8"/>
          <w:pgSz w:w="11910" w:h="16840"/>
          <w:pgMar w:top="1420" w:right="1119" w:bottom="1120" w:left="1120" w:header="0" w:footer="939" w:gutter="0"/>
          <w:pgNumType w:start="14"/>
          <w:cols w:num="1" w:space="720"/>
        </w:sectPr>
      </w:pPr>
    </w:p>
    <w:tbl>
      <w:tblPr>
        <w:tblStyle w:val="TableNormal"/>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8"/>
        <w:gridCol w:w="113"/>
        <w:gridCol w:w="1494"/>
        <w:gridCol w:w="6150"/>
        <w:gridCol w:w="113"/>
      </w:tblGrid>
      <w:tr>
        <w:tblPrEx>
          <w:tblW w:w="0" w:type="auto"/>
          <w:tblInd w:w="3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922"/>
        </w:trPr>
        <w:tc>
          <w:tcPr>
            <w:tcW w:w="1168" w:type="dxa"/>
            <w:vMerge w:val="restart"/>
          </w:tcPr>
          <w:p>
            <w:pPr>
              <w:pStyle w:val="TableParagraph"/>
              <w:rPr>
                <w:rFonts w:ascii="Times New Roman"/>
                <w:sz w:val="20"/>
              </w:rPr>
            </w:pPr>
          </w:p>
        </w:tc>
        <w:tc>
          <w:tcPr>
            <w:tcW w:w="113" w:type="dxa"/>
            <w:vMerge w:val="restart"/>
            <w:tcBorders>
              <w:bottom w:val="nil"/>
              <w:right w:val="single" w:sz="4" w:space="0" w:color="000000"/>
            </w:tcBorders>
          </w:tcPr>
          <w:p>
            <w:pPr>
              <w:pStyle w:val="TableParagraph"/>
              <w:rPr>
                <w:rFonts w:ascii="Times New Roman"/>
                <w:sz w:val="20"/>
              </w:rPr>
            </w:pPr>
          </w:p>
        </w:tc>
        <w:tc>
          <w:tcPr>
            <w:tcW w:w="1494" w:type="dxa"/>
            <w:tcBorders>
              <w:top w:val="single" w:sz="12" w:space="0" w:color="000000"/>
              <w:left w:val="single" w:sz="4" w:space="0" w:color="000000"/>
              <w:bottom w:val="single" w:sz="4" w:space="0" w:color="000000"/>
              <w:right w:val="single" w:sz="4" w:space="0" w:color="000000"/>
            </w:tcBorders>
          </w:tcPr>
          <w:p>
            <w:pPr>
              <w:pStyle w:val="TableParagraph"/>
              <w:spacing w:before="1"/>
              <w:rPr>
                <w:sz w:val="15"/>
              </w:rPr>
            </w:pPr>
          </w:p>
          <w:p>
            <w:pPr>
              <w:pStyle w:val="TableParagraph"/>
              <w:spacing w:line="242" w:lineRule="auto"/>
              <w:ind w:left="435" w:right="102" w:hanging="315"/>
              <w:rPr>
                <w:sz w:val="21"/>
              </w:rPr>
            </w:pPr>
            <w:r>
              <w:rPr>
                <w:sz w:val="21"/>
              </w:rPr>
              <w:t>外界环境对项目影响</w:t>
            </w:r>
          </w:p>
        </w:tc>
        <w:tc>
          <w:tcPr>
            <w:tcW w:w="6150" w:type="dxa"/>
            <w:tcBorders>
              <w:top w:val="single" w:sz="12" w:space="0" w:color="000000"/>
              <w:left w:val="single" w:sz="4" w:space="0" w:color="000000"/>
              <w:bottom w:val="single" w:sz="4" w:space="0" w:color="000000"/>
              <w:right w:val="single" w:sz="4" w:space="0" w:color="000000"/>
            </w:tcBorders>
          </w:tcPr>
          <w:p>
            <w:pPr>
              <w:pStyle w:val="TableParagraph"/>
              <w:spacing w:before="56" w:line="242" w:lineRule="auto"/>
              <w:ind w:left="113" w:right="91" w:firstLine="420"/>
              <w:jc w:val="both"/>
              <w:rPr>
                <w:sz w:val="21"/>
              </w:rPr>
            </w:pPr>
            <w:r>
              <w:rPr>
                <w:sz w:val="21"/>
              </w:rPr>
              <w:t>本项目周围主要为其他公司厂房，周围企业经采取污染防治措施后污染较小；本项目属于塑料板材项目，对外界环境要求不高。因此，周围环境对项目影响不大。</w:t>
            </w:r>
          </w:p>
        </w:tc>
        <w:tc>
          <w:tcPr>
            <w:tcW w:w="113" w:type="dxa"/>
            <w:tcBorders>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1895"/>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494"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3" w:line="242" w:lineRule="auto"/>
              <w:ind w:left="435" w:right="102" w:hanging="315"/>
              <w:rPr>
                <w:sz w:val="21"/>
              </w:rPr>
            </w:pPr>
            <w:r>
              <w:rPr>
                <w:sz w:val="21"/>
              </w:rPr>
              <w:t>项目对外界环境影响</w:t>
            </w:r>
          </w:p>
        </w:tc>
        <w:tc>
          <w:tcPr>
            <w:tcW w:w="615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1" w:firstLine="420"/>
              <w:jc w:val="both"/>
              <w:rPr>
                <w:sz w:val="21"/>
              </w:rPr>
            </w:pPr>
            <w:r>
              <w:rPr>
                <w:sz w:val="21"/>
              </w:rPr>
              <w:t>本项目产生的废气经收集处理后均达标排放。本项目选用低噪声设备、加强设备维护、建筑隔声、距离衰减以及风机安装消</w:t>
            </w:r>
            <w:r>
              <w:rPr>
                <w:w w:val="95"/>
                <w:sz w:val="21"/>
              </w:rPr>
              <w:t xml:space="preserve">声器等降噪措施，能实现厂界达标排放。本项目无生产废水排 </w:t>
            </w:r>
            <w:r>
              <w:rPr>
                <w:sz w:val="21"/>
              </w:rPr>
              <w:t>放，生活污水经化粪池处理后通过市政污水管网排入宁津县嘉诚水质净化有限公司深度处理。本项目固废全部得到资源化、合理化、无害化处理，做到零排放。本项目排放污染物均能实现达标</w:t>
            </w:r>
          </w:p>
          <w:p>
            <w:pPr>
              <w:pStyle w:val="TableParagraph"/>
              <w:spacing w:line="245" w:lineRule="exact"/>
              <w:ind w:left="113"/>
              <w:rPr>
                <w:sz w:val="21"/>
              </w:rPr>
            </w:pPr>
            <w:r>
              <w:rPr>
                <w:sz w:val="21"/>
              </w:rPr>
              <w:t>排放，对外界环境影响较小。</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682"/>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494" w:type="dxa"/>
            <w:tcBorders>
              <w:top w:val="single" w:sz="4" w:space="0" w:color="000000"/>
              <w:left w:val="single" w:sz="4" w:space="0" w:color="000000"/>
              <w:bottom w:val="single" w:sz="4" w:space="0" w:color="000000"/>
              <w:right w:val="single" w:sz="4" w:space="0" w:color="000000"/>
            </w:tcBorders>
          </w:tcPr>
          <w:p>
            <w:pPr>
              <w:pStyle w:val="TableParagraph"/>
              <w:spacing w:before="70" w:line="242" w:lineRule="auto"/>
              <w:ind w:left="435" w:right="102" w:hanging="315"/>
              <w:rPr>
                <w:sz w:val="21"/>
              </w:rPr>
            </w:pPr>
            <w:r>
              <w:rPr>
                <w:sz w:val="21"/>
              </w:rPr>
              <w:t>对风景名胜区的影响</w:t>
            </w:r>
          </w:p>
        </w:tc>
        <w:tc>
          <w:tcPr>
            <w:tcW w:w="6150" w:type="dxa"/>
            <w:tcBorders>
              <w:top w:val="single" w:sz="4" w:space="0" w:color="000000"/>
              <w:left w:val="single" w:sz="4" w:space="0" w:color="000000"/>
              <w:bottom w:val="single" w:sz="4" w:space="0" w:color="000000"/>
              <w:right w:val="single" w:sz="4" w:space="0" w:color="000000"/>
            </w:tcBorders>
          </w:tcPr>
          <w:p>
            <w:pPr>
              <w:pStyle w:val="TableParagraph"/>
              <w:spacing w:before="12"/>
              <w:rPr>
                <w:sz w:val="15"/>
              </w:rPr>
            </w:pPr>
          </w:p>
          <w:p>
            <w:pPr>
              <w:pStyle w:val="TableParagraph"/>
              <w:ind w:left="533"/>
              <w:rPr>
                <w:sz w:val="21"/>
              </w:rPr>
            </w:pPr>
            <w:r>
              <w:rPr>
                <w:sz w:val="21"/>
              </w:rPr>
              <w:t>本项目周围</w:t>
            </w:r>
            <w:r>
              <w:rPr>
                <w:rFonts w:ascii="Times New Roman" w:eastAsia="Times New Roman"/>
                <w:sz w:val="21"/>
              </w:rPr>
              <w:t>2km</w:t>
            </w:r>
            <w:r>
              <w:rPr>
                <w:sz w:val="21"/>
              </w:rPr>
              <w:t>范围内无风景名胜区。</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976"/>
        </w:trPr>
        <w:tc>
          <w:tcPr>
            <w:tcW w:w="1168" w:type="dxa"/>
            <w:vMerge/>
            <w:tcBorders>
              <w:top w:val="nil"/>
            </w:tcBorders>
          </w:tcPr>
          <w:p>
            <w:pPr>
              <w:rPr>
                <w:sz w:val="2"/>
                <w:szCs w:val="2"/>
              </w:rPr>
            </w:pPr>
          </w:p>
        </w:tc>
        <w:tc>
          <w:tcPr>
            <w:tcW w:w="113" w:type="dxa"/>
            <w:vMerge/>
            <w:tcBorders>
              <w:top w:val="nil"/>
              <w:bottom w:val="nil"/>
              <w:right w:val="single" w:sz="4" w:space="0" w:color="000000"/>
            </w:tcBorders>
          </w:tcPr>
          <w:p>
            <w:pPr>
              <w:rPr>
                <w:sz w:val="2"/>
                <w:szCs w:val="2"/>
              </w:rPr>
            </w:pPr>
          </w:p>
        </w:tc>
        <w:tc>
          <w:tcPr>
            <w:tcW w:w="1494" w:type="dxa"/>
            <w:tcBorders>
              <w:top w:val="single" w:sz="4" w:space="0" w:color="000000"/>
              <w:left w:val="single" w:sz="4" w:space="0" w:color="000000"/>
              <w:bottom w:val="single" w:sz="4" w:space="0" w:color="000000"/>
              <w:right w:val="single" w:sz="4" w:space="0" w:color="000000"/>
            </w:tcBorders>
          </w:tcPr>
          <w:p>
            <w:pPr>
              <w:pStyle w:val="TableParagraph"/>
              <w:spacing w:before="6"/>
              <w:rPr>
                <w:sz w:val="27"/>
              </w:rPr>
            </w:pPr>
          </w:p>
          <w:p>
            <w:pPr>
              <w:pStyle w:val="TableParagraph"/>
              <w:ind w:left="227"/>
              <w:rPr>
                <w:sz w:val="21"/>
              </w:rPr>
            </w:pPr>
            <w:r>
              <w:rPr>
                <w:sz w:val="21"/>
              </w:rPr>
              <w:t>环境敏感点</w:t>
            </w:r>
          </w:p>
        </w:tc>
        <w:tc>
          <w:tcPr>
            <w:tcW w:w="6150" w:type="dxa"/>
            <w:tcBorders>
              <w:top w:val="single" w:sz="4" w:space="0" w:color="000000"/>
              <w:left w:val="single" w:sz="4" w:space="0" w:color="000000"/>
              <w:bottom w:val="single" w:sz="4" w:space="0" w:color="000000"/>
              <w:right w:val="single" w:sz="4" w:space="0" w:color="000000"/>
            </w:tcBorders>
          </w:tcPr>
          <w:p>
            <w:pPr>
              <w:pStyle w:val="TableParagraph"/>
              <w:spacing w:before="81" w:line="242" w:lineRule="auto"/>
              <w:ind w:left="113" w:right="91" w:firstLine="420"/>
              <w:jc w:val="both"/>
              <w:rPr>
                <w:sz w:val="21"/>
              </w:rPr>
            </w:pPr>
            <w:r>
              <w:rPr>
                <w:spacing w:val="10"/>
                <w:w w:val="95"/>
                <w:sz w:val="21"/>
              </w:rPr>
              <w:t xml:space="preserve">本项目排放污染物采取合理治理措施后，均能实现达标排 </w:t>
            </w:r>
            <w:r>
              <w:rPr>
                <w:spacing w:val="3"/>
                <w:w w:val="95"/>
                <w:sz w:val="21"/>
              </w:rPr>
              <w:t>放，距离本项目最近的敏感点为厂界北侧</w:t>
            </w:r>
            <w:r>
              <w:rPr>
                <w:rFonts w:ascii="Times New Roman" w:eastAsia="Times New Roman"/>
                <w:spacing w:val="2"/>
                <w:w w:val="95"/>
                <w:sz w:val="21"/>
              </w:rPr>
              <w:t>80m</w:t>
            </w:r>
            <w:r>
              <w:rPr>
                <w:spacing w:val="3"/>
                <w:w w:val="95"/>
                <w:sz w:val="21"/>
              </w:rPr>
              <w:t xml:space="preserve">处的大香坊村，本 </w:t>
            </w:r>
            <w:r>
              <w:rPr>
                <w:spacing w:val="3"/>
                <w:sz w:val="21"/>
              </w:rPr>
              <w:t>项目的建设运行对周围敏感点环境影响较小。</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24" w:type="dxa"/>
          <w:tblLayout w:type="fixed"/>
          <w:tblCellMar>
            <w:top w:w="0" w:type="dxa"/>
            <w:left w:w="0" w:type="dxa"/>
            <w:bottom w:w="0" w:type="dxa"/>
            <w:right w:w="0" w:type="dxa"/>
          </w:tblCellMar>
        </w:tblPrEx>
        <w:trPr>
          <w:trHeight w:val="9125"/>
        </w:trPr>
        <w:tc>
          <w:tcPr>
            <w:tcW w:w="1168" w:type="dxa"/>
            <w:vMerge/>
            <w:tcBorders>
              <w:top w:val="nil"/>
            </w:tcBorders>
          </w:tcPr>
          <w:p>
            <w:pPr>
              <w:rPr>
                <w:sz w:val="2"/>
                <w:szCs w:val="2"/>
              </w:rPr>
            </w:pPr>
          </w:p>
        </w:tc>
        <w:tc>
          <w:tcPr>
            <w:tcW w:w="7870" w:type="dxa"/>
            <w:gridSpan w:val="4"/>
            <w:tcBorders>
              <w:top w:val="single" w:sz="4" w:space="0" w:color="000000"/>
            </w:tcBorders>
          </w:tcPr>
          <w:p>
            <w:pPr>
              <w:pStyle w:val="TableParagraph"/>
              <w:spacing w:before="118"/>
              <w:ind w:left="587"/>
              <w:rPr>
                <w:sz w:val="24"/>
              </w:rPr>
            </w:pPr>
            <w:r>
              <w:rPr>
                <w:sz w:val="24"/>
              </w:rPr>
              <w:t>由以上分析可知，项目选址较为合理。</w:t>
            </w:r>
          </w:p>
        </w:tc>
      </w:tr>
    </w:tbl>
    <w:p>
      <w:pPr>
        <w:spacing w:after="0"/>
        <w:rPr>
          <w:sz w:val="24"/>
        </w:rPr>
        <w:sectPr>
          <w:footerReference w:type="default" r:id="rId19"/>
          <w:pgSz w:w="11910" w:h="16840"/>
          <w:pgMar w:top="1420" w:right="1119" w:bottom="1120" w:left="1120" w:header="0" w:footer="939" w:gutter="0"/>
          <w:pgNumType w:start="15"/>
          <w:cols w:num="1" w:space="720"/>
        </w:sectPr>
      </w:pPr>
    </w:p>
    <w:p>
      <w:pPr>
        <w:pStyle w:val="Heading1"/>
        <w:ind w:right="840"/>
      </w:pPr>
      <w:r>
        <w:pict>
          <v:shape id="_x0000_s1031" o:spid="_x0000_s1030" type="#_x0000_t202" style="width:406.65pt;height:41.2pt;margin-top:376.8pt;margin-left:116.8pt;mso-height-relative:page;mso-position-horizontal-relative:page;mso-position-vertical-relative:page;mso-width-relative:page;position:absolute;z-index:25166336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05"/>
                    <w:gridCol w:w="3062"/>
                    <w:gridCol w:w="1353"/>
                    <w:gridCol w:w="2298"/>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6"/>
                    </w:trPr>
                    <w:tc>
                      <w:tcPr>
                        <w:tcW w:w="1405" w:type="dxa"/>
                      </w:tcPr>
                      <w:p>
                        <w:pPr>
                          <w:pStyle w:val="TableParagraph"/>
                          <w:spacing w:before="62"/>
                          <w:ind w:left="469" w:right="463"/>
                          <w:jc w:val="center"/>
                          <w:rPr>
                            <w:b/>
                            <w:sz w:val="21"/>
                          </w:rPr>
                        </w:pPr>
                        <w:r>
                          <w:rPr>
                            <w:b/>
                            <w:sz w:val="21"/>
                          </w:rPr>
                          <w:t>序号</w:t>
                        </w:r>
                      </w:p>
                    </w:tc>
                    <w:tc>
                      <w:tcPr>
                        <w:tcW w:w="3062" w:type="dxa"/>
                      </w:tcPr>
                      <w:p>
                        <w:pPr>
                          <w:pStyle w:val="TableParagraph"/>
                          <w:spacing w:before="62"/>
                          <w:ind w:left="670" w:right="662"/>
                          <w:jc w:val="center"/>
                          <w:rPr>
                            <w:b/>
                            <w:sz w:val="21"/>
                          </w:rPr>
                        </w:pPr>
                        <w:r>
                          <w:rPr>
                            <w:b/>
                            <w:sz w:val="21"/>
                          </w:rPr>
                          <w:t>产品名称</w:t>
                        </w:r>
                      </w:p>
                    </w:tc>
                    <w:tc>
                      <w:tcPr>
                        <w:tcW w:w="1353" w:type="dxa"/>
                      </w:tcPr>
                      <w:p>
                        <w:pPr>
                          <w:pStyle w:val="TableParagraph"/>
                          <w:spacing w:before="62"/>
                          <w:ind w:left="442" w:right="438"/>
                          <w:jc w:val="center"/>
                          <w:rPr>
                            <w:b/>
                            <w:sz w:val="21"/>
                          </w:rPr>
                        </w:pPr>
                        <w:r>
                          <w:rPr>
                            <w:b/>
                            <w:sz w:val="21"/>
                          </w:rPr>
                          <w:t>单位</w:t>
                        </w:r>
                      </w:p>
                    </w:tc>
                    <w:tc>
                      <w:tcPr>
                        <w:tcW w:w="2298" w:type="dxa"/>
                      </w:tcPr>
                      <w:p>
                        <w:pPr>
                          <w:pStyle w:val="TableParagraph"/>
                          <w:spacing w:before="62"/>
                          <w:ind w:left="915" w:right="909"/>
                          <w:jc w:val="center"/>
                          <w:rPr>
                            <w:b/>
                            <w:sz w:val="21"/>
                          </w:rPr>
                        </w:pPr>
                        <w:r>
                          <w:rPr>
                            <w:b/>
                            <w:sz w:val="21"/>
                          </w:rPr>
                          <w:t>产量</w:t>
                        </w:r>
                      </w:p>
                    </w:tc>
                  </w:tr>
                  <w:tr>
                    <w:tblPrEx>
                      <w:tblW w:w="0" w:type="auto"/>
                      <w:tblInd w:w="5" w:type="dxa"/>
                      <w:tblLayout w:type="fixed"/>
                      <w:tblCellMar>
                        <w:top w:w="0" w:type="dxa"/>
                        <w:left w:w="0" w:type="dxa"/>
                        <w:bottom w:w="0" w:type="dxa"/>
                        <w:right w:w="0" w:type="dxa"/>
                      </w:tblCellMar>
                    </w:tblPrEx>
                    <w:trPr>
                      <w:trHeight w:val="397"/>
                    </w:trPr>
                    <w:tc>
                      <w:tcPr>
                        <w:tcW w:w="1405" w:type="dxa"/>
                      </w:tcPr>
                      <w:p>
                        <w:pPr>
                          <w:pStyle w:val="TableParagraph"/>
                          <w:spacing w:before="77"/>
                          <w:ind w:left="7"/>
                          <w:jc w:val="center"/>
                          <w:rPr>
                            <w:rFonts w:ascii="Times New Roman"/>
                            <w:sz w:val="21"/>
                          </w:rPr>
                        </w:pPr>
                        <w:r>
                          <w:rPr>
                            <w:rFonts w:ascii="Times New Roman"/>
                            <w:w w:val="99"/>
                            <w:sz w:val="21"/>
                          </w:rPr>
                          <w:t>1</w:t>
                        </w:r>
                      </w:p>
                    </w:tc>
                    <w:tc>
                      <w:tcPr>
                        <w:tcW w:w="3062" w:type="dxa"/>
                      </w:tcPr>
                      <w:p>
                        <w:pPr>
                          <w:pStyle w:val="TableParagraph"/>
                          <w:spacing w:before="63"/>
                          <w:ind w:left="670" w:right="662"/>
                          <w:jc w:val="center"/>
                          <w:rPr>
                            <w:sz w:val="21"/>
                          </w:rPr>
                        </w:pPr>
                        <w:r>
                          <w:rPr>
                            <w:sz w:val="21"/>
                          </w:rPr>
                          <w:t>高分子聚乙烯板材</w:t>
                        </w:r>
                      </w:p>
                    </w:tc>
                    <w:tc>
                      <w:tcPr>
                        <w:tcW w:w="1353" w:type="dxa"/>
                      </w:tcPr>
                      <w:p>
                        <w:pPr>
                          <w:pStyle w:val="TableParagraph"/>
                          <w:spacing w:before="77"/>
                          <w:ind w:left="442" w:right="434"/>
                          <w:jc w:val="center"/>
                          <w:rPr>
                            <w:rFonts w:ascii="Times New Roman"/>
                            <w:sz w:val="21"/>
                          </w:rPr>
                        </w:pPr>
                        <w:r>
                          <w:rPr>
                            <w:rFonts w:ascii="Times New Roman"/>
                            <w:sz w:val="21"/>
                          </w:rPr>
                          <w:t>t/a</w:t>
                        </w:r>
                      </w:p>
                    </w:tc>
                    <w:tc>
                      <w:tcPr>
                        <w:tcW w:w="2298" w:type="dxa"/>
                      </w:tcPr>
                      <w:p>
                        <w:pPr>
                          <w:pStyle w:val="TableParagraph"/>
                          <w:spacing w:before="77"/>
                          <w:ind w:left="916" w:right="906"/>
                          <w:jc w:val="center"/>
                          <w:rPr>
                            <w:rFonts w:ascii="Times New Roman"/>
                            <w:sz w:val="21"/>
                          </w:rPr>
                        </w:pPr>
                        <w:r>
                          <w:rPr>
                            <w:rFonts w:ascii="Times New Roman"/>
                            <w:sz w:val="21"/>
                          </w:rPr>
                          <w:t>6000</w:t>
                        </w:r>
                      </w:p>
                    </w:tc>
                  </w:tr>
                </w:tbl>
                <w:p>
                  <w:pPr>
                    <w:pStyle w:val="BodyText"/>
                  </w:pPr>
                </w:p>
              </w:txbxContent>
            </v:textbox>
          </v:shape>
        </w:pict>
      </w:r>
      <w:bookmarkStart w:id="2" w:name="_TOC_250004"/>
      <w:bookmarkEnd w:id="2"/>
      <w:r>
        <w:t>二、建设项目工程分析</w:t>
      </w:r>
    </w:p>
    <w:p>
      <w:pPr>
        <w:pStyle w:val="BodyText"/>
        <w:spacing w:before="6"/>
        <w:rPr>
          <w:b/>
          <w:sz w:val="9"/>
        </w:rPr>
      </w:pPr>
    </w:p>
    <w:tbl>
      <w:tblPr>
        <w:tblStyle w:val="TableNormal"/>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95"/>
        <w:gridCol w:w="113"/>
        <w:gridCol w:w="725"/>
        <w:gridCol w:w="1030"/>
        <w:gridCol w:w="4399"/>
        <w:gridCol w:w="1967"/>
        <w:gridCol w:w="113"/>
      </w:tblGrid>
      <w:tr>
        <w:tblPrEx>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218"/>
        </w:trPr>
        <w:tc>
          <w:tcPr>
            <w:tcW w:w="895" w:type="dxa"/>
            <w:vMerge w:val="restart"/>
            <w:tcBorders>
              <w:right w:val="single" w:sz="4" w:space="0" w:color="000000"/>
            </w:tcBorders>
          </w:tcPr>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spacing w:before="3"/>
              <w:rPr>
                <w:b/>
                <w:sz w:val="34"/>
              </w:rPr>
            </w:pPr>
          </w:p>
          <w:p>
            <w:pPr>
              <w:pStyle w:val="TableParagraph"/>
              <w:spacing w:line="242" w:lineRule="auto"/>
              <w:ind w:left="206" w:right="193"/>
              <w:rPr>
                <w:sz w:val="24"/>
              </w:rPr>
            </w:pPr>
            <w:r>
              <w:rPr>
                <w:sz w:val="24"/>
              </w:rPr>
              <w:t>建设内容</w:t>
            </w:r>
          </w:p>
        </w:tc>
        <w:tc>
          <w:tcPr>
            <w:tcW w:w="8347" w:type="dxa"/>
            <w:gridSpan w:val="6"/>
            <w:tcBorders>
              <w:left w:val="single" w:sz="4" w:space="0" w:color="000000"/>
              <w:bottom w:val="single" w:sz="4" w:space="0" w:color="000000"/>
            </w:tcBorders>
          </w:tcPr>
          <w:p>
            <w:pPr>
              <w:pStyle w:val="TableParagraph"/>
              <w:spacing w:before="122"/>
              <w:ind w:left="112"/>
              <w:rPr>
                <w:b/>
                <w:sz w:val="24"/>
              </w:rPr>
            </w:pPr>
            <w:r>
              <w:rPr>
                <w:rFonts w:ascii="Times New Roman" w:eastAsia="Times New Roman"/>
                <w:b/>
                <w:sz w:val="24"/>
              </w:rPr>
              <w:t>1</w:t>
            </w:r>
            <w:r>
              <w:rPr>
                <w:b/>
                <w:sz w:val="24"/>
              </w:rPr>
              <w:t>、项目概况</w:t>
            </w:r>
          </w:p>
          <w:p>
            <w:pPr>
              <w:pStyle w:val="TableParagraph"/>
              <w:spacing w:before="159"/>
              <w:ind w:left="592"/>
              <w:jc w:val="both"/>
              <w:rPr>
                <w:sz w:val="24"/>
              </w:rPr>
            </w:pPr>
            <w:r>
              <w:rPr>
                <w:sz w:val="24"/>
              </w:rPr>
              <w:t xml:space="preserve">山东辰泰耐磨材料有限公司拟投资 </w:t>
            </w:r>
            <w:r>
              <w:rPr>
                <w:rFonts w:ascii="Times New Roman" w:eastAsia="Times New Roman"/>
                <w:sz w:val="24"/>
              </w:rPr>
              <w:t xml:space="preserve">600 </w:t>
            </w:r>
            <w:r>
              <w:rPr>
                <w:sz w:val="24"/>
              </w:rPr>
              <w:t>万元建设年产高分子聚乙烯板材</w:t>
            </w:r>
          </w:p>
          <w:p>
            <w:pPr>
              <w:pStyle w:val="TableParagraph"/>
              <w:spacing w:before="160" w:line="364" w:lineRule="auto"/>
              <w:ind w:left="112" w:right="86"/>
              <w:jc w:val="both"/>
              <w:rPr>
                <w:sz w:val="24"/>
              </w:rPr>
            </w:pPr>
            <w:r>
              <w:rPr>
                <w:rFonts w:ascii="Times New Roman" w:eastAsia="Times New Roman"/>
                <w:sz w:val="24"/>
              </w:rPr>
              <w:t xml:space="preserve">6000 </w:t>
            </w:r>
            <w:r>
              <w:rPr>
                <w:sz w:val="24"/>
              </w:rPr>
              <w:t xml:space="preserve">吨项目（以下简称本项目），建设地点位于山东省德州市宁津县辽河大街东首路北，项目北侧为空地，东侧、西侧、南侧为其他公司厂房。（本项目地理位置见附图 </w:t>
            </w:r>
            <w:r>
              <w:rPr>
                <w:rFonts w:ascii="Times New Roman" w:eastAsia="Times New Roman"/>
                <w:sz w:val="24"/>
              </w:rPr>
              <w:t>1-</w:t>
            </w:r>
            <w:r>
              <w:rPr>
                <w:sz w:val="24"/>
              </w:rPr>
              <w:t>项目地理位置图）。</w:t>
            </w:r>
          </w:p>
          <w:p>
            <w:pPr>
              <w:pStyle w:val="TableParagraph"/>
              <w:spacing w:line="364" w:lineRule="auto"/>
              <w:ind w:left="112" w:right="86" w:firstLine="480"/>
              <w:jc w:val="both"/>
              <w:rPr>
                <w:sz w:val="24"/>
              </w:rPr>
            </w:pPr>
            <w:r>
              <w:rPr>
                <w:sz w:val="24"/>
              </w:rPr>
              <w:t xml:space="preserve">本项目利用现有车间进行建设，不新增占地，总占地面积 </w:t>
            </w:r>
            <w:r>
              <w:rPr>
                <w:rFonts w:ascii="Times New Roman" w:eastAsia="Times New Roman"/>
                <w:sz w:val="24"/>
              </w:rPr>
              <w:t>1500m</w:t>
            </w:r>
            <w:r>
              <w:rPr>
                <w:rFonts w:ascii="Times New Roman" w:eastAsia="Times New Roman"/>
                <w:position w:val="8"/>
                <w:sz w:val="15"/>
              </w:rPr>
              <w:t>2</w:t>
            </w:r>
            <w:r>
              <w:rPr>
                <w:sz w:val="24"/>
              </w:rPr>
              <w:t xml:space="preserve">，总建筑面积为 </w:t>
            </w:r>
            <w:r>
              <w:rPr>
                <w:rFonts w:ascii="Times New Roman" w:eastAsia="Times New Roman"/>
                <w:sz w:val="24"/>
              </w:rPr>
              <w:t>1500m</w:t>
            </w:r>
            <w:r>
              <w:rPr>
                <w:rFonts w:ascii="Times New Roman" w:eastAsia="Times New Roman"/>
                <w:position w:val="8"/>
                <w:sz w:val="15"/>
              </w:rPr>
              <w:t>2</w:t>
            </w:r>
            <w:r>
              <w:rPr>
                <w:sz w:val="24"/>
              </w:rPr>
              <w:t>，车间内部划分为原料区、成品区、生产区、办公区等，购置挤出机、龙门铣、雕刻机等设备。项目建成后达到年产高分子聚乙烯板材</w:t>
            </w:r>
            <w:r>
              <w:rPr>
                <w:rFonts w:ascii="Times New Roman" w:eastAsia="Times New Roman"/>
                <w:sz w:val="24"/>
              </w:rPr>
              <w:t xml:space="preserve">6000 </w:t>
            </w:r>
            <w:r>
              <w:rPr>
                <w:sz w:val="24"/>
              </w:rPr>
              <w:t>吨的生产能力。</w:t>
            </w:r>
          </w:p>
          <w:p>
            <w:pPr>
              <w:pStyle w:val="TableParagraph"/>
              <w:spacing w:line="305" w:lineRule="exact"/>
              <w:ind w:left="112"/>
              <w:rPr>
                <w:b/>
                <w:sz w:val="24"/>
              </w:rPr>
            </w:pPr>
            <w:r>
              <w:rPr>
                <w:rFonts w:ascii="Times New Roman" w:eastAsia="Times New Roman"/>
                <w:b/>
                <w:sz w:val="24"/>
              </w:rPr>
              <w:t>2</w:t>
            </w:r>
            <w:r>
              <w:rPr>
                <w:b/>
                <w:sz w:val="24"/>
              </w:rPr>
              <w:t>、项目主要产品及产能</w:t>
            </w:r>
          </w:p>
          <w:p>
            <w:pPr>
              <w:pStyle w:val="TableParagraph"/>
              <w:spacing w:before="158"/>
              <w:ind w:left="592"/>
              <w:rPr>
                <w:sz w:val="24"/>
              </w:rPr>
            </w:pPr>
            <w:r>
              <w:rPr>
                <w:sz w:val="24"/>
              </w:rPr>
              <w:t>本项目产品及产能，具体方案如下表。</w:t>
            </w:r>
          </w:p>
          <w:p>
            <w:pPr>
              <w:pStyle w:val="TableParagraph"/>
              <w:spacing w:before="158"/>
              <w:ind w:left="2620"/>
              <w:rPr>
                <w:b/>
                <w:sz w:val="24"/>
              </w:rPr>
            </w:pPr>
            <w:r>
              <w:rPr>
                <w:b/>
                <w:sz w:val="24"/>
              </w:rPr>
              <w:t xml:space="preserve">表 </w:t>
            </w:r>
            <w:r>
              <w:rPr>
                <w:rFonts w:ascii="Times New Roman" w:eastAsia="Times New Roman"/>
                <w:b/>
                <w:sz w:val="24"/>
              </w:rPr>
              <w:t xml:space="preserve">11 </w:t>
            </w:r>
            <w:r>
              <w:rPr>
                <w:b/>
                <w:sz w:val="24"/>
              </w:rPr>
              <w:t>项目产品方案一览表</w:t>
            </w:r>
          </w:p>
          <w:p>
            <w:pPr>
              <w:pStyle w:val="TableParagraph"/>
              <w:rPr>
                <w:b/>
                <w:sz w:val="26"/>
              </w:rPr>
            </w:pPr>
          </w:p>
          <w:p>
            <w:pPr>
              <w:pStyle w:val="TableParagraph"/>
              <w:rPr>
                <w:b/>
                <w:sz w:val="26"/>
              </w:rPr>
            </w:pPr>
          </w:p>
          <w:p>
            <w:pPr>
              <w:pStyle w:val="TableParagraph"/>
              <w:spacing w:before="12"/>
              <w:rPr>
                <w:b/>
                <w:sz w:val="21"/>
              </w:rPr>
            </w:pPr>
          </w:p>
          <w:p>
            <w:pPr>
              <w:pStyle w:val="TableParagraph"/>
              <w:ind w:left="112"/>
              <w:rPr>
                <w:b/>
                <w:sz w:val="24"/>
              </w:rPr>
            </w:pPr>
            <w:r>
              <w:rPr>
                <w:rFonts w:ascii="Times New Roman" w:eastAsia="Times New Roman"/>
                <w:b/>
                <w:sz w:val="24"/>
              </w:rPr>
              <w:t>3</w:t>
            </w:r>
            <w:r>
              <w:rPr>
                <w:b/>
                <w:sz w:val="24"/>
              </w:rPr>
              <w:t>、项目组成</w:t>
            </w:r>
          </w:p>
          <w:p>
            <w:pPr>
              <w:pStyle w:val="TableParagraph"/>
              <w:spacing w:before="161" w:line="362" w:lineRule="auto"/>
              <w:ind w:left="112" w:right="86" w:firstLine="480"/>
              <w:rPr>
                <w:sz w:val="24"/>
              </w:rPr>
            </w:pPr>
            <w:r>
              <w:rPr>
                <w:sz w:val="24"/>
              </w:rPr>
              <w:t>本项目组成主要包括主体工程、辅助工程、储运工程、公用工程和环保工程等，具体组成情况见下表。</w:t>
            </w:r>
          </w:p>
          <w:p>
            <w:pPr>
              <w:pStyle w:val="TableParagraph"/>
              <w:spacing w:before="5" w:line="285" w:lineRule="exact"/>
              <w:ind w:left="2493"/>
              <w:rPr>
                <w:b/>
                <w:sz w:val="24"/>
              </w:rPr>
            </w:pPr>
            <w:r>
              <w:rPr>
                <w:b/>
                <w:sz w:val="24"/>
              </w:rPr>
              <w:t xml:space="preserve">表 </w:t>
            </w:r>
            <w:r>
              <w:rPr>
                <w:rFonts w:ascii="Times New Roman" w:eastAsia="Times New Roman"/>
                <w:b/>
                <w:sz w:val="24"/>
              </w:rPr>
              <w:t xml:space="preserve">12 </w:t>
            </w:r>
            <w:r>
              <w:rPr>
                <w:b/>
                <w:sz w:val="24"/>
              </w:rPr>
              <w:t>本项目工程组成一览表</w:t>
            </w:r>
          </w:p>
        </w:tc>
      </w:tr>
      <w:tr>
        <w:tblPrEx>
          <w:tblW w:w="0" w:type="auto"/>
          <w:tblInd w:w="222" w:type="dxa"/>
          <w:tblLayout w:type="fixed"/>
          <w:tblCellMar>
            <w:top w:w="0" w:type="dxa"/>
            <w:left w:w="0" w:type="dxa"/>
            <w:bottom w:w="0" w:type="dxa"/>
            <w:right w:w="0" w:type="dxa"/>
          </w:tblCellMar>
        </w:tblPrEx>
        <w:trPr>
          <w:trHeight w:val="533"/>
        </w:trPr>
        <w:tc>
          <w:tcPr>
            <w:tcW w:w="895"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22"/>
              </w:rPr>
            </w:pPr>
          </w:p>
        </w:tc>
        <w:tc>
          <w:tcPr>
            <w:tcW w:w="725" w:type="dxa"/>
            <w:tcBorders>
              <w:top w:val="single" w:sz="4" w:space="0" w:color="000000"/>
              <w:left w:val="single" w:sz="4" w:space="0" w:color="000000"/>
              <w:bottom w:val="single" w:sz="4" w:space="0" w:color="000000"/>
              <w:right w:val="single" w:sz="4" w:space="0" w:color="000000"/>
            </w:tcBorders>
          </w:tcPr>
          <w:p>
            <w:pPr>
              <w:pStyle w:val="TableParagraph"/>
              <w:spacing w:before="129"/>
              <w:ind w:left="134" w:right="120"/>
              <w:jc w:val="center"/>
              <w:rPr>
                <w:sz w:val="21"/>
              </w:rPr>
            </w:pPr>
            <w:r>
              <w:rPr>
                <w:sz w:val="21"/>
              </w:rPr>
              <w:t>项目</w:t>
            </w:r>
          </w:p>
        </w:tc>
        <w:tc>
          <w:tcPr>
            <w:tcW w:w="1030"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309"/>
              <w:rPr>
                <w:sz w:val="21"/>
              </w:rPr>
            </w:pPr>
            <w:r>
              <w:rPr>
                <w:spacing w:val="-1"/>
                <w:w w:val="95"/>
                <w:sz w:val="21"/>
              </w:rPr>
              <w:t>工程</w:t>
            </w:r>
          </w:p>
          <w:p>
            <w:pPr>
              <w:pStyle w:val="TableParagraph"/>
              <w:spacing w:before="2" w:line="247" w:lineRule="exact"/>
              <w:ind w:left="309"/>
              <w:rPr>
                <w:sz w:val="21"/>
              </w:rPr>
            </w:pPr>
            <w:r>
              <w:rPr>
                <w:spacing w:val="-1"/>
                <w:w w:val="95"/>
                <w:sz w:val="21"/>
              </w:rPr>
              <w:t>内容</w:t>
            </w:r>
          </w:p>
        </w:tc>
        <w:tc>
          <w:tcPr>
            <w:tcW w:w="4399" w:type="dxa"/>
            <w:tcBorders>
              <w:top w:val="single" w:sz="4" w:space="0" w:color="000000"/>
              <w:left w:val="single" w:sz="4" w:space="0" w:color="000000"/>
              <w:bottom w:val="single" w:sz="4" w:space="0" w:color="000000"/>
              <w:right w:val="single" w:sz="4" w:space="0" w:color="000000"/>
            </w:tcBorders>
          </w:tcPr>
          <w:p>
            <w:pPr>
              <w:pStyle w:val="TableParagraph"/>
              <w:spacing w:before="129"/>
              <w:ind w:left="1972" w:right="1957"/>
              <w:jc w:val="center"/>
              <w:rPr>
                <w:sz w:val="21"/>
              </w:rPr>
            </w:pPr>
            <w:r>
              <w:rPr>
                <w:sz w:val="21"/>
              </w:rPr>
              <w:t>规模</w:t>
            </w:r>
          </w:p>
        </w:tc>
        <w:tc>
          <w:tcPr>
            <w:tcW w:w="1967" w:type="dxa"/>
            <w:tcBorders>
              <w:top w:val="single" w:sz="4" w:space="0" w:color="000000"/>
              <w:left w:val="single" w:sz="4" w:space="0" w:color="000000"/>
              <w:bottom w:val="single" w:sz="4" w:space="0" w:color="000000"/>
              <w:right w:val="single" w:sz="4" w:space="0" w:color="000000"/>
            </w:tcBorders>
          </w:tcPr>
          <w:p>
            <w:pPr>
              <w:pStyle w:val="TableParagraph"/>
              <w:spacing w:before="129"/>
              <w:ind w:left="124" w:right="110"/>
              <w:jc w:val="center"/>
              <w:rPr>
                <w:sz w:val="21"/>
              </w:rPr>
            </w:pPr>
            <w:r>
              <w:rPr>
                <w:sz w:val="21"/>
              </w:rPr>
              <w:t>备注</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535"/>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25"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55"/>
              <w:rPr>
                <w:sz w:val="21"/>
              </w:rPr>
            </w:pPr>
            <w:r>
              <w:rPr>
                <w:spacing w:val="-1"/>
                <w:w w:val="95"/>
                <w:sz w:val="21"/>
              </w:rPr>
              <w:t>主体</w:t>
            </w:r>
          </w:p>
          <w:p>
            <w:pPr>
              <w:pStyle w:val="TableParagraph"/>
              <w:spacing w:before="2" w:line="248" w:lineRule="exact"/>
              <w:ind w:left="155"/>
              <w:rPr>
                <w:sz w:val="21"/>
              </w:rPr>
            </w:pPr>
            <w:r>
              <w:rPr>
                <w:spacing w:val="-1"/>
                <w:w w:val="95"/>
                <w:sz w:val="21"/>
              </w:rPr>
              <w:t>工程</w:t>
            </w:r>
          </w:p>
        </w:tc>
        <w:tc>
          <w:tcPr>
            <w:tcW w:w="1030"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203"/>
              <w:rPr>
                <w:sz w:val="21"/>
              </w:rPr>
            </w:pPr>
            <w:r>
              <w:rPr>
                <w:w w:val="95"/>
                <w:sz w:val="21"/>
              </w:rPr>
              <w:t>综合生</w:t>
            </w:r>
          </w:p>
          <w:p>
            <w:pPr>
              <w:pStyle w:val="TableParagraph"/>
              <w:spacing w:before="2" w:line="248" w:lineRule="exact"/>
              <w:ind w:left="203"/>
              <w:rPr>
                <w:sz w:val="21"/>
              </w:rPr>
            </w:pPr>
            <w:r>
              <w:rPr>
                <w:w w:val="95"/>
                <w:sz w:val="21"/>
              </w:rPr>
              <w:t>产车间</w:t>
            </w:r>
          </w:p>
        </w:tc>
        <w:tc>
          <w:tcPr>
            <w:tcW w:w="4399"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12"/>
              <w:rPr>
                <w:sz w:val="21"/>
              </w:rPr>
            </w:pPr>
            <w:r>
              <w:rPr>
                <w:sz w:val="21"/>
              </w:rPr>
              <w:t xml:space="preserve">利用现有车间 </w:t>
            </w:r>
            <w:r>
              <w:rPr>
                <w:rFonts w:ascii="Times New Roman" w:eastAsia="Times New Roman"/>
                <w:sz w:val="21"/>
              </w:rPr>
              <w:t xml:space="preserve">1 </w:t>
            </w:r>
            <w:r>
              <w:rPr>
                <w:sz w:val="21"/>
              </w:rPr>
              <w:t xml:space="preserve">座，建筑面积 </w:t>
            </w:r>
            <w:r>
              <w:rPr>
                <w:rFonts w:ascii="Times New Roman" w:eastAsia="Times New Roman"/>
                <w:sz w:val="21"/>
              </w:rPr>
              <w:t>1500m</w:t>
            </w:r>
            <w:r>
              <w:rPr>
                <w:rFonts w:ascii="Times New Roman" w:eastAsia="Times New Roman"/>
                <w:position w:val="7"/>
                <w:sz w:val="13"/>
              </w:rPr>
              <w:t>2</w:t>
            </w:r>
            <w:r>
              <w:rPr>
                <w:sz w:val="21"/>
              </w:rPr>
              <w:t>，购置</w:t>
            </w:r>
          </w:p>
          <w:p>
            <w:pPr>
              <w:pStyle w:val="TableParagraph"/>
              <w:spacing w:before="2" w:line="248" w:lineRule="exact"/>
              <w:ind w:left="112"/>
              <w:rPr>
                <w:sz w:val="21"/>
              </w:rPr>
            </w:pPr>
            <w:r>
              <w:rPr>
                <w:sz w:val="21"/>
              </w:rPr>
              <w:t>挤出机、龙门铣、雕刻机等设备。</w:t>
            </w:r>
          </w:p>
        </w:tc>
        <w:tc>
          <w:tcPr>
            <w:tcW w:w="1967" w:type="dxa"/>
            <w:tcBorders>
              <w:top w:val="single" w:sz="4" w:space="0" w:color="000000"/>
              <w:left w:val="single" w:sz="4" w:space="0" w:color="000000"/>
              <w:bottom w:val="single" w:sz="4" w:space="0" w:color="000000"/>
              <w:right w:val="single" w:sz="4" w:space="0" w:color="000000"/>
            </w:tcBorders>
          </w:tcPr>
          <w:p>
            <w:pPr>
              <w:pStyle w:val="TableParagraph"/>
              <w:spacing w:before="130"/>
              <w:ind w:left="124" w:right="110"/>
              <w:jc w:val="center"/>
              <w:rPr>
                <w:sz w:val="21"/>
              </w:rPr>
            </w:pPr>
            <w:r>
              <w:rPr>
                <w:sz w:val="21"/>
              </w:rPr>
              <w:t>租赁现有车间</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535"/>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25"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55"/>
              <w:rPr>
                <w:sz w:val="21"/>
              </w:rPr>
            </w:pPr>
            <w:r>
              <w:rPr>
                <w:spacing w:val="-1"/>
                <w:w w:val="95"/>
                <w:sz w:val="21"/>
              </w:rPr>
              <w:t>辅助</w:t>
            </w:r>
          </w:p>
          <w:p>
            <w:pPr>
              <w:pStyle w:val="TableParagraph"/>
              <w:spacing w:before="4" w:line="246" w:lineRule="exact"/>
              <w:ind w:left="155"/>
              <w:rPr>
                <w:sz w:val="21"/>
              </w:rPr>
            </w:pPr>
            <w:r>
              <w:rPr>
                <w:spacing w:val="-1"/>
                <w:w w:val="95"/>
                <w:sz w:val="21"/>
              </w:rPr>
              <w:t>工程</w:t>
            </w:r>
          </w:p>
        </w:tc>
        <w:tc>
          <w:tcPr>
            <w:tcW w:w="1030" w:type="dxa"/>
            <w:tcBorders>
              <w:top w:val="single" w:sz="4" w:space="0" w:color="000000"/>
              <w:left w:val="single" w:sz="4" w:space="0" w:color="000000"/>
              <w:bottom w:val="single" w:sz="4" w:space="0" w:color="000000"/>
              <w:right w:val="single" w:sz="4" w:space="0" w:color="000000"/>
            </w:tcBorders>
          </w:tcPr>
          <w:p>
            <w:pPr>
              <w:pStyle w:val="TableParagraph"/>
              <w:spacing w:before="132"/>
              <w:ind w:left="183" w:right="167"/>
              <w:jc w:val="center"/>
              <w:rPr>
                <w:sz w:val="21"/>
              </w:rPr>
            </w:pPr>
            <w:r>
              <w:rPr>
                <w:sz w:val="21"/>
              </w:rPr>
              <w:t>办公区</w:t>
            </w:r>
          </w:p>
        </w:tc>
        <w:tc>
          <w:tcPr>
            <w:tcW w:w="4399" w:type="dxa"/>
            <w:tcBorders>
              <w:top w:val="single" w:sz="4" w:space="0" w:color="000000"/>
              <w:left w:val="single" w:sz="4" w:space="0" w:color="000000"/>
              <w:bottom w:val="single" w:sz="4" w:space="0" w:color="000000"/>
              <w:right w:val="single" w:sz="4" w:space="0" w:color="000000"/>
            </w:tcBorders>
          </w:tcPr>
          <w:p>
            <w:pPr>
              <w:pStyle w:val="TableParagraph"/>
              <w:spacing w:before="132"/>
              <w:ind w:left="112"/>
              <w:rPr>
                <w:sz w:val="21"/>
              </w:rPr>
            </w:pPr>
            <w:r>
              <w:rPr>
                <w:rFonts w:ascii="Times New Roman" w:eastAsia="Times New Roman"/>
                <w:sz w:val="21"/>
              </w:rPr>
              <w:t xml:space="preserve">1 </w:t>
            </w:r>
            <w:r>
              <w:rPr>
                <w:sz w:val="21"/>
              </w:rPr>
              <w:t>处，位于车间南侧。</w:t>
            </w:r>
          </w:p>
        </w:tc>
        <w:tc>
          <w:tcPr>
            <w:tcW w:w="1967" w:type="dxa"/>
            <w:tcBorders>
              <w:top w:val="single" w:sz="4" w:space="0" w:color="000000"/>
              <w:left w:val="single" w:sz="4" w:space="0" w:color="000000"/>
              <w:bottom w:val="single" w:sz="4" w:space="0" w:color="000000"/>
              <w:right w:val="single" w:sz="4" w:space="0" w:color="000000"/>
            </w:tcBorders>
          </w:tcPr>
          <w:p>
            <w:pPr>
              <w:pStyle w:val="TableParagraph"/>
              <w:spacing w:before="132"/>
              <w:ind w:left="127" w:right="110"/>
              <w:jc w:val="center"/>
              <w:rPr>
                <w:sz w:val="21"/>
              </w:rPr>
            </w:pPr>
            <w:r>
              <w:rPr>
                <w:sz w:val="21"/>
              </w:rPr>
              <w:t>不计入总建筑面积</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387"/>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25"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8"/>
              <w:rPr>
                <w:b/>
                <w:sz w:val="29"/>
              </w:rPr>
            </w:pPr>
          </w:p>
          <w:p>
            <w:pPr>
              <w:pStyle w:val="TableParagraph"/>
              <w:spacing w:line="242" w:lineRule="auto"/>
              <w:ind w:left="155" w:right="139"/>
              <w:rPr>
                <w:sz w:val="21"/>
              </w:rPr>
            </w:pPr>
            <w:r>
              <w:rPr>
                <w:sz w:val="21"/>
              </w:rPr>
              <w:t>公用工程</w:t>
            </w:r>
          </w:p>
        </w:tc>
        <w:tc>
          <w:tcPr>
            <w:tcW w:w="103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4"/>
              <w:rPr>
                <w:b/>
                <w:sz w:val="20"/>
              </w:rPr>
            </w:pPr>
          </w:p>
          <w:p>
            <w:pPr>
              <w:pStyle w:val="TableParagraph"/>
              <w:ind w:left="309"/>
              <w:rPr>
                <w:sz w:val="21"/>
              </w:rPr>
            </w:pPr>
            <w:r>
              <w:rPr>
                <w:sz w:val="21"/>
              </w:rPr>
              <w:t>供水</w:t>
            </w:r>
          </w:p>
        </w:tc>
        <w:tc>
          <w:tcPr>
            <w:tcW w:w="4399" w:type="dxa"/>
            <w:tcBorders>
              <w:top w:val="single" w:sz="4" w:space="0" w:color="000000"/>
              <w:left w:val="single" w:sz="4" w:space="0" w:color="000000"/>
              <w:bottom w:val="single" w:sz="4" w:space="0" w:color="000000"/>
              <w:right w:val="single" w:sz="4" w:space="0" w:color="000000"/>
            </w:tcBorders>
          </w:tcPr>
          <w:p>
            <w:pPr>
              <w:pStyle w:val="TableParagraph"/>
              <w:spacing w:before="57"/>
              <w:ind w:left="112"/>
              <w:rPr>
                <w:sz w:val="21"/>
              </w:rPr>
            </w:pPr>
            <w:r>
              <w:rPr>
                <w:sz w:val="21"/>
              </w:rPr>
              <w:t xml:space="preserve">生产用水量为 </w:t>
            </w:r>
            <w:r>
              <w:rPr>
                <w:rFonts w:ascii="Times New Roman" w:eastAsia="Times New Roman"/>
                <w:sz w:val="21"/>
              </w:rPr>
              <w:t>15m</w:t>
            </w:r>
            <w:r>
              <w:rPr>
                <w:rFonts w:ascii="Times New Roman" w:eastAsia="Times New Roman"/>
                <w:position w:val="7"/>
                <w:sz w:val="13"/>
              </w:rPr>
              <w:t>3</w:t>
            </w:r>
            <w:r>
              <w:rPr>
                <w:rFonts w:ascii="Times New Roman" w:eastAsia="Times New Roman"/>
                <w:sz w:val="21"/>
              </w:rPr>
              <w:t>/a</w:t>
            </w:r>
            <w:r>
              <w:rPr>
                <w:sz w:val="21"/>
              </w:rPr>
              <w:t>。</w:t>
            </w:r>
          </w:p>
        </w:tc>
        <w:tc>
          <w:tcPr>
            <w:tcW w:w="196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24" w:line="242" w:lineRule="auto"/>
              <w:ind w:left="776" w:right="129" w:hanging="629"/>
              <w:rPr>
                <w:sz w:val="21"/>
              </w:rPr>
            </w:pPr>
            <w:r>
              <w:rPr>
                <w:sz w:val="21"/>
              </w:rPr>
              <w:t>由宁津县供水管网提供</w:t>
            </w:r>
          </w:p>
        </w:tc>
        <w:tc>
          <w:tcPr>
            <w:tcW w:w="113" w:type="dxa"/>
            <w:vMerge w:val="restart"/>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387"/>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25" w:type="dxa"/>
            <w:vMerge/>
            <w:tcBorders>
              <w:top w:val="nil"/>
              <w:left w:val="single" w:sz="4" w:space="0" w:color="000000"/>
              <w:bottom w:val="single" w:sz="4" w:space="0" w:color="000000"/>
              <w:right w:val="single" w:sz="4" w:space="0" w:color="000000"/>
            </w:tcBorders>
          </w:tcPr>
          <w:p>
            <w:pPr>
              <w:rPr>
                <w:sz w:val="2"/>
                <w:szCs w:val="2"/>
              </w:rPr>
            </w:pPr>
          </w:p>
        </w:tc>
        <w:tc>
          <w:tcPr>
            <w:tcW w:w="1030" w:type="dxa"/>
            <w:vMerge/>
            <w:tcBorders>
              <w:top w:val="nil"/>
              <w:left w:val="single" w:sz="4" w:space="0" w:color="000000"/>
              <w:bottom w:val="single" w:sz="4" w:space="0" w:color="000000"/>
              <w:right w:val="single" w:sz="4" w:space="0" w:color="000000"/>
            </w:tcBorders>
          </w:tcPr>
          <w:p>
            <w:pPr>
              <w:rPr>
                <w:sz w:val="2"/>
                <w:szCs w:val="2"/>
              </w:rPr>
            </w:pPr>
          </w:p>
        </w:tc>
        <w:tc>
          <w:tcPr>
            <w:tcW w:w="4399" w:type="dxa"/>
            <w:tcBorders>
              <w:top w:val="single" w:sz="4" w:space="0" w:color="000000"/>
              <w:left w:val="single" w:sz="4" w:space="0" w:color="000000"/>
              <w:bottom w:val="single" w:sz="4" w:space="0" w:color="000000"/>
              <w:right w:val="single" w:sz="4" w:space="0" w:color="000000"/>
            </w:tcBorders>
          </w:tcPr>
          <w:p>
            <w:pPr>
              <w:pStyle w:val="TableParagraph"/>
              <w:spacing w:before="58"/>
              <w:ind w:left="112"/>
              <w:rPr>
                <w:sz w:val="21"/>
              </w:rPr>
            </w:pPr>
            <w:r>
              <w:rPr>
                <w:sz w:val="21"/>
              </w:rPr>
              <w:t xml:space="preserve">生活用水量为 </w:t>
            </w:r>
            <w:r>
              <w:rPr>
                <w:rFonts w:ascii="Times New Roman" w:eastAsia="Times New Roman"/>
                <w:sz w:val="21"/>
              </w:rPr>
              <w:t>108m</w:t>
            </w:r>
            <w:r>
              <w:rPr>
                <w:rFonts w:ascii="Times New Roman" w:eastAsia="Times New Roman"/>
                <w:position w:val="7"/>
                <w:sz w:val="13"/>
              </w:rPr>
              <w:t>3</w:t>
            </w:r>
            <w:r>
              <w:rPr>
                <w:rFonts w:ascii="Times New Roman" w:eastAsia="Times New Roman"/>
                <w:sz w:val="21"/>
              </w:rPr>
              <w:t>/a</w:t>
            </w:r>
            <w:r>
              <w:rPr>
                <w:sz w:val="21"/>
              </w:rPr>
              <w:t>。</w:t>
            </w:r>
          </w:p>
        </w:tc>
        <w:tc>
          <w:tcPr>
            <w:tcW w:w="196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222" w:type="dxa"/>
          <w:tblLayout w:type="fixed"/>
          <w:tblCellMar>
            <w:top w:w="0" w:type="dxa"/>
            <w:left w:w="0" w:type="dxa"/>
            <w:bottom w:w="0" w:type="dxa"/>
            <w:right w:w="0" w:type="dxa"/>
          </w:tblCellMar>
        </w:tblPrEx>
        <w:trPr>
          <w:trHeight w:val="807"/>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25" w:type="dxa"/>
            <w:vMerge/>
            <w:tcBorders>
              <w:top w:val="nil"/>
              <w:left w:val="single" w:sz="4" w:space="0" w:color="000000"/>
              <w:bottom w:val="single" w:sz="4" w:space="0" w:color="000000"/>
              <w:right w:val="single" w:sz="4" w:space="0" w:color="000000"/>
            </w:tcBorders>
          </w:tcPr>
          <w:p>
            <w:pPr>
              <w:rPr>
                <w:sz w:val="2"/>
                <w:szCs w:val="2"/>
              </w:rPr>
            </w:pPr>
          </w:p>
        </w:tc>
        <w:tc>
          <w:tcPr>
            <w:tcW w:w="1030" w:type="dxa"/>
            <w:tcBorders>
              <w:top w:val="single" w:sz="4" w:space="0" w:color="000000"/>
              <w:left w:val="single" w:sz="4" w:space="0" w:color="000000"/>
              <w:bottom w:val="single" w:sz="4" w:space="0" w:color="000000"/>
              <w:right w:val="single" w:sz="4" w:space="0" w:color="000000"/>
            </w:tcBorders>
          </w:tcPr>
          <w:p>
            <w:pPr>
              <w:pStyle w:val="TableParagraph"/>
              <w:spacing w:before="11"/>
              <w:rPr>
                <w:b/>
                <w:sz w:val="20"/>
              </w:rPr>
            </w:pPr>
          </w:p>
          <w:p>
            <w:pPr>
              <w:pStyle w:val="TableParagraph"/>
              <w:ind w:left="183" w:right="167"/>
              <w:jc w:val="center"/>
              <w:rPr>
                <w:sz w:val="21"/>
              </w:rPr>
            </w:pPr>
            <w:r>
              <w:rPr>
                <w:sz w:val="21"/>
              </w:rPr>
              <w:t>排水</w:t>
            </w:r>
          </w:p>
        </w:tc>
        <w:tc>
          <w:tcPr>
            <w:tcW w:w="4399" w:type="dxa"/>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12"/>
              <w:rPr>
                <w:sz w:val="21"/>
              </w:rPr>
            </w:pPr>
            <w:r>
              <w:rPr>
                <w:sz w:val="21"/>
              </w:rPr>
              <w:t>本项目无生产废水排放，通过市政管网排入</w:t>
            </w:r>
          </w:p>
          <w:p>
            <w:pPr>
              <w:pStyle w:val="TableParagraph"/>
              <w:spacing w:before="3" w:line="270" w:lineRule="atLeast"/>
              <w:ind w:left="112" w:right="94"/>
              <w:rPr>
                <w:sz w:val="21"/>
              </w:rPr>
            </w:pPr>
            <w:r>
              <w:rPr>
                <w:w w:val="95"/>
                <w:sz w:val="21"/>
              </w:rPr>
              <w:t>宁津县嘉诚水质净化有限公司深度处理后排</w:t>
            </w:r>
            <w:r>
              <w:rPr>
                <w:sz w:val="21"/>
              </w:rPr>
              <w:t>放</w:t>
            </w:r>
          </w:p>
        </w:tc>
        <w:tc>
          <w:tcPr>
            <w:tcW w:w="1967" w:type="dxa"/>
            <w:tcBorders>
              <w:top w:val="single" w:sz="4" w:space="0" w:color="000000"/>
              <w:left w:val="single" w:sz="4" w:space="0" w:color="000000"/>
              <w:bottom w:val="single" w:sz="4" w:space="0" w:color="000000"/>
              <w:right w:val="single" w:sz="4" w:space="0" w:color="000000"/>
            </w:tcBorders>
          </w:tcPr>
          <w:p>
            <w:pPr>
              <w:pStyle w:val="TableParagraph"/>
              <w:spacing w:before="12"/>
              <w:rPr>
                <w:b/>
                <w:sz w:val="21"/>
              </w:rPr>
            </w:pPr>
          </w:p>
          <w:p>
            <w:pPr>
              <w:pStyle w:val="TableParagraph"/>
              <w:ind w:left="19"/>
              <w:jc w:val="center"/>
              <w:rPr>
                <w:rFonts w:ascii="Times New Roman"/>
                <w:sz w:val="21"/>
              </w:rPr>
            </w:pPr>
            <w:r>
              <w:rPr>
                <w:rFonts w:ascii="Times New Roman"/>
                <w:w w:val="99"/>
                <w:sz w:val="21"/>
              </w:rPr>
              <w:t>/</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387"/>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25" w:type="dxa"/>
            <w:vMerge/>
            <w:tcBorders>
              <w:top w:val="nil"/>
              <w:left w:val="single" w:sz="4" w:space="0" w:color="000000"/>
              <w:bottom w:val="single" w:sz="4" w:space="0" w:color="000000"/>
              <w:right w:val="single" w:sz="4" w:space="0" w:color="000000"/>
            </w:tcBorders>
          </w:tcPr>
          <w:p>
            <w:pPr>
              <w:rPr>
                <w:sz w:val="2"/>
                <w:szCs w:val="2"/>
              </w:rPr>
            </w:pPr>
          </w:p>
        </w:tc>
        <w:tc>
          <w:tcPr>
            <w:tcW w:w="1030" w:type="dxa"/>
            <w:tcBorders>
              <w:top w:val="single" w:sz="4" w:space="0" w:color="000000"/>
              <w:left w:val="single" w:sz="4" w:space="0" w:color="000000"/>
              <w:bottom w:val="single" w:sz="4" w:space="0" w:color="000000"/>
              <w:right w:val="single" w:sz="4" w:space="0" w:color="000000"/>
            </w:tcBorders>
          </w:tcPr>
          <w:p>
            <w:pPr>
              <w:pStyle w:val="TableParagraph"/>
              <w:spacing w:before="57"/>
              <w:ind w:left="183" w:right="167"/>
              <w:jc w:val="center"/>
              <w:rPr>
                <w:sz w:val="21"/>
              </w:rPr>
            </w:pPr>
            <w:r>
              <w:rPr>
                <w:sz w:val="21"/>
              </w:rPr>
              <w:t>供热</w:t>
            </w:r>
          </w:p>
        </w:tc>
        <w:tc>
          <w:tcPr>
            <w:tcW w:w="4399" w:type="dxa"/>
            <w:tcBorders>
              <w:top w:val="single" w:sz="4" w:space="0" w:color="000000"/>
              <w:left w:val="single" w:sz="4" w:space="0" w:color="000000"/>
              <w:bottom w:val="single" w:sz="4" w:space="0" w:color="000000"/>
              <w:right w:val="single" w:sz="4" w:space="0" w:color="000000"/>
            </w:tcBorders>
          </w:tcPr>
          <w:p>
            <w:pPr>
              <w:pStyle w:val="TableParagraph"/>
              <w:spacing w:before="57"/>
              <w:ind w:left="112"/>
              <w:rPr>
                <w:sz w:val="21"/>
              </w:rPr>
            </w:pPr>
            <w:r>
              <w:rPr>
                <w:sz w:val="21"/>
              </w:rPr>
              <w:t>本项目生产上采用电加热</w:t>
            </w:r>
          </w:p>
        </w:tc>
        <w:tc>
          <w:tcPr>
            <w:tcW w:w="1967" w:type="dxa"/>
            <w:tcBorders>
              <w:top w:val="single" w:sz="4" w:space="0" w:color="000000"/>
              <w:left w:val="single" w:sz="4" w:space="0" w:color="000000"/>
              <w:bottom w:val="single" w:sz="4" w:space="0" w:color="000000"/>
              <w:right w:val="single" w:sz="4" w:space="0" w:color="000000"/>
            </w:tcBorders>
          </w:tcPr>
          <w:p>
            <w:pPr>
              <w:pStyle w:val="TableParagraph"/>
              <w:spacing w:before="71"/>
              <w:ind w:left="19"/>
              <w:jc w:val="center"/>
              <w:rPr>
                <w:rFonts w:ascii="Times New Roman"/>
                <w:sz w:val="21"/>
              </w:rPr>
            </w:pPr>
            <w:r>
              <w:rPr>
                <w:rFonts w:ascii="Times New Roman"/>
                <w:w w:val="99"/>
                <w:sz w:val="21"/>
              </w:rPr>
              <w:t>/</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386"/>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25" w:type="dxa"/>
            <w:vMerge/>
            <w:tcBorders>
              <w:top w:val="nil"/>
              <w:left w:val="single" w:sz="4" w:space="0" w:color="000000"/>
              <w:bottom w:val="single" w:sz="4" w:space="0" w:color="000000"/>
              <w:right w:val="single" w:sz="4" w:space="0" w:color="000000"/>
            </w:tcBorders>
          </w:tcPr>
          <w:p>
            <w:pPr>
              <w:rPr>
                <w:sz w:val="2"/>
                <w:szCs w:val="2"/>
              </w:rPr>
            </w:pPr>
          </w:p>
        </w:tc>
        <w:tc>
          <w:tcPr>
            <w:tcW w:w="1030" w:type="dxa"/>
            <w:tcBorders>
              <w:top w:val="single" w:sz="4" w:space="0" w:color="000000"/>
              <w:left w:val="single" w:sz="4" w:space="0" w:color="000000"/>
              <w:bottom w:val="single" w:sz="4" w:space="0" w:color="000000"/>
              <w:right w:val="single" w:sz="4" w:space="0" w:color="000000"/>
            </w:tcBorders>
          </w:tcPr>
          <w:p>
            <w:pPr>
              <w:pStyle w:val="TableParagraph"/>
              <w:spacing w:before="56"/>
              <w:ind w:left="183" w:right="167"/>
              <w:jc w:val="center"/>
              <w:rPr>
                <w:sz w:val="21"/>
              </w:rPr>
            </w:pPr>
            <w:r>
              <w:rPr>
                <w:sz w:val="21"/>
              </w:rPr>
              <w:t>供电</w:t>
            </w:r>
          </w:p>
        </w:tc>
        <w:tc>
          <w:tcPr>
            <w:tcW w:w="4399" w:type="dxa"/>
            <w:tcBorders>
              <w:top w:val="single" w:sz="4" w:space="0" w:color="000000"/>
              <w:left w:val="single" w:sz="4" w:space="0" w:color="000000"/>
              <w:bottom w:val="single" w:sz="4" w:space="0" w:color="000000"/>
              <w:right w:val="single" w:sz="4" w:space="0" w:color="000000"/>
            </w:tcBorders>
          </w:tcPr>
          <w:p>
            <w:pPr>
              <w:pStyle w:val="TableParagraph"/>
              <w:spacing w:before="56"/>
              <w:ind w:left="112"/>
              <w:rPr>
                <w:rFonts w:ascii="Times New Roman" w:eastAsia="Times New Roman"/>
                <w:sz w:val="21"/>
              </w:rPr>
            </w:pPr>
            <w:r>
              <w:rPr>
                <w:sz w:val="21"/>
              </w:rPr>
              <w:t xml:space="preserve">用电量为 </w:t>
            </w:r>
            <w:r>
              <w:rPr>
                <w:rFonts w:ascii="Times New Roman" w:eastAsia="Times New Roman"/>
                <w:sz w:val="21"/>
              </w:rPr>
              <w:t xml:space="preserve">200 </w:t>
            </w:r>
            <w:r>
              <w:rPr>
                <w:sz w:val="21"/>
              </w:rPr>
              <w:t xml:space="preserve">万 </w:t>
            </w:r>
            <w:r>
              <w:rPr>
                <w:rFonts w:ascii="Times New Roman" w:eastAsia="Times New Roman"/>
                <w:sz w:val="21"/>
              </w:rPr>
              <w:t>kwh/a</w:t>
            </w:r>
          </w:p>
        </w:tc>
        <w:tc>
          <w:tcPr>
            <w:tcW w:w="196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23" w:line="244" w:lineRule="auto"/>
              <w:ind w:left="776" w:right="129" w:hanging="629"/>
              <w:rPr>
                <w:sz w:val="21"/>
              </w:rPr>
            </w:pPr>
            <w:r>
              <w:rPr>
                <w:sz w:val="21"/>
              </w:rPr>
              <w:t>由宁津县供电管网提供</w:t>
            </w:r>
          </w:p>
        </w:tc>
        <w:tc>
          <w:tcPr>
            <w:tcW w:w="113" w:type="dxa"/>
            <w:vMerge w:val="restart"/>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387"/>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25" w:type="dxa"/>
            <w:vMerge/>
            <w:tcBorders>
              <w:top w:val="nil"/>
              <w:left w:val="single" w:sz="4" w:space="0" w:color="000000"/>
              <w:bottom w:val="single" w:sz="4" w:space="0" w:color="000000"/>
              <w:right w:val="single" w:sz="4" w:space="0" w:color="000000"/>
            </w:tcBorders>
          </w:tcPr>
          <w:p>
            <w:pPr>
              <w:rPr>
                <w:sz w:val="2"/>
                <w:szCs w:val="2"/>
              </w:rPr>
            </w:pPr>
          </w:p>
        </w:tc>
        <w:tc>
          <w:tcPr>
            <w:tcW w:w="1030" w:type="dxa"/>
            <w:tcBorders>
              <w:top w:val="single" w:sz="4" w:space="0" w:color="000000"/>
              <w:left w:val="single" w:sz="4" w:space="0" w:color="000000"/>
              <w:bottom w:val="single" w:sz="4" w:space="0" w:color="000000"/>
              <w:right w:val="single" w:sz="4" w:space="0" w:color="000000"/>
            </w:tcBorders>
          </w:tcPr>
          <w:p>
            <w:pPr>
              <w:pStyle w:val="TableParagraph"/>
              <w:spacing w:before="57"/>
              <w:ind w:left="183" w:right="167"/>
              <w:jc w:val="center"/>
              <w:rPr>
                <w:sz w:val="21"/>
              </w:rPr>
            </w:pPr>
            <w:r>
              <w:rPr>
                <w:sz w:val="21"/>
              </w:rPr>
              <w:t>供暖</w:t>
            </w:r>
          </w:p>
        </w:tc>
        <w:tc>
          <w:tcPr>
            <w:tcW w:w="4399" w:type="dxa"/>
            <w:tcBorders>
              <w:top w:val="single" w:sz="4" w:space="0" w:color="000000"/>
              <w:left w:val="single" w:sz="4" w:space="0" w:color="000000"/>
              <w:bottom w:val="single" w:sz="4" w:space="0" w:color="000000"/>
              <w:right w:val="single" w:sz="4" w:space="0" w:color="000000"/>
            </w:tcBorders>
          </w:tcPr>
          <w:p>
            <w:pPr>
              <w:pStyle w:val="TableParagraph"/>
              <w:spacing w:before="57"/>
              <w:ind w:left="112"/>
              <w:rPr>
                <w:sz w:val="21"/>
              </w:rPr>
            </w:pPr>
            <w:r>
              <w:rPr>
                <w:sz w:val="21"/>
              </w:rPr>
              <w:t>生活办公热源由电提供（空调）</w:t>
            </w:r>
          </w:p>
        </w:tc>
        <w:tc>
          <w:tcPr>
            <w:tcW w:w="196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222" w:type="dxa"/>
          <w:tblLayout w:type="fixed"/>
          <w:tblCellMar>
            <w:top w:w="0" w:type="dxa"/>
            <w:left w:w="0" w:type="dxa"/>
            <w:bottom w:w="0" w:type="dxa"/>
            <w:right w:w="0" w:type="dxa"/>
          </w:tblCellMar>
        </w:tblPrEx>
        <w:trPr>
          <w:trHeight w:val="397"/>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25" w:type="dxa"/>
            <w:tcBorders>
              <w:top w:val="single" w:sz="4" w:space="0" w:color="000000"/>
              <w:left w:val="single" w:sz="4" w:space="0" w:color="000000"/>
              <w:bottom w:val="thickThinMediumGap" w:sz="4" w:space="0" w:color="000000"/>
              <w:right w:val="single" w:sz="4" w:space="0" w:color="000000"/>
            </w:tcBorders>
          </w:tcPr>
          <w:p>
            <w:pPr>
              <w:pStyle w:val="TableParagraph"/>
              <w:spacing w:before="58"/>
              <w:ind w:left="134" w:right="120"/>
              <w:jc w:val="center"/>
              <w:rPr>
                <w:sz w:val="21"/>
              </w:rPr>
            </w:pPr>
            <w:r>
              <w:rPr>
                <w:sz w:val="21"/>
              </w:rPr>
              <w:t>储运</w:t>
            </w:r>
          </w:p>
        </w:tc>
        <w:tc>
          <w:tcPr>
            <w:tcW w:w="1030" w:type="dxa"/>
            <w:tcBorders>
              <w:top w:val="single" w:sz="4" w:space="0" w:color="000000"/>
              <w:left w:val="single" w:sz="4" w:space="0" w:color="000000"/>
              <w:bottom w:val="thickThinMediumGap" w:sz="4" w:space="0" w:color="000000"/>
              <w:right w:val="single" w:sz="4" w:space="0" w:color="000000"/>
            </w:tcBorders>
          </w:tcPr>
          <w:p>
            <w:pPr>
              <w:pStyle w:val="TableParagraph"/>
              <w:spacing w:before="58"/>
              <w:ind w:left="183" w:right="167"/>
              <w:jc w:val="center"/>
              <w:rPr>
                <w:sz w:val="21"/>
              </w:rPr>
            </w:pPr>
            <w:r>
              <w:rPr>
                <w:sz w:val="21"/>
              </w:rPr>
              <w:t>原料区</w:t>
            </w:r>
          </w:p>
        </w:tc>
        <w:tc>
          <w:tcPr>
            <w:tcW w:w="4399" w:type="dxa"/>
            <w:tcBorders>
              <w:top w:val="single" w:sz="4" w:space="0" w:color="000000"/>
              <w:left w:val="single" w:sz="4" w:space="0" w:color="000000"/>
              <w:bottom w:val="thickThinMediumGap" w:sz="4" w:space="0" w:color="000000"/>
              <w:right w:val="single" w:sz="4" w:space="0" w:color="000000"/>
            </w:tcBorders>
          </w:tcPr>
          <w:p>
            <w:pPr>
              <w:pStyle w:val="TableParagraph"/>
              <w:spacing w:before="58"/>
              <w:ind w:left="112"/>
              <w:rPr>
                <w:sz w:val="21"/>
              </w:rPr>
            </w:pPr>
            <w:r>
              <w:rPr>
                <w:rFonts w:ascii="Times New Roman" w:eastAsia="Times New Roman"/>
                <w:sz w:val="21"/>
              </w:rPr>
              <w:t xml:space="preserve">1 </w:t>
            </w:r>
            <w:r>
              <w:rPr>
                <w:sz w:val="21"/>
              </w:rPr>
              <w:t>处，位于生产车间东侧</w:t>
            </w:r>
          </w:p>
        </w:tc>
        <w:tc>
          <w:tcPr>
            <w:tcW w:w="1967" w:type="dxa"/>
            <w:tcBorders>
              <w:top w:val="single" w:sz="4" w:space="0" w:color="000000"/>
              <w:left w:val="single" w:sz="4" w:space="0" w:color="000000"/>
              <w:bottom w:val="thickThinMediumGap" w:sz="4" w:space="0" w:color="000000"/>
              <w:right w:val="single" w:sz="4" w:space="0" w:color="000000"/>
            </w:tcBorders>
          </w:tcPr>
          <w:p>
            <w:pPr>
              <w:pStyle w:val="TableParagraph"/>
              <w:spacing w:before="58"/>
              <w:ind w:left="127" w:right="110"/>
              <w:jc w:val="center"/>
              <w:rPr>
                <w:sz w:val="21"/>
              </w:rPr>
            </w:pPr>
            <w:r>
              <w:rPr>
                <w:sz w:val="21"/>
              </w:rPr>
              <w:t>不计入建筑面积内</w:t>
            </w:r>
          </w:p>
        </w:tc>
        <w:tc>
          <w:tcPr>
            <w:tcW w:w="113" w:type="dxa"/>
            <w:tcBorders>
              <w:top w:val="nil"/>
              <w:left w:val="single" w:sz="4" w:space="0" w:color="000000"/>
            </w:tcBorders>
          </w:tcPr>
          <w:p>
            <w:pPr>
              <w:pStyle w:val="TableParagraph"/>
              <w:rPr>
                <w:rFonts w:ascii="Times New Roman"/>
                <w:sz w:val="22"/>
              </w:rPr>
            </w:pPr>
          </w:p>
        </w:tc>
      </w:tr>
    </w:tbl>
    <w:p>
      <w:pPr>
        <w:spacing w:after="0"/>
        <w:rPr>
          <w:rFonts w:ascii="Times New Roman"/>
        </w:rPr>
        <w:sectPr>
          <w:footerReference w:type="default" r:id="rId20"/>
          <w:pgSz w:w="11910" w:h="16840"/>
          <w:pgMar w:top="1380" w:right="1119" w:bottom="900" w:left="1120" w:header="0" w:footer="714" w:gutter="0"/>
          <w:pgNumType w:start="16"/>
          <w:cols w:num="1" w:space="720"/>
        </w:sectPr>
      </w:pPr>
    </w:p>
    <w:tbl>
      <w:tblPr>
        <w:tblStyle w:val="TableNormal"/>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95"/>
        <w:gridCol w:w="113"/>
        <w:gridCol w:w="725"/>
        <w:gridCol w:w="1030"/>
        <w:gridCol w:w="4399"/>
        <w:gridCol w:w="1967"/>
        <w:gridCol w:w="113"/>
      </w:tblGrid>
      <w:tr>
        <w:tblPrEx>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92"/>
        </w:trPr>
        <w:tc>
          <w:tcPr>
            <w:tcW w:w="895" w:type="dxa"/>
            <w:vMerge w:val="restart"/>
            <w:tcBorders>
              <w:right w:val="single" w:sz="4" w:space="0" w:color="000000"/>
            </w:tcBorders>
          </w:tcPr>
          <w:p>
            <w:pPr>
              <w:pStyle w:val="TableParagraph"/>
              <w:rPr>
                <w:rFonts w:ascii="Times New Roman"/>
                <w:sz w:val="22"/>
              </w:rPr>
            </w:pPr>
          </w:p>
        </w:tc>
        <w:tc>
          <w:tcPr>
            <w:tcW w:w="113" w:type="dxa"/>
            <w:vMerge w:val="restart"/>
            <w:tcBorders>
              <w:left w:val="single" w:sz="4" w:space="0" w:color="000000"/>
              <w:bottom w:val="nil"/>
              <w:right w:val="single" w:sz="4" w:space="0" w:color="000000"/>
            </w:tcBorders>
          </w:tcPr>
          <w:p>
            <w:pPr>
              <w:pStyle w:val="TableParagraph"/>
              <w:rPr>
                <w:rFonts w:ascii="Times New Roman"/>
                <w:sz w:val="22"/>
              </w:rPr>
            </w:pPr>
          </w:p>
        </w:tc>
        <w:tc>
          <w:tcPr>
            <w:tcW w:w="725" w:type="dxa"/>
            <w:vMerge w:val="restart"/>
            <w:tcBorders>
              <w:top w:val="single" w:sz="12" w:space="0" w:color="000000"/>
              <w:left w:val="single" w:sz="4" w:space="0" w:color="000000"/>
              <w:bottom w:val="single" w:sz="4" w:space="0" w:color="000000"/>
              <w:right w:val="single" w:sz="4" w:space="0" w:color="000000"/>
            </w:tcBorders>
          </w:tcPr>
          <w:p>
            <w:pPr>
              <w:pStyle w:val="TableParagraph"/>
              <w:spacing w:before="1"/>
              <w:ind w:left="155"/>
              <w:rPr>
                <w:sz w:val="21"/>
              </w:rPr>
            </w:pPr>
            <w:r>
              <w:rPr>
                <w:sz w:val="21"/>
              </w:rPr>
              <w:t>工程</w:t>
            </w:r>
          </w:p>
        </w:tc>
        <w:tc>
          <w:tcPr>
            <w:tcW w:w="1030" w:type="dxa"/>
            <w:tcBorders>
              <w:top w:val="single" w:sz="12" w:space="0" w:color="000000"/>
              <w:left w:val="single" w:sz="4" w:space="0" w:color="000000"/>
              <w:bottom w:val="single" w:sz="4" w:space="0" w:color="000000"/>
              <w:right w:val="single" w:sz="4" w:space="0" w:color="000000"/>
            </w:tcBorders>
          </w:tcPr>
          <w:p>
            <w:pPr>
              <w:pStyle w:val="TableParagraph"/>
              <w:spacing w:before="63"/>
              <w:ind w:left="183" w:right="167"/>
              <w:jc w:val="center"/>
              <w:rPr>
                <w:sz w:val="21"/>
              </w:rPr>
            </w:pPr>
            <w:r>
              <w:rPr>
                <w:sz w:val="21"/>
              </w:rPr>
              <w:t>成品区</w:t>
            </w:r>
          </w:p>
        </w:tc>
        <w:tc>
          <w:tcPr>
            <w:tcW w:w="4399" w:type="dxa"/>
            <w:tcBorders>
              <w:top w:val="single" w:sz="12" w:space="0" w:color="000000"/>
              <w:left w:val="single" w:sz="4" w:space="0" w:color="000000"/>
              <w:bottom w:val="single" w:sz="4" w:space="0" w:color="000000"/>
              <w:right w:val="single" w:sz="4" w:space="0" w:color="000000"/>
            </w:tcBorders>
          </w:tcPr>
          <w:p>
            <w:pPr>
              <w:pStyle w:val="TableParagraph"/>
              <w:spacing w:before="63"/>
              <w:ind w:left="112"/>
              <w:rPr>
                <w:sz w:val="21"/>
              </w:rPr>
            </w:pPr>
            <w:r>
              <w:rPr>
                <w:rFonts w:ascii="Times New Roman" w:eastAsia="Times New Roman"/>
                <w:sz w:val="21"/>
              </w:rPr>
              <w:t xml:space="preserve">1 </w:t>
            </w:r>
            <w:r>
              <w:rPr>
                <w:sz w:val="21"/>
              </w:rPr>
              <w:t>处，位于生产车间西侧</w:t>
            </w:r>
          </w:p>
        </w:tc>
        <w:tc>
          <w:tcPr>
            <w:tcW w:w="1967" w:type="dxa"/>
            <w:tcBorders>
              <w:top w:val="single" w:sz="12" w:space="0" w:color="000000"/>
              <w:left w:val="single" w:sz="4" w:space="0" w:color="000000"/>
              <w:bottom w:val="single" w:sz="4" w:space="0" w:color="000000"/>
              <w:right w:val="single" w:sz="4" w:space="0" w:color="000000"/>
            </w:tcBorders>
          </w:tcPr>
          <w:p>
            <w:pPr>
              <w:pStyle w:val="TableParagraph"/>
              <w:spacing w:before="63"/>
              <w:ind w:left="127" w:right="110"/>
              <w:jc w:val="center"/>
              <w:rPr>
                <w:sz w:val="21"/>
              </w:rPr>
            </w:pPr>
            <w:r>
              <w:rPr>
                <w:sz w:val="21"/>
              </w:rPr>
              <w:t>不计入建筑面积内</w:t>
            </w:r>
          </w:p>
        </w:tc>
        <w:tc>
          <w:tcPr>
            <w:tcW w:w="113" w:type="dxa"/>
            <w:tcBorders>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386"/>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25" w:type="dxa"/>
            <w:vMerge/>
            <w:tcBorders>
              <w:top w:val="nil"/>
              <w:left w:val="single" w:sz="4" w:space="0" w:color="000000"/>
              <w:bottom w:val="single" w:sz="4" w:space="0" w:color="000000"/>
              <w:right w:val="single" w:sz="4" w:space="0" w:color="000000"/>
            </w:tcBorders>
          </w:tcPr>
          <w:p>
            <w:pPr>
              <w:rPr>
                <w:sz w:val="2"/>
                <w:szCs w:val="2"/>
              </w:rPr>
            </w:pPr>
          </w:p>
        </w:tc>
        <w:tc>
          <w:tcPr>
            <w:tcW w:w="1030" w:type="dxa"/>
            <w:tcBorders>
              <w:top w:val="single" w:sz="4" w:space="0" w:color="000000"/>
              <w:left w:val="single" w:sz="4" w:space="0" w:color="000000"/>
              <w:bottom w:val="single" w:sz="4" w:space="0" w:color="000000"/>
              <w:right w:val="single" w:sz="4" w:space="0" w:color="000000"/>
            </w:tcBorders>
          </w:tcPr>
          <w:p>
            <w:pPr>
              <w:pStyle w:val="TableParagraph"/>
              <w:spacing w:before="57"/>
              <w:ind w:left="183" w:right="167"/>
              <w:jc w:val="center"/>
              <w:rPr>
                <w:sz w:val="21"/>
              </w:rPr>
            </w:pPr>
            <w:r>
              <w:rPr>
                <w:sz w:val="21"/>
              </w:rPr>
              <w:t>危废间</w:t>
            </w:r>
          </w:p>
        </w:tc>
        <w:tc>
          <w:tcPr>
            <w:tcW w:w="4399" w:type="dxa"/>
            <w:tcBorders>
              <w:top w:val="single" w:sz="4" w:space="0" w:color="000000"/>
              <w:left w:val="single" w:sz="4" w:space="0" w:color="000000"/>
              <w:bottom w:val="single" w:sz="4" w:space="0" w:color="000000"/>
              <w:right w:val="single" w:sz="4" w:space="0" w:color="000000"/>
            </w:tcBorders>
          </w:tcPr>
          <w:p>
            <w:pPr>
              <w:pStyle w:val="TableParagraph"/>
              <w:spacing w:before="57"/>
              <w:ind w:left="112"/>
              <w:rPr>
                <w:sz w:val="21"/>
              </w:rPr>
            </w:pPr>
            <w:r>
              <w:rPr>
                <w:rFonts w:ascii="Times New Roman" w:eastAsia="Times New Roman"/>
                <w:sz w:val="21"/>
              </w:rPr>
              <w:t xml:space="preserve">1 </w:t>
            </w:r>
            <w:r>
              <w:rPr>
                <w:sz w:val="21"/>
              </w:rPr>
              <w:t>处，位于生产车间西北角</w:t>
            </w:r>
          </w:p>
        </w:tc>
        <w:tc>
          <w:tcPr>
            <w:tcW w:w="1967" w:type="dxa"/>
            <w:tcBorders>
              <w:top w:val="single" w:sz="4" w:space="0" w:color="000000"/>
              <w:left w:val="single" w:sz="4" w:space="0" w:color="000000"/>
              <w:bottom w:val="single" w:sz="4" w:space="0" w:color="000000"/>
              <w:right w:val="single" w:sz="4" w:space="0" w:color="000000"/>
            </w:tcBorders>
          </w:tcPr>
          <w:p>
            <w:pPr>
              <w:pStyle w:val="TableParagraph"/>
              <w:spacing w:before="57"/>
              <w:ind w:left="127" w:right="110"/>
              <w:jc w:val="center"/>
              <w:rPr>
                <w:sz w:val="21"/>
              </w:rPr>
            </w:pPr>
            <w:r>
              <w:rPr>
                <w:sz w:val="21"/>
              </w:rPr>
              <w:t>不计入建筑面积内</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387"/>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25" w:type="dxa"/>
            <w:vMerge/>
            <w:tcBorders>
              <w:top w:val="nil"/>
              <w:left w:val="single" w:sz="4" w:space="0" w:color="000000"/>
              <w:bottom w:val="single" w:sz="4" w:space="0" w:color="000000"/>
              <w:right w:val="single" w:sz="4" w:space="0" w:color="000000"/>
            </w:tcBorders>
          </w:tcPr>
          <w:p>
            <w:pPr>
              <w:rPr>
                <w:sz w:val="2"/>
                <w:szCs w:val="2"/>
              </w:rPr>
            </w:pPr>
          </w:p>
        </w:tc>
        <w:tc>
          <w:tcPr>
            <w:tcW w:w="1030" w:type="dxa"/>
            <w:tcBorders>
              <w:top w:val="single" w:sz="4" w:space="0" w:color="000000"/>
              <w:left w:val="single" w:sz="4" w:space="0" w:color="000000"/>
              <w:bottom w:val="single" w:sz="4" w:space="0" w:color="000000"/>
              <w:right w:val="single" w:sz="4" w:space="0" w:color="000000"/>
            </w:tcBorders>
          </w:tcPr>
          <w:p>
            <w:pPr>
              <w:pStyle w:val="TableParagraph"/>
              <w:spacing w:before="58"/>
              <w:ind w:left="183" w:right="167"/>
              <w:jc w:val="center"/>
              <w:rPr>
                <w:sz w:val="21"/>
              </w:rPr>
            </w:pPr>
            <w:r>
              <w:rPr>
                <w:sz w:val="21"/>
              </w:rPr>
              <w:t>固废间</w:t>
            </w:r>
          </w:p>
        </w:tc>
        <w:tc>
          <w:tcPr>
            <w:tcW w:w="4399" w:type="dxa"/>
            <w:tcBorders>
              <w:top w:val="single" w:sz="4" w:space="0" w:color="000000"/>
              <w:left w:val="single" w:sz="4" w:space="0" w:color="000000"/>
              <w:bottom w:val="single" w:sz="4" w:space="0" w:color="000000"/>
              <w:right w:val="single" w:sz="4" w:space="0" w:color="000000"/>
            </w:tcBorders>
          </w:tcPr>
          <w:p>
            <w:pPr>
              <w:pStyle w:val="TableParagraph"/>
              <w:spacing w:before="58"/>
              <w:ind w:left="112"/>
              <w:rPr>
                <w:sz w:val="21"/>
              </w:rPr>
            </w:pPr>
            <w:r>
              <w:rPr>
                <w:rFonts w:ascii="Times New Roman" w:eastAsia="Times New Roman"/>
                <w:sz w:val="21"/>
              </w:rPr>
              <w:t xml:space="preserve">1 </w:t>
            </w:r>
            <w:r>
              <w:rPr>
                <w:sz w:val="21"/>
              </w:rPr>
              <w:t>处，位于生产车间西北角</w:t>
            </w:r>
          </w:p>
        </w:tc>
        <w:tc>
          <w:tcPr>
            <w:tcW w:w="1967" w:type="dxa"/>
            <w:tcBorders>
              <w:top w:val="single" w:sz="4" w:space="0" w:color="000000"/>
              <w:left w:val="single" w:sz="4" w:space="0" w:color="000000"/>
              <w:bottom w:val="single" w:sz="4" w:space="0" w:color="000000"/>
              <w:right w:val="single" w:sz="4" w:space="0" w:color="000000"/>
            </w:tcBorders>
          </w:tcPr>
          <w:p>
            <w:pPr>
              <w:pStyle w:val="TableParagraph"/>
              <w:spacing w:before="58"/>
              <w:ind w:left="127" w:right="110"/>
              <w:jc w:val="center"/>
              <w:rPr>
                <w:sz w:val="21"/>
              </w:rPr>
            </w:pPr>
            <w:r>
              <w:rPr>
                <w:sz w:val="21"/>
              </w:rPr>
              <w:t>不计入建筑面积内</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535"/>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25"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58" w:line="242" w:lineRule="auto"/>
              <w:ind w:left="155" w:right="139"/>
              <w:rPr>
                <w:sz w:val="21"/>
              </w:rPr>
            </w:pPr>
            <w:r>
              <w:rPr>
                <w:sz w:val="21"/>
              </w:rPr>
              <w:t>环保工程</w:t>
            </w:r>
          </w:p>
        </w:tc>
        <w:tc>
          <w:tcPr>
            <w:tcW w:w="103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2"/>
              <w:rPr>
                <w:b/>
                <w:sz w:val="26"/>
              </w:rPr>
            </w:pPr>
          </w:p>
          <w:p>
            <w:pPr>
              <w:pStyle w:val="TableParagraph"/>
              <w:ind w:left="309"/>
              <w:rPr>
                <w:sz w:val="21"/>
              </w:rPr>
            </w:pPr>
            <w:r>
              <w:rPr>
                <w:sz w:val="21"/>
              </w:rPr>
              <w:t>废气</w:t>
            </w:r>
          </w:p>
        </w:tc>
        <w:tc>
          <w:tcPr>
            <w:tcW w:w="6366" w:type="dxa"/>
            <w:gridSpan w:val="2"/>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532"/>
              <w:rPr>
                <w:sz w:val="21"/>
              </w:rPr>
            </w:pPr>
            <w:r>
              <w:rPr>
                <w:sz w:val="21"/>
              </w:rPr>
              <w:t xml:space="preserve">熔融、挤出工序产生的 </w:t>
            </w:r>
            <w:r>
              <w:rPr>
                <w:rFonts w:ascii="Times New Roman" w:eastAsia="Times New Roman"/>
                <w:sz w:val="21"/>
              </w:rPr>
              <w:t xml:space="preserve">VOCs </w:t>
            </w:r>
            <w:r>
              <w:rPr>
                <w:sz w:val="21"/>
              </w:rPr>
              <w:t xml:space="preserve">经收集后引入 </w:t>
            </w:r>
            <w:r>
              <w:rPr>
                <w:rFonts w:ascii="Times New Roman" w:eastAsia="Times New Roman"/>
                <w:sz w:val="21"/>
              </w:rPr>
              <w:t xml:space="preserve">1 </w:t>
            </w:r>
            <w:r>
              <w:rPr>
                <w:sz w:val="21"/>
              </w:rPr>
              <w:t>套过滤棉</w:t>
            </w:r>
            <w:r>
              <w:rPr>
                <w:rFonts w:ascii="Times New Roman" w:eastAsia="Times New Roman"/>
                <w:sz w:val="21"/>
              </w:rPr>
              <w:t>+</w:t>
            </w:r>
            <w:r>
              <w:rPr>
                <w:sz w:val="21"/>
              </w:rPr>
              <w:t>活性</w:t>
            </w:r>
          </w:p>
          <w:p>
            <w:pPr>
              <w:pStyle w:val="TableParagraph"/>
              <w:spacing w:before="2" w:line="247" w:lineRule="exact"/>
              <w:ind w:left="112"/>
              <w:rPr>
                <w:sz w:val="21"/>
              </w:rPr>
            </w:pPr>
            <w:r>
              <w:rPr>
                <w:sz w:val="21"/>
              </w:rPr>
              <w:t xml:space="preserve">炭吸附装置处理后经 </w:t>
            </w:r>
            <w:r>
              <w:rPr>
                <w:rFonts w:ascii="Times New Roman" w:eastAsia="Times New Roman"/>
                <w:sz w:val="21"/>
              </w:rPr>
              <w:t xml:space="preserve">1 </w:t>
            </w:r>
            <w:r>
              <w:rPr>
                <w:sz w:val="21"/>
              </w:rPr>
              <w:t xml:space="preserve">根 </w:t>
            </w:r>
            <w:r>
              <w:rPr>
                <w:rFonts w:ascii="Times New Roman" w:eastAsia="Times New Roman"/>
                <w:sz w:val="21"/>
              </w:rPr>
              <w:t xml:space="preserve">15m </w:t>
            </w:r>
            <w:r>
              <w:rPr>
                <w:sz w:val="21"/>
              </w:rPr>
              <w:t xml:space="preserve">高排气筒 </w:t>
            </w:r>
            <w:r>
              <w:rPr>
                <w:rFonts w:ascii="Times New Roman" w:eastAsia="Times New Roman"/>
                <w:sz w:val="21"/>
              </w:rPr>
              <w:t xml:space="preserve">DA001 </w:t>
            </w:r>
            <w:r>
              <w:rPr>
                <w:sz w:val="21"/>
              </w:rPr>
              <w:t>排放；</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387"/>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25" w:type="dxa"/>
            <w:vMerge/>
            <w:tcBorders>
              <w:top w:val="nil"/>
              <w:left w:val="single" w:sz="4" w:space="0" w:color="000000"/>
              <w:bottom w:val="single" w:sz="4" w:space="0" w:color="000000"/>
              <w:right w:val="single" w:sz="4" w:space="0" w:color="000000"/>
            </w:tcBorders>
          </w:tcPr>
          <w:p>
            <w:pPr>
              <w:rPr>
                <w:sz w:val="2"/>
                <w:szCs w:val="2"/>
              </w:rPr>
            </w:pPr>
          </w:p>
        </w:tc>
        <w:tc>
          <w:tcPr>
            <w:tcW w:w="1030" w:type="dxa"/>
            <w:vMerge/>
            <w:tcBorders>
              <w:top w:val="nil"/>
              <w:left w:val="single" w:sz="4" w:space="0" w:color="000000"/>
              <w:bottom w:val="single" w:sz="4" w:space="0" w:color="000000"/>
              <w:right w:val="single" w:sz="4" w:space="0" w:color="000000"/>
            </w:tcBorders>
          </w:tcPr>
          <w:p>
            <w:pPr>
              <w:rPr>
                <w:sz w:val="2"/>
                <w:szCs w:val="2"/>
              </w:rPr>
            </w:pPr>
          </w:p>
        </w:tc>
        <w:tc>
          <w:tcPr>
            <w:tcW w:w="636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6"/>
              <w:ind w:left="532"/>
              <w:rPr>
                <w:sz w:val="21"/>
              </w:rPr>
            </w:pPr>
            <w:r>
              <w:rPr>
                <w:sz w:val="21"/>
              </w:rPr>
              <w:t xml:space="preserve">未被收集的 </w:t>
            </w:r>
            <w:r>
              <w:rPr>
                <w:rFonts w:ascii="Times New Roman" w:eastAsia="Times New Roman"/>
                <w:sz w:val="21"/>
              </w:rPr>
              <w:t xml:space="preserve">VOCs </w:t>
            </w:r>
            <w:r>
              <w:rPr>
                <w:sz w:val="21"/>
              </w:rPr>
              <w:t>废气于厂界无组织排放。</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534"/>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25" w:type="dxa"/>
            <w:vMerge/>
            <w:tcBorders>
              <w:top w:val="nil"/>
              <w:left w:val="single" w:sz="4" w:space="0" w:color="000000"/>
              <w:bottom w:val="single" w:sz="4" w:space="0" w:color="000000"/>
              <w:right w:val="single" w:sz="4" w:space="0" w:color="000000"/>
            </w:tcBorders>
          </w:tcPr>
          <w:p>
            <w:pPr>
              <w:rPr>
                <w:sz w:val="2"/>
                <w:szCs w:val="2"/>
              </w:rPr>
            </w:pPr>
          </w:p>
        </w:tc>
        <w:tc>
          <w:tcPr>
            <w:tcW w:w="1030" w:type="dxa"/>
            <w:tcBorders>
              <w:top w:val="single" w:sz="4" w:space="0" w:color="000000"/>
              <w:left w:val="single" w:sz="4" w:space="0" w:color="000000"/>
              <w:bottom w:val="single" w:sz="4" w:space="0" w:color="000000"/>
              <w:right w:val="single" w:sz="4" w:space="0" w:color="000000"/>
            </w:tcBorders>
          </w:tcPr>
          <w:p>
            <w:pPr>
              <w:pStyle w:val="TableParagraph"/>
              <w:spacing w:before="129"/>
              <w:ind w:left="183" w:right="167"/>
              <w:jc w:val="center"/>
              <w:rPr>
                <w:sz w:val="21"/>
              </w:rPr>
            </w:pPr>
            <w:r>
              <w:rPr>
                <w:sz w:val="21"/>
              </w:rPr>
              <w:t>噪声</w:t>
            </w:r>
          </w:p>
        </w:tc>
        <w:tc>
          <w:tcPr>
            <w:tcW w:w="6366" w:type="dxa"/>
            <w:gridSpan w:val="2"/>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532"/>
              <w:rPr>
                <w:sz w:val="21"/>
              </w:rPr>
            </w:pPr>
            <w:r>
              <w:rPr>
                <w:sz w:val="21"/>
              </w:rPr>
              <w:t>本项目选用低噪声设备、加强设备维护、建筑隔声、距离衰减</w:t>
            </w:r>
          </w:p>
          <w:p>
            <w:pPr>
              <w:pStyle w:val="TableParagraph"/>
              <w:spacing w:before="2" w:line="248" w:lineRule="exact"/>
              <w:ind w:left="112"/>
              <w:rPr>
                <w:sz w:val="21"/>
              </w:rPr>
            </w:pPr>
            <w:r>
              <w:rPr>
                <w:sz w:val="21"/>
              </w:rPr>
              <w:t>以及风机安装消声器等降噪措施</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535"/>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25" w:type="dxa"/>
            <w:vMerge/>
            <w:tcBorders>
              <w:top w:val="nil"/>
              <w:left w:val="single" w:sz="4" w:space="0" w:color="000000"/>
              <w:bottom w:val="single" w:sz="4" w:space="0" w:color="000000"/>
              <w:right w:val="single" w:sz="4" w:space="0" w:color="000000"/>
            </w:tcBorders>
          </w:tcPr>
          <w:p>
            <w:pPr>
              <w:rPr>
                <w:sz w:val="2"/>
                <w:szCs w:val="2"/>
              </w:rPr>
            </w:pPr>
          </w:p>
        </w:tc>
        <w:tc>
          <w:tcPr>
            <w:tcW w:w="1030" w:type="dxa"/>
            <w:tcBorders>
              <w:top w:val="single" w:sz="4" w:space="0" w:color="000000"/>
              <w:left w:val="single" w:sz="4" w:space="0" w:color="000000"/>
              <w:bottom w:val="single" w:sz="4" w:space="0" w:color="000000"/>
              <w:right w:val="single" w:sz="4" w:space="0" w:color="000000"/>
            </w:tcBorders>
          </w:tcPr>
          <w:p>
            <w:pPr>
              <w:pStyle w:val="TableParagraph"/>
              <w:spacing w:before="132"/>
              <w:ind w:left="183" w:right="167"/>
              <w:jc w:val="center"/>
              <w:rPr>
                <w:sz w:val="21"/>
              </w:rPr>
            </w:pPr>
            <w:r>
              <w:rPr>
                <w:sz w:val="21"/>
              </w:rPr>
              <w:t>废水</w:t>
            </w:r>
          </w:p>
        </w:tc>
        <w:tc>
          <w:tcPr>
            <w:tcW w:w="6366" w:type="dxa"/>
            <w:gridSpan w:val="2"/>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532"/>
              <w:rPr>
                <w:sz w:val="21"/>
              </w:rPr>
            </w:pPr>
            <w:r>
              <w:rPr>
                <w:sz w:val="21"/>
              </w:rPr>
              <w:t>本项目无生产废水排放，生活污水经化粪池处理后，通过市政</w:t>
            </w:r>
          </w:p>
          <w:p>
            <w:pPr>
              <w:pStyle w:val="TableParagraph"/>
              <w:spacing w:before="4" w:line="246" w:lineRule="exact"/>
              <w:ind w:left="112"/>
              <w:rPr>
                <w:sz w:val="21"/>
              </w:rPr>
            </w:pPr>
            <w:r>
              <w:rPr>
                <w:sz w:val="21"/>
              </w:rPr>
              <w:t>管网排入宁津县嘉诚水质净化有限公司深度处理后排放。</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1351"/>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25" w:type="dxa"/>
            <w:vMerge/>
            <w:tcBorders>
              <w:top w:val="nil"/>
              <w:left w:val="single" w:sz="4" w:space="0" w:color="000000"/>
              <w:bottom w:val="single" w:sz="4" w:space="0" w:color="000000"/>
              <w:right w:val="single" w:sz="4" w:space="0" w:color="000000"/>
            </w:tcBorders>
          </w:tcPr>
          <w:p>
            <w:pPr>
              <w:rPr>
                <w:sz w:val="2"/>
                <w:szCs w:val="2"/>
              </w:rPr>
            </w:pPr>
          </w:p>
        </w:tc>
        <w:tc>
          <w:tcPr>
            <w:tcW w:w="1030"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
              <w:rPr>
                <w:b/>
                <w:sz w:val="22"/>
              </w:rPr>
            </w:pPr>
          </w:p>
          <w:p>
            <w:pPr>
              <w:pStyle w:val="TableParagraph"/>
              <w:ind w:left="183" w:right="167"/>
              <w:jc w:val="center"/>
              <w:rPr>
                <w:sz w:val="21"/>
              </w:rPr>
            </w:pPr>
            <w:r>
              <w:rPr>
                <w:sz w:val="21"/>
              </w:rPr>
              <w:t>固废</w:t>
            </w:r>
          </w:p>
        </w:tc>
        <w:tc>
          <w:tcPr>
            <w:tcW w:w="6366"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45" w:firstLine="420"/>
              <w:rPr>
                <w:sz w:val="21"/>
              </w:rPr>
            </w:pPr>
            <w:r>
              <w:rPr>
                <w:w w:val="95"/>
                <w:sz w:val="21"/>
              </w:rPr>
              <w:t xml:space="preserve">①一般固体废物：废包装物、下脚料及碎屑外售综合利用；不 </w:t>
            </w:r>
            <w:r>
              <w:rPr>
                <w:sz w:val="21"/>
              </w:rPr>
              <w:t>合格品回用于生产；</w:t>
            </w:r>
          </w:p>
          <w:p>
            <w:pPr>
              <w:pStyle w:val="TableParagraph"/>
              <w:spacing w:line="244" w:lineRule="auto"/>
              <w:ind w:left="112" w:right="153" w:firstLine="420"/>
              <w:rPr>
                <w:sz w:val="21"/>
              </w:rPr>
            </w:pPr>
            <w:r>
              <w:rPr>
                <w:w w:val="95"/>
                <w:sz w:val="21"/>
              </w:rPr>
              <w:t xml:space="preserve">②危险废物：废过滤棉、废活性炭、废液压油桶在危废间暂存 </w:t>
            </w:r>
            <w:r>
              <w:rPr>
                <w:sz w:val="21"/>
              </w:rPr>
              <w:t>后，委托有资质单位处理；</w:t>
            </w:r>
          </w:p>
          <w:p>
            <w:pPr>
              <w:pStyle w:val="TableParagraph"/>
              <w:spacing w:line="244" w:lineRule="exact"/>
              <w:ind w:left="532"/>
              <w:rPr>
                <w:sz w:val="21"/>
              </w:rPr>
            </w:pPr>
            <w:r>
              <w:rPr>
                <w:sz w:val="21"/>
              </w:rPr>
              <w:t>③生活垃圾：生活垃圾由环卫部门定期清运。</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534"/>
        </w:trPr>
        <w:tc>
          <w:tcPr>
            <w:tcW w:w="895"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25"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55"/>
              <w:rPr>
                <w:sz w:val="21"/>
              </w:rPr>
            </w:pPr>
            <w:r>
              <w:rPr>
                <w:spacing w:val="-1"/>
                <w:w w:val="95"/>
                <w:sz w:val="21"/>
              </w:rPr>
              <w:t>依托</w:t>
            </w:r>
          </w:p>
          <w:p>
            <w:pPr>
              <w:pStyle w:val="TableParagraph"/>
              <w:spacing w:before="2" w:line="247" w:lineRule="exact"/>
              <w:ind w:left="155"/>
              <w:rPr>
                <w:sz w:val="21"/>
              </w:rPr>
            </w:pPr>
            <w:r>
              <w:rPr>
                <w:spacing w:val="-1"/>
                <w:w w:val="95"/>
                <w:sz w:val="21"/>
              </w:rPr>
              <w:t>工程</w:t>
            </w:r>
          </w:p>
        </w:tc>
        <w:tc>
          <w:tcPr>
            <w:tcW w:w="7396" w:type="dxa"/>
            <w:gridSpan w:val="3"/>
            <w:tcBorders>
              <w:top w:val="single" w:sz="4" w:space="0" w:color="000000"/>
              <w:left w:val="single" w:sz="4" w:space="0" w:color="000000"/>
              <w:bottom w:val="single" w:sz="4" w:space="0" w:color="000000"/>
              <w:right w:val="single" w:sz="4" w:space="0" w:color="000000"/>
            </w:tcBorders>
          </w:tcPr>
          <w:p>
            <w:pPr>
              <w:pStyle w:val="TableParagraph"/>
              <w:spacing w:before="146"/>
              <w:ind w:left="532"/>
              <w:rPr>
                <w:rFonts w:ascii="Times New Roman"/>
                <w:sz w:val="21"/>
              </w:rPr>
            </w:pPr>
            <w:r>
              <w:rPr>
                <w:rFonts w:ascii="Times New Roman"/>
                <w:w w:val="99"/>
                <w:sz w:val="21"/>
              </w:rPr>
              <w:t>/</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8392"/>
        </w:trPr>
        <w:tc>
          <w:tcPr>
            <w:tcW w:w="895" w:type="dxa"/>
            <w:vMerge/>
            <w:tcBorders>
              <w:top w:val="nil"/>
              <w:right w:val="single" w:sz="4" w:space="0" w:color="000000"/>
            </w:tcBorders>
          </w:tcPr>
          <w:p>
            <w:pPr>
              <w:rPr>
                <w:sz w:val="2"/>
                <w:szCs w:val="2"/>
              </w:rPr>
            </w:pPr>
          </w:p>
        </w:tc>
        <w:tc>
          <w:tcPr>
            <w:tcW w:w="8347" w:type="dxa"/>
            <w:gridSpan w:val="6"/>
            <w:tcBorders>
              <w:top w:val="single" w:sz="4" w:space="0" w:color="000000"/>
              <w:left w:val="single" w:sz="4" w:space="0" w:color="000000"/>
            </w:tcBorders>
          </w:tcPr>
          <w:p>
            <w:pPr>
              <w:pStyle w:val="TableParagraph"/>
              <w:spacing w:before="117"/>
              <w:ind w:left="112"/>
              <w:rPr>
                <w:b/>
                <w:sz w:val="24"/>
              </w:rPr>
            </w:pPr>
            <w:r>
              <w:rPr>
                <w:rFonts w:ascii="Times New Roman" w:eastAsia="Times New Roman"/>
                <w:b/>
                <w:sz w:val="24"/>
              </w:rPr>
              <w:t>4</w:t>
            </w:r>
            <w:r>
              <w:rPr>
                <w:b/>
                <w:sz w:val="24"/>
              </w:rPr>
              <w:t>、公用及辅助工程</w:t>
            </w:r>
          </w:p>
          <w:p>
            <w:pPr>
              <w:pStyle w:val="TableParagraph"/>
              <w:numPr>
                <w:ilvl w:val="0"/>
                <w:numId w:val="24"/>
              </w:numPr>
              <w:tabs>
                <w:tab w:val="left" w:pos="1194"/>
              </w:tabs>
              <w:spacing w:before="160" w:after="0" w:line="240" w:lineRule="auto"/>
              <w:ind w:left="1193" w:right="0" w:hanging="602"/>
              <w:jc w:val="left"/>
              <w:rPr>
                <w:sz w:val="24"/>
              </w:rPr>
            </w:pPr>
            <w:r>
              <w:rPr>
                <w:sz w:val="24"/>
              </w:rPr>
              <w:t>给水</w:t>
            </w:r>
          </w:p>
          <w:p>
            <w:pPr>
              <w:pStyle w:val="TableParagraph"/>
              <w:spacing w:before="144"/>
              <w:ind w:left="592"/>
              <w:rPr>
                <w:sz w:val="24"/>
              </w:rPr>
            </w:pPr>
            <w:r>
              <w:rPr>
                <w:sz w:val="24"/>
              </w:rPr>
              <w:t>①生活用水</w:t>
            </w:r>
          </w:p>
          <w:p>
            <w:pPr>
              <w:pStyle w:val="TableParagraph"/>
              <w:spacing w:before="141"/>
              <w:ind w:left="592"/>
              <w:rPr>
                <w:rFonts w:ascii="Times New Roman" w:eastAsia="Times New Roman"/>
                <w:sz w:val="24"/>
              </w:rPr>
            </w:pPr>
            <w:r>
              <w:rPr>
                <w:sz w:val="24"/>
              </w:rPr>
              <w:t xml:space="preserve">本项目劳动定员 </w:t>
            </w:r>
            <w:r>
              <w:rPr>
                <w:rFonts w:ascii="Times New Roman" w:eastAsia="Times New Roman"/>
                <w:sz w:val="24"/>
              </w:rPr>
              <w:t xml:space="preserve">15 </w:t>
            </w:r>
            <w:r>
              <w:rPr>
                <w:sz w:val="24"/>
              </w:rPr>
              <w:t xml:space="preserve">人，不设食宿，按每人每天用水 </w:t>
            </w:r>
            <w:r>
              <w:rPr>
                <w:rFonts w:ascii="Times New Roman" w:eastAsia="Times New Roman"/>
                <w:sz w:val="24"/>
              </w:rPr>
              <w:t xml:space="preserve">30L </w:t>
            </w:r>
            <w:r>
              <w:rPr>
                <w:sz w:val="24"/>
              </w:rPr>
              <w:t xml:space="preserve">计，年工作 </w:t>
            </w:r>
            <w:r>
              <w:rPr>
                <w:rFonts w:ascii="Times New Roman" w:eastAsia="Times New Roman"/>
                <w:sz w:val="24"/>
              </w:rPr>
              <w:t>300</w:t>
            </w:r>
          </w:p>
          <w:p>
            <w:pPr>
              <w:pStyle w:val="TableParagraph"/>
              <w:spacing w:before="146"/>
              <w:ind w:left="112"/>
              <w:rPr>
                <w:sz w:val="24"/>
              </w:rPr>
            </w:pPr>
            <w:r>
              <w:rPr>
                <w:sz w:val="24"/>
              </w:rPr>
              <w:t xml:space="preserve">天，生活用水量为 </w:t>
            </w:r>
            <w:r>
              <w:rPr>
                <w:rFonts w:ascii="Times New Roman" w:eastAsia="Times New Roman"/>
                <w:sz w:val="24"/>
              </w:rPr>
              <w:t>0.45m</w:t>
            </w:r>
            <w:r>
              <w:rPr>
                <w:rFonts w:ascii="Times New Roman" w:eastAsia="Times New Roman"/>
                <w:position w:val="8"/>
                <w:sz w:val="15"/>
              </w:rPr>
              <w:t>3</w:t>
            </w:r>
            <w:r>
              <w:rPr>
                <w:rFonts w:ascii="Times New Roman" w:eastAsia="Times New Roman"/>
                <w:sz w:val="24"/>
              </w:rPr>
              <w:t>/d</w:t>
            </w:r>
            <w:r>
              <w:rPr>
                <w:sz w:val="24"/>
              </w:rPr>
              <w:t>（</w:t>
            </w:r>
            <w:r>
              <w:rPr>
                <w:rFonts w:ascii="Times New Roman" w:eastAsia="Times New Roman"/>
                <w:sz w:val="24"/>
              </w:rPr>
              <w:t>135m</w:t>
            </w:r>
            <w:r>
              <w:rPr>
                <w:rFonts w:ascii="Times New Roman" w:eastAsia="Times New Roman"/>
                <w:position w:val="8"/>
                <w:sz w:val="15"/>
              </w:rPr>
              <w:t>3</w:t>
            </w:r>
            <w:r>
              <w:rPr>
                <w:rFonts w:ascii="Times New Roman" w:eastAsia="Times New Roman"/>
                <w:sz w:val="24"/>
              </w:rPr>
              <w:t>/a</w:t>
            </w:r>
            <w:r>
              <w:rPr>
                <w:sz w:val="24"/>
              </w:rPr>
              <w:t>），由宁津县供水管网提供。</w:t>
            </w:r>
          </w:p>
          <w:p>
            <w:pPr>
              <w:pStyle w:val="TableParagraph"/>
              <w:spacing w:before="144"/>
              <w:ind w:left="592"/>
              <w:rPr>
                <w:sz w:val="24"/>
              </w:rPr>
            </w:pPr>
            <w:r>
              <w:rPr>
                <w:sz w:val="24"/>
              </w:rPr>
              <w:t>②生产用水</w:t>
            </w:r>
          </w:p>
          <w:p>
            <w:pPr>
              <w:pStyle w:val="TableParagraph"/>
              <w:spacing w:before="144" w:line="362" w:lineRule="auto"/>
              <w:ind w:left="112" w:right="86" w:firstLine="480"/>
              <w:rPr>
                <w:sz w:val="24"/>
              </w:rPr>
            </w:pPr>
            <w:r>
              <w:rPr>
                <w:sz w:val="24"/>
              </w:rPr>
              <w:t xml:space="preserve">本项目半成品挤出后需要冷却，冷却水循环使用，定期补充损耗，补充用水量为 </w:t>
            </w:r>
            <w:r>
              <w:rPr>
                <w:rFonts w:ascii="Times New Roman" w:eastAsia="Times New Roman"/>
                <w:sz w:val="24"/>
              </w:rPr>
              <w:t>0.05m</w:t>
            </w:r>
            <w:r>
              <w:rPr>
                <w:rFonts w:ascii="Times New Roman" w:eastAsia="Times New Roman"/>
                <w:position w:val="8"/>
                <w:sz w:val="15"/>
              </w:rPr>
              <w:t>3</w:t>
            </w:r>
            <w:r>
              <w:rPr>
                <w:rFonts w:ascii="Times New Roman" w:eastAsia="Times New Roman"/>
                <w:sz w:val="24"/>
              </w:rPr>
              <w:t>/d</w:t>
            </w:r>
            <w:r>
              <w:rPr>
                <w:sz w:val="24"/>
              </w:rPr>
              <w:t>（</w:t>
            </w:r>
            <w:r>
              <w:rPr>
                <w:rFonts w:ascii="Times New Roman" w:eastAsia="Times New Roman"/>
                <w:sz w:val="24"/>
              </w:rPr>
              <w:t>15m</w:t>
            </w:r>
            <w:r>
              <w:rPr>
                <w:rFonts w:ascii="Times New Roman" w:eastAsia="Times New Roman"/>
                <w:position w:val="8"/>
                <w:sz w:val="15"/>
              </w:rPr>
              <w:t>3</w:t>
            </w:r>
            <w:r>
              <w:rPr>
                <w:rFonts w:ascii="Times New Roman" w:eastAsia="Times New Roman"/>
                <w:sz w:val="24"/>
              </w:rPr>
              <w:t>/a</w:t>
            </w:r>
            <w:r>
              <w:rPr>
                <w:sz w:val="24"/>
              </w:rPr>
              <w:t>）。</w:t>
            </w:r>
          </w:p>
          <w:p>
            <w:pPr>
              <w:pStyle w:val="TableParagraph"/>
              <w:spacing w:before="5"/>
              <w:ind w:left="592"/>
              <w:rPr>
                <w:sz w:val="24"/>
              </w:rPr>
            </w:pPr>
            <w:r>
              <w:rPr>
                <w:sz w:val="24"/>
              </w:rPr>
              <w:t xml:space="preserve">因此，本项目总用水量为 </w:t>
            </w:r>
            <w:r>
              <w:rPr>
                <w:rFonts w:ascii="Times New Roman" w:eastAsia="Times New Roman"/>
                <w:sz w:val="24"/>
              </w:rPr>
              <w:t>0.5m</w:t>
            </w:r>
            <w:r>
              <w:rPr>
                <w:rFonts w:ascii="Times New Roman" w:eastAsia="Times New Roman"/>
                <w:position w:val="8"/>
                <w:sz w:val="15"/>
              </w:rPr>
              <w:t>3</w:t>
            </w:r>
            <w:r>
              <w:rPr>
                <w:rFonts w:ascii="Times New Roman" w:eastAsia="Times New Roman"/>
                <w:sz w:val="24"/>
              </w:rPr>
              <w:t>/d</w:t>
            </w:r>
            <w:r>
              <w:rPr>
                <w:sz w:val="24"/>
              </w:rPr>
              <w:t>（</w:t>
            </w:r>
            <w:r>
              <w:rPr>
                <w:rFonts w:ascii="Times New Roman" w:eastAsia="Times New Roman"/>
                <w:sz w:val="24"/>
              </w:rPr>
              <w:t>150m</w:t>
            </w:r>
            <w:r>
              <w:rPr>
                <w:rFonts w:ascii="Times New Roman" w:eastAsia="Times New Roman"/>
                <w:position w:val="8"/>
                <w:sz w:val="15"/>
              </w:rPr>
              <w:t>3</w:t>
            </w:r>
            <w:r>
              <w:rPr>
                <w:rFonts w:ascii="Times New Roman" w:eastAsia="Times New Roman"/>
                <w:sz w:val="24"/>
              </w:rPr>
              <w:t>/a</w:t>
            </w:r>
            <w:r>
              <w:rPr>
                <w:sz w:val="24"/>
              </w:rPr>
              <w:t>），由宁津县供水管网提供。</w:t>
            </w:r>
          </w:p>
          <w:p>
            <w:pPr>
              <w:pStyle w:val="TableParagraph"/>
              <w:numPr>
                <w:ilvl w:val="0"/>
                <w:numId w:val="24"/>
              </w:numPr>
              <w:tabs>
                <w:tab w:val="left" w:pos="1194"/>
              </w:tabs>
              <w:spacing w:before="143" w:after="0" w:line="240" w:lineRule="auto"/>
              <w:ind w:left="1193" w:right="0" w:hanging="602"/>
              <w:jc w:val="left"/>
              <w:rPr>
                <w:sz w:val="24"/>
              </w:rPr>
            </w:pPr>
            <w:r>
              <w:rPr>
                <w:sz w:val="24"/>
              </w:rPr>
              <w:t>排水</w:t>
            </w:r>
          </w:p>
          <w:p>
            <w:pPr>
              <w:pStyle w:val="TableParagraph"/>
              <w:spacing w:before="144"/>
              <w:ind w:left="592"/>
              <w:rPr>
                <w:sz w:val="24"/>
              </w:rPr>
            </w:pPr>
            <w:r>
              <w:rPr>
                <w:sz w:val="24"/>
              </w:rPr>
              <w:t>①生活污水</w:t>
            </w:r>
          </w:p>
          <w:p>
            <w:pPr>
              <w:pStyle w:val="TableParagraph"/>
              <w:spacing w:before="161" w:line="362" w:lineRule="auto"/>
              <w:ind w:left="112" w:right="86" w:firstLine="480"/>
              <w:jc w:val="both"/>
              <w:rPr>
                <w:sz w:val="24"/>
              </w:rPr>
            </w:pPr>
            <w:r>
              <w:rPr>
                <w:sz w:val="24"/>
              </w:rPr>
              <w:t xml:space="preserve">本项目生活污水产生量为 </w:t>
            </w:r>
            <w:r>
              <w:rPr>
                <w:rFonts w:ascii="Times New Roman" w:eastAsia="Times New Roman"/>
                <w:sz w:val="24"/>
              </w:rPr>
              <w:t>0.36m</w:t>
            </w:r>
            <w:r>
              <w:rPr>
                <w:rFonts w:ascii="Times New Roman" w:eastAsia="Times New Roman"/>
                <w:position w:val="8"/>
                <w:sz w:val="15"/>
              </w:rPr>
              <w:t>3</w:t>
            </w:r>
            <w:r>
              <w:rPr>
                <w:rFonts w:ascii="Times New Roman" w:eastAsia="Times New Roman"/>
                <w:sz w:val="24"/>
              </w:rPr>
              <w:t>/d</w:t>
            </w:r>
            <w:r>
              <w:rPr>
                <w:sz w:val="24"/>
              </w:rPr>
              <w:t>（</w:t>
            </w:r>
            <w:r>
              <w:rPr>
                <w:rFonts w:ascii="Times New Roman" w:eastAsia="Times New Roman"/>
                <w:sz w:val="24"/>
              </w:rPr>
              <w:t>108m</w:t>
            </w:r>
            <w:r>
              <w:rPr>
                <w:rFonts w:ascii="Times New Roman" w:eastAsia="Times New Roman"/>
                <w:position w:val="8"/>
                <w:sz w:val="15"/>
              </w:rPr>
              <w:t>3</w:t>
            </w:r>
            <w:r>
              <w:rPr>
                <w:rFonts w:ascii="Times New Roman" w:eastAsia="Times New Roman"/>
                <w:sz w:val="24"/>
              </w:rPr>
              <w:t>/a</w:t>
            </w:r>
            <w:r>
              <w:rPr>
                <w:sz w:val="24"/>
              </w:rPr>
              <w:t xml:space="preserve">）（污水系数以 </w:t>
            </w:r>
            <w:r>
              <w:rPr>
                <w:rFonts w:ascii="Times New Roman" w:eastAsia="Times New Roman"/>
                <w:sz w:val="24"/>
              </w:rPr>
              <w:t xml:space="preserve">0.8 </w:t>
            </w:r>
            <w:r>
              <w:rPr>
                <w:sz w:val="24"/>
              </w:rPr>
              <w:t>计）， 经化粪池处理后，通过市政管网排入宁津县嘉诚水质净化有限公司深度处理后排放。</w:t>
            </w:r>
          </w:p>
          <w:p>
            <w:pPr>
              <w:pStyle w:val="TableParagraph"/>
              <w:spacing w:before="6"/>
              <w:ind w:left="592"/>
              <w:rPr>
                <w:sz w:val="24"/>
              </w:rPr>
            </w:pPr>
            <w:r>
              <w:rPr>
                <w:sz w:val="24"/>
              </w:rPr>
              <w:t>②生产废水</w:t>
            </w:r>
          </w:p>
          <w:p>
            <w:pPr>
              <w:pStyle w:val="TableParagraph"/>
              <w:spacing w:before="160"/>
              <w:ind w:left="592"/>
              <w:rPr>
                <w:sz w:val="24"/>
              </w:rPr>
            </w:pPr>
            <w:r>
              <w:rPr>
                <w:sz w:val="24"/>
              </w:rPr>
              <w:t>冷却水循环使用，不排放。</w:t>
            </w:r>
          </w:p>
          <w:p>
            <w:pPr>
              <w:pStyle w:val="TableParagraph"/>
              <w:spacing w:before="7" w:line="468" w:lineRule="exact"/>
              <w:ind w:left="592" w:right="2342"/>
              <w:rPr>
                <w:sz w:val="21"/>
              </w:rPr>
            </w:pPr>
            <w:r>
              <w:rPr>
                <w:sz w:val="24"/>
              </w:rPr>
              <w:t xml:space="preserve">因此，本项目废水排放量为 </w:t>
            </w:r>
            <w:r>
              <w:rPr>
                <w:rFonts w:ascii="Times New Roman" w:eastAsia="Times New Roman"/>
                <w:sz w:val="24"/>
              </w:rPr>
              <w:t>0.36m</w:t>
            </w:r>
            <w:r>
              <w:rPr>
                <w:rFonts w:ascii="Times New Roman" w:eastAsia="Times New Roman"/>
                <w:position w:val="8"/>
                <w:sz w:val="15"/>
              </w:rPr>
              <w:t>3</w:t>
            </w:r>
            <w:r>
              <w:rPr>
                <w:rFonts w:ascii="Times New Roman" w:eastAsia="Times New Roman"/>
                <w:sz w:val="24"/>
              </w:rPr>
              <w:t>/d</w:t>
            </w:r>
            <w:r>
              <w:rPr>
                <w:sz w:val="24"/>
              </w:rPr>
              <w:t>（</w:t>
            </w:r>
            <w:r>
              <w:rPr>
                <w:rFonts w:ascii="Times New Roman" w:eastAsia="Times New Roman"/>
                <w:sz w:val="24"/>
              </w:rPr>
              <w:t>108m</w:t>
            </w:r>
            <w:r>
              <w:rPr>
                <w:rFonts w:ascii="Times New Roman" w:eastAsia="Times New Roman"/>
                <w:position w:val="8"/>
                <w:sz w:val="15"/>
              </w:rPr>
              <w:t>3</w:t>
            </w:r>
            <w:r>
              <w:rPr>
                <w:rFonts w:ascii="Times New Roman" w:eastAsia="Times New Roman"/>
                <w:sz w:val="24"/>
              </w:rPr>
              <w:t>/a</w:t>
            </w:r>
            <w:r>
              <w:rPr>
                <w:sz w:val="24"/>
              </w:rPr>
              <w:t>）。本项目水平衡图见下图</w:t>
            </w:r>
            <w:r>
              <w:rPr>
                <w:sz w:val="21"/>
              </w:rPr>
              <w:t>。</w:t>
            </w:r>
          </w:p>
        </w:tc>
      </w:tr>
    </w:tbl>
    <w:p>
      <w:pPr>
        <w:spacing w:after="0" w:line="468" w:lineRule="exact"/>
        <w:rPr>
          <w:sz w:val="21"/>
        </w:rPr>
        <w:sectPr>
          <w:footerReference w:type="default" r:id="rId21"/>
          <w:pgSz w:w="11910" w:h="16840"/>
          <w:pgMar w:top="1420" w:right="1119" w:bottom="900" w:left="1120" w:header="0" w:footer="714" w:gutter="0"/>
          <w:pgNumType w:start="17"/>
          <w:cols w:num="1" w:space="720"/>
        </w:sectPr>
      </w:pPr>
    </w:p>
    <w:tbl>
      <w:tblPr>
        <w:tblStyle w:val="TableNormal"/>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95"/>
        <w:gridCol w:w="114"/>
        <w:gridCol w:w="680"/>
        <w:gridCol w:w="983"/>
        <w:gridCol w:w="6455"/>
        <w:gridCol w:w="115"/>
      </w:tblGrid>
      <w:tr>
        <w:tblPrEx>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9870"/>
        </w:trPr>
        <w:tc>
          <w:tcPr>
            <w:tcW w:w="895" w:type="dxa"/>
            <w:vMerge w:val="restart"/>
            <w:tcBorders>
              <w:right w:val="single" w:sz="4" w:space="0" w:color="000000"/>
            </w:tcBorders>
          </w:tcPr>
          <w:p>
            <w:pPr>
              <w:pStyle w:val="TableParagraph"/>
              <w:rPr>
                <w:rFonts w:ascii="Times New Roman"/>
                <w:sz w:val="20"/>
              </w:rPr>
            </w:pPr>
          </w:p>
        </w:tc>
        <w:tc>
          <w:tcPr>
            <w:tcW w:w="8347" w:type="dxa"/>
            <w:gridSpan w:val="5"/>
            <w:tcBorders>
              <w:left w:val="single" w:sz="4" w:space="0" w:color="000000"/>
              <w:bottom w:val="single" w:sz="4" w:space="0" w:color="000000"/>
            </w:tcBorders>
          </w:tcPr>
          <w:p>
            <w:pPr>
              <w:pStyle w:val="TableParagraph"/>
              <w:spacing w:before="6"/>
              <w:rPr>
                <w:b/>
                <w:sz w:val="6"/>
              </w:rPr>
            </w:pPr>
          </w:p>
          <w:p>
            <w:pPr>
              <w:pStyle w:val="TableParagraph"/>
              <w:ind w:left="924"/>
              <w:rPr>
                <w:sz w:val="20"/>
              </w:rPr>
            </w:pPr>
            <w:r>
              <w:rPr>
                <w:sz w:val="20"/>
              </w:rPr>
              <w:drawing>
                <wp:inline distT="0" distB="0" distL="0" distR="0">
                  <wp:extent cx="4158615" cy="154178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xmlns:r="http://schemas.openxmlformats.org/officeDocument/2006/relationships" r:embed="rId22" cstate="print"/>
                          <a:stretch>
                            <a:fillRect/>
                          </a:stretch>
                        </pic:blipFill>
                        <pic:spPr>
                          <a:xfrm>
                            <a:off x="0" y="0"/>
                            <a:ext cx="4158638" cy="1542288"/>
                          </a:xfrm>
                          <a:prstGeom prst="rect">
                            <a:avLst/>
                          </a:prstGeom>
                        </pic:spPr>
                      </pic:pic>
                    </a:graphicData>
                  </a:graphic>
                </wp:inline>
              </w:drawing>
            </w:r>
          </w:p>
          <w:p>
            <w:pPr>
              <w:pStyle w:val="TableParagraph"/>
              <w:spacing w:before="10"/>
              <w:rPr>
                <w:b/>
                <w:sz w:val="22"/>
              </w:rPr>
            </w:pPr>
          </w:p>
          <w:p>
            <w:pPr>
              <w:pStyle w:val="TableParagraph"/>
              <w:ind w:left="2126" w:right="1862"/>
              <w:jc w:val="center"/>
              <w:rPr>
                <w:b/>
                <w:sz w:val="24"/>
              </w:rPr>
            </w:pPr>
            <w:r>
              <w:rPr>
                <w:b/>
                <w:spacing w:val="-31"/>
                <w:sz w:val="24"/>
              </w:rPr>
              <w:t xml:space="preserve">图 </w:t>
            </w:r>
            <w:r>
              <w:rPr>
                <w:rFonts w:ascii="Times New Roman" w:eastAsia="Times New Roman"/>
                <w:b/>
                <w:sz w:val="24"/>
              </w:rPr>
              <w:t>1</w:t>
            </w:r>
            <w:r>
              <w:rPr>
                <w:rFonts w:ascii="Times New Roman" w:eastAsia="Times New Roman"/>
                <w:b/>
                <w:spacing w:val="57"/>
                <w:sz w:val="24"/>
              </w:rPr>
              <w:t xml:space="preserve"> </w:t>
            </w:r>
            <w:r>
              <w:rPr>
                <w:b/>
                <w:sz w:val="24"/>
              </w:rPr>
              <w:t>项目水平衡图（</w:t>
            </w:r>
            <w:r>
              <w:rPr>
                <w:b/>
                <w:spacing w:val="-20"/>
                <w:sz w:val="24"/>
              </w:rPr>
              <w:t xml:space="preserve">单位 </w:t>
            </w:r>
            <w:r>
              <w:rPr>
                <w:rFonts w:ascii="Times New Roman" w:eastAsia="Times New Roman"/>
                <w:b/>
                <w:sz w:val="24"/>
              </w:rPr>
              <w:t>m</w:t>
            </w:r>
            <w:r>
              <w:rPr>
                <w:rFonts w:ascii="Times New Roman" w:eastAsia="Times New Roman"/>
                <w:b/>
                <w:position w:val="8"/>
                <w:sz w:val="15"/>
              </w:rPr>
              <w:t>3</w:t>
            </w:r>
            <w:r>
              <w:rPr>
                <w:rFonts w:ascii="Times New Roman" w:eastAsia="Times New Roman"/>
                <w:b/>
                <w:sz w:val="24"/>
              </w:rPr>
              <w:t>/d</w:t>
            </w:r>
            <w:r>
              <w:rPr>
                <w:b/>
                <w:sz w:val="24"/>
              </w:rPr>
              <w:t>）</w:t>
            </w:r>
          </w:p>
          <w:p>
            <w:pPr>
              <w:pStyle w:val="TableParagraph"/>
              <w:numPr>
                <w:ilvl w:val="0"/>
                <w:numId w:val="14"/>
              </w:numPr>
              <w:tabs>
                <w:tab w:val="left" w:pos="1194"/>
              </w:tabs>
              <w:spacing w:before="160" w:after="0" w:line="240" w:lineRule="auto"/>
              <w:ind w:left="1193" w:right="0" w:hanging="602"/>
              <w:jc w:val="left"/>
              <w:rPr>
                <w:sz w:val="24"/>
              </w:rPr>
            </w:pPr>
            <w:r>
              <w:rPr>
                <w:sz w:val="24"/>
              </w:rPr>
              <w:t>供电</w:t>
            </w:r>
          </w:p>
          <w:p>
            <w:pPr>
              <w:pStyle w:val="TableParagraph"/>
              <w:spacing w:before="158"/>
              <w:ind w:left="592"/>
              <w:rPr>
                <w:sz w:val="24"/>
              </w:rPr>
            </w:pPr>
            <w:r>
              <w:rPr>
                <w:sz w:val="24"/>
              </w:rPr>
              <w:t xml:space="preserve">本项目年用电量为 </w:t>
            </w:r>
            <w:r>
              <w:rPr>
                <w:rFonts w:ascii="Times New Roman" w:eastAsia="Times New Roman"/>
                <w:sz w:val="24"/>
              </w:rPr>
              <w:t xml:space="preserve">200 </w:t>
            </w:r>
            <w:r>
              <w:rPr>
                <w:sz w:val="24"/>
              </w:rPr>
              <w:t xml:space="preserve">万 </w:t>
            </w:r>
            <w:r>
              <w:rPr>
                <w:rFonts w:ascii="Times New Roman" w:eastAsia="Times New Roman"/>
                <w:sz w:val="24"/>
              </w:rPr>
              <w:t>kwh</w:t>
            </w:r>
            <w:r>
              <w:rPr>
                <w:sz w:val="24"/>
              </w:rPr>
              <w:t>，由宁津县供电系统提供。</w:t>
            </w:r>
          </w:p>
          <w:p>
            <w:pPr>
              <w:pStyle w:val="TableParagraph"/>
              <w:numPr>
                <w:ilvl w:val="0"/>
                <w:numId w:val="14"/>
              </w:numPr>
              <w:tabs>
                <w:tab w:val="left" w:pos="1194"/>
              </w:tabs>
              <w:spacing w:before="161" w:after="0" w:line="240" w:lineRule="auto"/>
              <w:ind w:left="1193" w:right="0" w:hanging="602"/>
              <w:jc w:val="left"/>
              <w:rPr>
                <w:sz w:val="24"/>
              </w:rPr>
            </w:pPr>
            <w:r>
              <w:rPr>
                <w:sz w:val="24"/>
              </w:rPr>
              <w:t>供热</w:t>
            </w:r>
          </w:p>
          <w:p>
            <w:pPr>
              <w:pStyle w:val="TableParagraph"/>
              <w:spacing w:before="160"/>
              <w:ind w:left="592"/>
              <w:rPr>
                <w:sz w:val="24"/>
              </w:rPr>
            </w:pPr>
            <w:r>
              <w:rPr>
                <w:sz w:val="24"/>
              </w:rPr>
              <w:t>本项目生产上热源由电提供。</w:t>
            </w:r>
          </w:p>
          <w:p>
            <w:pPr>
              <w:pStyle w:val="TableParagraph"/>
              <w:numPr>
                <w:ilvl w:val="0"/>
                <w:numId w:val="14"/>
              </w:numPr>
              <w:tabs>
                <w:tab w:val="left" w:pos="1194"/>
              </w:tabs>
              <w:spacing w:before="158" w:after="0" w:line="240" w:lineRule="auto"/>
              <w:ind w:left="1193" w:right="0" w:hanging="602"/>
              <w:jc w:val="left"/>
              <w:rPr>
                <w:sz w:val="24"/>
              </w:rPr>
            </w:pPr>
            <w:r>
              <w:rPr>
                <w:sz w:val="24"/>
              </w:rPr>
              <w:t>供暖</w:t>
            </w:r>
          </w:p>
          <w:p>
            <w:pPr>
              <w:pStyle w:val="TableParagraph"/>
              <w:spacing w:before="159"/>
              <w:ind w:left="592"/>
              <w:rPr>
                <w:sz w:val="24"/>
              </w:rPr>
            </w:pPr>
            <w:r>
              <w:rPr>
                <w:sz w:val="24"/>
              </w:rPr>
              <w:t>本项目办公室冬季采暖使用空调。</w:t>
            </w:r>
          </w:p>
          <w:p>
            <w:pPr>
              <w:pStyle w:val="TableParagraph"/>
              <w:spacing w:before="160"/>
              <w:ind w:left="112"/>
              <w:rPr>
                <w:b/>
                <w:sz w:val="24"/>
              </w:rPr>
            </w:pPr>
            <w:r>
              <w:rPr>
                <w:rFonts w:ascii="Times New Roman" w:eastAsia="Times New Roman"/>
                <w:b/>
                <w:sz w:val="24"/>
              </w:rPr>
              <w:t>5</w:t>
            </w:r>
            <w:r>
              <w:rPr>
                <w:b/>
                <w:sz w:val="24"/>
              </w:rPr>
              <w:t>、项目主要原辅材料</w:t>
            </w:r>
          </w:p>
          <w:p>
            <w:pPr>
              <w:pStyle w:val="TableParagraph"/>
              <w:spacing w:before="158"/>
              <w:ind w:left="592"/>
              <w:rPr>
                <w:sz w:val="24"/>
              </w:rPr>
            </w:pPr>
            <w:r>
              <w:rPr>
                <w:sz w:val="24"/>
              </w:rPr>
              <w:t>本项目主要原辅材料用量情况见下表。</w:t>
            </w:r>
          </w:p>
          <w:p>
            <w:pPr>
              <w:pStyle w:val="TableParagraph"/>
              <w:spacing w:before="161"/>
              <w:ind w:left="2028" w:right="2272"/>
              <w:jc w:val="center"/>
              <w:rPr>
                <w:b/>
                <w:sz w:val="24"/>
              </w:rPr>
            </w:pPr>
            <w:r>
              <w:rPr>
                <w:b/>
                <w:sz w:val="24"/>
              </w:rPr>
              <w:t xml:space="preserve">表 </w:t>
            </w:r>
            <w:r>
              <w:rPr>
                <w:rFonts w:ascii="Times New Roman" w:eastAsia="Times New Roman"/>
                <w:b/>
                <w:sz w:val="24"/>
              </w:rPr>
              <w:t xml:space="preserve">13 </w:t>
            </w:r>
            <w:r>
              <w:rPr>
                <w:b/>
                <w:sz w:val="24"/>
              </w:rPr>
              <w:t>本项目原辅材料消耗一览表</w:t>
            </w: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8"/>
              <w:rPr>
                <w:b/>
                <w:sz w:val="19"/>
              </w:rPr>
            </w:pPr>
          </w:p>
          <w:p>
            <w:pPr>
              <w:pStyle w:val="TableParagraph"/>
              <w:spacing w:line="286" w:lineRule="exact"/>
              <w:ind w:left="2028" w:right="2272"/>
              <w:jc w:val="center"/>
              <w:rPr>
                <w:b/>
                <w:sz w:val="24"/>
              </w:rPr>
            </w:pPr>
            <w:r>
              <w:rPr>
                <w:b/>
                <w:sz w:val="24"/>
              </w:rPr>
              <w:t xml:space="preserve">表 </w:t>
            </w:r>
            <w:r>
              <w:rPr>
                <w:rFonts w:ascii="Times New Roman" w:eastAsia="Times New Roman"/>
                <w:b/>
                <w:sz w:val="24"/>
              </w:rPr>
              <w:t xml:space="preserve">14 </w:t>
            </w:r>
            <w:r>
              <w:rPr>
                <w:b/>
                <w:sz w:val="24"/>
              </w:rPr>
              <w:t>部分原辅材料理化性质一览表</w:t>
            </w:r>
          </w:p>
        </w:tc>
      </w:tr>
      <w:tr>
        <w:tblPrEx>
          <w:tblW w:w="0" w:type="auto"/>
          <w:tblInd w:w="222" w:type="dxa"/>
          <w:tblLayout w:type="fixed"/>
          <w:tblCellMar>
            <w:top w:w="0" w:type="dxa"/>
            <w:left w:w="0" w:type="dxa"/>
            <w:bottom w:w="0" w:type="dxa"/>
            <w:right w:w="0" w:type="dxa"/>
          </w:tblCellMar>
        </w:tblPrEx>
        <w:trPr>
          <w:trHeight w:val="387"/>
        </w:trPr>
        <w:tc>
          <w:tcPr>
            <w:tcW w:w="895" w:type="dxa"/>
            <w:vMerge/>
            <w:tcBorders>
              <w:top w:val="nil"/>
              <w:right w:val="single" w:sz="4" w:space="0" w:color="000000"/>
            </w:tcBorders>
          </w:tcPr>
          <w:p>
            <w:pPr>
              <w:rPr>
                <w:sz w:val="2"/>
                <w:szCs w:val="2"/>
              </w:rPr>
            </w:pPr>
          </w:p>
        </w:tc>
        <w:tc>
          <w:tcPr>
            <w:tcW w:w="114" w:type="dxa"/>
            <w:vMerge w:val="restart"/>
            <w:tcBorders>
              <w:top w:val="nil"/>
              <w:left w:val="single" w:sz="4" w:space="0" w:color="000000"/>
              <w:right w:val="single" w:sz="4" w:space="0" w:color="000000"/>
            </w:tcBorders>
          </w:tcPr>
          <w:p>
            <w:pPr>
              <w:pStyle w:val="TableParagraph"/>
              <w:rPr>
                <w:rFonts w:ascii="Times New Roman"/>
                <w:sz w:val="20"/>
              </w:rPr>
            </w:pPr>
          </w:p>
        </w:tc>
        <w:tc>
          <w:tcPr>
            <w:tcW w:w="680" w:type="dxa"/>
            <w:tcBorders>
              <w:top w:val="single" w:sz="4" w:space="0" w:color="000000"/>
              <w:left w:val="single" w:sz="4" w:space="0" w:color="000000"/>
              <w:bottom w:val="single" w:sz="4" w:space="0" w:color="000000"/>
              <w:right w:val="single" w:sz="4" w:space="0" w:color="000000"/>
            </w:tcBorders>
          </w:tcPr>
          <w:p>
            <w:pPr>
              <w:pStyle w:val="TableParagraph"/>
              <w:spacing w:before="57"/>
              <w:ind w:left="114" w:right="96"/>
              <w:jc w:val="center"/>
              <w:rPr>
                <w:sz w:val="21"/>
              </w:rPr>
            </w:pPr>
            <w:r>
              <w:rPr>
                <w:sz w:val="21"/>
              </w:rPr>
              <w:t>序号</w:t>
            </w:r>
          </w:p>
        </w:tc>
        <w:tc>
          <w:tcPr>
            <w:tcW w:w="983" w:type="dxa"/>
            <w:tcBorders>
              <w:top w:val="single" w:sz="4" w:space="0" w:color="000000"/>
              <w:left w:val="single" w:sz="4" w:space="0" w:color="000000"/>
              <w:bottom w:val="single" w:sz="4" w:space="0" w:color="000000"/>
              <w:right w:val="single" w:sz="4" w:space="0" w:color="000000"/>
            </w:tcBorders>
          </w:tcPr>
          <w:p>
            <w:pPr>
              <w:pStyle w:val="TableParagraph"/>
              <w:spacing w:before="57"/>
              <w:ind w:left="159" w:right="143"/>
              <w:jc w:val="center"/>
              <w:rPr>
                <w:sz w:val="21"/>
              </w:rPr>
            </w:pPr>
            <w:r>
              <w:rPr>
                <w:sz w:val="21"/>
              </w:rPr>
              <w:t>名称</w:t>
            </w:r>
          </w:p>
        </w:tc>
        <w:tc>
          <w:tcPr>
            <w:tcW w:w="6455" w:type="dxa"/>
            <w:tcBorders>
              <w:top w:val="single" w:sz="4" w:space="0" w:color="000000"/>
              <w:left w:val="single" w:sz="4" w:space="0" w:color="000000"/>
              <w:bottom w:val="single" w:sz="4" w:space="0" w:color="000000"/>
              <w:right w:val="single" w:sz="4" w:space="0" w:color="000000"/>
            </w:tcBorders>
          </w:tcPr>
          <w:p>
            <w:pPr>
              <w:pStyle w:val="TableParagraph"/>
              <w:spacing w:before="57"/>
              <w:ind w:left="2999" w:right="2986"/>
              <w:jc w:val="center"/>
              <w:rPr>
                <w:sz w:val="21"/>
              </w:rPr>
            </w:pPr>
            <w:r>
              <w:rPr>
                <w:sz w:val="21"/>
              </w:rPr>
              <w:t>性质</w:t>
            </w:r>
          </w:p>
        </w:tc>
        <w:tc>
          <w:tcPr>
            <w:tcW w:w="115" w:type="dxa"/>
            <w:tcBorders>
              <w:top w:val="nil"/>
              <w:left w:val="single" w:sz="4" w:space="0" w:color="000000"/>
              <w:bottom w:val="nil"/>
            </w:tcBorders>
          </w:tcPr>
          <w:p>
            <w:pPr>
              <w:pStyle w:val="TableParagraph"/>
              <w:rPr>
                <w:rFonts w:ascii="Times New Roman"/>
                <w:sz w:val="20"/>
              </w:rPr>
            </w:pPr>
          </w:p>
        </w:tc>
      </w:tr>
      <w:tr>
        <w:tblPrEx>
          <w:tblW w:w="0" w:type="auto"/>
          <w:tblInd w:w="222" w:type="dxa"/>
          <w:tblLayout w:type="fixed"/>
          <w:tblCellMar>
            <w:top w:w="0" w:type="dxa"/>
            <w:left w:w="0" w:type="dxa"/>
            <w:bottom w:w="0" w:type="dxa"/>
            <w:right w:w="0" w:type="dxa"/>
          </w:tblCellMar>
        </w:tblPrEx>
        <w:trPr>
          <w:trHeight w:val="1623"/>
        </w:trPr>
        <w:tc>
          <w:tcPr>
            <w:tcW w:w="895"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680" w:type="dxa"/>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12"/>
              <w:rPr>
                <w:b/>
                <w:sz w:val="31"/>
              </w:rPr>
            </w:pPr>
          </w:p>
          <w:p>
            <w:pPr>
              <w:pStyle w:val="TableParagraph"/>
              <w:ind w:left="17"/>
              <w:jc w:val="center"/>
              <w:rPr>
                <w:rFonts w:ascii="Times New Roman"/>
                <w:sz w:val="21"/>
              </w:rPr>
            </w:pPr>
            <w:r>
              <w:rPr>
                <w:rFonts w:ascii="Times New Roman"/>
                <w:w w:val="99"/>
                <w:sz w:val="21"/>
              </w:rPr>
              <w:t>1</w:t>
            </w:r>
          </w:p>
        </w:tc>
        <w:tc>
          <w:tcPr>
            <w:tcW w:w="983"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162"/>
              <w:ind w:left="159" w:right="143"/>
              <w:jc w:val="center"/>
              <w:rPr>
                <w:sz w:val="21"/>
              </w:rPr>
            </w:pPr>
            <w:r>
              <w:rPr>
                <w:sz w:val="21"/>
              </w:rPr>
              <w:t>聚乙烯</w:t>
            </w:r>
          </w:p>
        </w:tc>
        <w:tc>
          <w:tcPr>
            <w:tcW w:w="645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49" w:firstLine="420"/>
              <w:rPr>
                <w:sz w:val="21"/>
              </w:rPr>
            </w:pPr>
            <w:r>
              <w:rPr>
                <w:sz w:val="21"/>
              </w:rPr>
              <w:t>聚乙烯（</w:t>
            </w:r>
            <w:r>
              <w:rPr>
                <w:rFonts w:ascii="Times New Roman" w:eastAsia="Times New Roman" w:hAnsi="Times New Roman"/>
                <w:sz w:val="21"/>
              </w:rPr>
              <w:t>Polyethylene</w:t>
            </w:r>
            <w:r>
              <w:rPr>
                <w:sz w:val="21"/>
              </w:rPr>
              <w:t xml:space="preserve">，简称 </w:t>
            </w:r>
            <w:r>
              <w:rPr>
                <w:rFonts w:ascii="Times New Roman" w:eastAsia="Times New Roman" w:hAnsi="Times New Roman"/>
                <w:sz w:val="21"/>
              </w:rPr>
              <w:t>PE</w:t>
            </w:r>
            <w:r>
              <w:rPr>
                <w:sz w:val="21"/>
              </w:rPr>
              <w:t xml:space="preserve">）是乙烯单体经聚合反应制得的一种热塑性树脂。在工业上，也包括乙烯与少量 </w:t>
            </w:r>
            <w:r>
              <w:rPr>
                <w:rFonts w:ascii="Times New Roman" w:eastAsia="Times New Roman" w:hAnsi="Times New Roman"/>
                <w:sz w:val="21"/>
              </w:rPr>
              <w:t>a-</w:t>
            </w:r>
            <w:r>
              <w:rPr>
                <w:sz w:val="21"/>
              </w:rPr>
              <w:t>烯烃的共聚物。聚乙烯无臭，无毒，手感似蜡，具有优良的耐低温性能（最低使用温度可达</w:t>
            </w:r>
            <w:r>
              <w:rPr>
                <w:rFonts w:ascii="Times New Roman" w:eastAsia="Times New Roman" w:hAnsi="Times New Roman"/>
                <w:sz w:val="21"/>
              </w:rPr>
              <w:t>-100~-70°C</w:t>
            </w:r>
            <w:r>
              <w:rPr>
                <w:sz w:val="21"/>
              </w:rPr>
              <w:t>）。化学稳定性好，因聚合物分子内通过碳</w:t>
            </w:r>
            <w:r>
              <w:rPr>
                <w:rFonts w:ascii="Times New Roman" w:eastAsia="Times New Roman" w:hAnsi="Times New Roman"/>
                <w:sz w:val="21"/>
              </w:rPr>
              <w:t>-</w:t>
            </w:r>
            <w:r>
              <w:rPr>
                <w:sz w:val="21"/>
              </w:rPr>
              <w:t>碳单键相连，能耐大多数酸碱的侵蚀（不耐具有氧化性质的酸）。常</w:t>
            </w:r>
          </w:p>
          <w:p>
            <w:pPr>
              <w:pStyle w:val="TableParagraph"/>
              <w:spacing w:line="247" w:lineRule="exact"/>
              <w:ind w:left="111"/>
              <w:rPr>
                <w:sz w:val="21"/>
              </w:rPr>
            </w:pPr>
            <w:r>
              <w:rPr>
                <w:sz w:val="21"/>
              </w:rPr>
              <w:t>温下不溶于一般溶剂，吸水性小，电绝缘性优良。</w:t>
            </w:r>
          </w:p>
        </w:tc>
        <w:tc>
          <w:tcPr>
            <w:tcW w:w="115" w:type="dxa"/>
            <w:tcBorders>
              <w:top w:val="nil"/>
              <w:left w:val="single" w:sz="4" w:space="0" w:color="000000"/>
              <w:bottom w:val="nil"/>
            </w:tcBorders>
          </w:tcPr>
          <w:p>
            <w:pPr>
              <w:pStyle w:val="TableParagraph"/>
              <w:rPr>
                <w:rFonts w:ascii="Times New Roman"/>
                <w:sz w:val="20"/>
              </w:rPr>
            </w:pPr>
          </w:p>
        </w:tc>
      </w:tr>
      <w:tr>
        <w:tblPrEx>
          <w:tblW w:w="0" w:type="auto"/>
          <w:tblInd w:w="222" w:type="dxa"/>
          <w:tblLayout w:type="fixed"/>
          <w:tblCellMar>
            <w:top w:w="0" w:type="dxa"/>
            <w:left w:w="0" w:type="dxa"/>
            <w:bottom w:w="0" w:type="dxa"/>
            <w:right w:w="0" w:type="dxa"/>
          </w:tblCellMar>
        </w:tblPrEx>
        <w:trPr>
          <w:trHeight w:val="1899"/>
        </w:trPr>
        <w:tc>
          <w:tcPr>
            <w:tcW w:w="895"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680" w:type="dxa"/>
            <w:tcBorders>
              <w:top w:val="single" w:sz="4" w:space="0" w:color="000000"/>
              <w:left w:val="single" w:sz="4" w:space="0" w:color="000000"/>
              <w:right w:val="single" w:sz="4" w:space="0" w:color="000000"/>
            </w:tcBorders>
          </w:tcPr>
          <w:p>
            <w:pPr>
              <w:pStyle w:val="TableParagraph"/>
              <w:rPr>
                <w:b/>
                <w:sz w:val="22"/>
              </w:rPr>
            </w:pPr>
          </w:p>
          <w:p>
            <w:pPr>
              <w:pStyle w:val="TableParagraph"/>
              <w:rPr>
                <w:b/>
                <w:sz w:val="22"/>
              </w:rPr>
            </w:pPr>
          </w:p>
          <w:p>
            <w:pPr>
              <w:pStyle w:val="TableParagraph"/>
              <w:spacing w:before="8"/>
              <w:rPr>
                <w:b/>
                <w:sz w:val="20"/>
              </w:rPr>
            </w:pPr>
          </w:p>
          <w:p>
            <w:pPr>
              <w:pStyle w:val="TableParagraph"/>
              <w:ind w:left="17"/>
              <w:jc w:val="center"/>
              <w:rPr>
                <w:rFonts w:ascii="Times New Roman"/>
                <w:sz w:val="21"/>
              </w:rPr>
            </w:pPr>
            <w:r>
              <w:rPr>
                <w:rFonts w:ascii="Times New Roman"/>
                <w:w w:val="99"/>
                <w:sz w:val="21"/>
              </w:rPr>
              <w:t>2</w:t>
            </w:r>
          </w:p>
        </w:tc>
        <w:tc>
          <w:tcPr>
            <w:tcW w:w="983" w:type="dxa"/>
            <w:tcBorders>
              <w:top w:val="single" w:sz="4" w:space="0" w:color="000000"/>
              <w:left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4"/>
              <w:rPr>
                <w:b/>
                <w:sz w:val="23"/>
              </w:rPr>
            </w:pPr>
          </w:p>
          <w:p>
            <w:pPr>
              <w:pStyle w:val="TableParagraph"/>
              <w:ind w:left="159" w:right="143"/>
              <w:jc w:val="center"/>
              <w:rPr>
                <w:sz w:val="21"/>
              </w:rPr>
            </w:pPr>
            <w:r>
              <w:rPr>
                <w:sz w:val="21"/>
              </w:rPr>
              <w:t>色母粒</w:t>
            </w:r>
          </w:p>
        </w:tc>
        <w:tc>
          <w:tcPr>
            <w:tcW w:w="6455" w:type="dxa"/>
            <w:tcBorders>
              <w:top w:val="single" w:sz="4" w:space="0" w:color="000000"/>
              <w:left w:val="single" w:sz="4" w:space="0" w:color="000000"/>
              <w:right w:val="single" w:sz="4" w:space="0" w:color="000000"/>
            </w:tcBorders>
          </w:tcPr>
          <w:p>
            <w:pPr>
              <w:pStyle w:val="TableParagraph"/>
              <w:spacing w:line="242" w:lineRule="auto"/>
              <w:ind w:left="111" w:right="115" w:firstLine="420"/>
              <w:rPr>
                <w:sz w:val="21"/>
              </w:rPr>
            </w:pPr>
            <w:r>
              <w:rPr>
                <w:sz w:val="21"/>
              </w:rPr>
              <w:t>色母（</w:t>
            </w:r>
            <w:r>
              <w:rPr>
                <w:rFonts w:ascii="Times New Roman" w:eastAsia="Times New Roman"/>
                <w:sz w:val="21"/>
              </w:rPr>
              <w:t>Color</w:t>
            </w:r>
            <w:r>
              <w:rPr>
                <w:rFonts w:ascii="Times New Roman" w:eastAsia="Times New Roman"/>
                <w:spacing w:val="-5"/>
                <w:sz w:val="21"/>
              </w:rPr>
              <w:t xml:space="preserve"> </w:t>
            </w:r>
            <w:r>
              <w:rPr>
                <w:rFonts w:ascii="Times New Roman" w:eastAsia="Times New Roman"/>
                <w:sz w:val="21"/>
              </w:rPr>
              <w:t>Master</w:t>
            </w:r>
            <w:r>
              <w:rPr>
                <w:rFonts w:ascii="Times New Roman" w:eastAsia="Times New Roman"/>
                <w:spacing w:val="-2"/>
                <w:sz w:val="21"/>
              </w:rPr>
              <w:t xml:space="preserve"> </w:t>
            </w:r>
            <w:r>
              <w:rPr>
                <w:rFonts w:ascii="Times New Roman" w:eastAsia="Times New Roman"/>
                <w:sz w:val="21"/>
              </w:rPr>
              <w:t>Batch</w:t>
            </w:r>
            <w:r>
              <w:rPr>
                <w:sz w:val="21"/>
              </w:rPr>
              <w:t>）的全称叫色母粒，也叫色种，是一种新型高分子材料专用着色剂，亦称颜料制备物（</w:t>
            </w:r>
            <w:r>
              <w:rPr>
                <w:rFonts w:ascii="Times New Roman" w:eastAsia="Times New Roman"/>
                <w:sz w:val="21"/>
              </w:rPr>
              <w:t xml:space="preserve">Pigment </w:t>
            </w:r>
            <w:r>
              <w:rPr>
                <w:rFonts w:ascii="Times New Roman" w:eastAsia="Times New Roman"/>
                <w:w w:val="95"/>
                <w:sz w:val="21"/>
              </w:rPr>
              <w:t>Preparation</w:t>
            </w:r>
            <w:r>
              <w:rPr>
                <w:w w:val="95"/>
                <w:sz w:val="21"/>
              </w:rPr>
              <w:t xml:space="preserve">）。色母主要用在塑料上。色母由颜料或染料、载体和添  </w:t>
            </w:r>
            <w:r>
              <w:rPr>
                <w:sz w:val="21"/>
              </w:rPr>
              <w:t>加剂三种基本要素所组成，是把超常量的颜料均匀载附于树脂之中而制得的聚集体，可称颜料浓缩物（</w:t>
            </w:r>
            <w:r>
              <w:rPr>
                <w:rFonts w:ascii="Times New Roman" w:eastAsia="Times New Roman"/>
                <w:sz w:val="21"/>
              </w:rPr>
              <w:t>Pigment</w:t>
            </w:r>
            <w:r>
              <w:rPr>
                <w:rFonts w:ascii="Times New Roman" w:eastAsia="Times New Roman"/>
                <w:spacing w:val="-7"/>
                <w:sz w:val="21"/>
              </w:rPr>
              <w:t xml:space="preserve"> </w:t>
            </w:r>
            <w:r>
              <w:rPr>
                <w:rFonts w:ascii="Times New Roman" w:eastAsia="Times New Roman"/>
                <w:sz w:val="21"/>
              </w:rPr>
              <w:t>Concentration</w:t>
            </w:r>
            <w:r>
              <w:rPr>
                <w:sz w:val="21"/>
              </w:rPr>
              <w:t>），所以它的着色力高于颜料本身。加工时用少量色母料和未着色树脂掺</w:t>
            </w:r>
          </w:p>
          <w:p>
            <w:pPr>
              <w:pStyle w:val="TableParagraph"/>
              <w:spacing w:line="250" w:lineRule="exact"/>
              <w:ind w:left="111"/>
              <w:rPr>
                <w:sz w:val="21"/>
              </w:rPr>
            </w:pPr>
            <w:r>
              <w:rPr>
                <w:sz w:val="21"/>
              </w:rPr>
              <w:t>混，就可达到设计颜料浓度的着色树脂或制品。</w:t>
            </w:r>
          </w:p>
        </w:tc>
        <w:tc>
          <w:tcPr>
            <w:tcW w:w="115" w:type="dxa"/>
            <w:tcBorders>
              <w:top w:val="nil"/>
              <w:left w:val="single" w:sz="4" w:space="0" w:color="000000"/>
            </w:tcBorders>
          </w:tcPr>
          <w:p>
            <w:pPr>
              <w:pStyle w:val="TableParagraph"/>
              <w:rPr>
                <w:rFonts w:ascii="Times New Roman"/>
                <w:sz w:val="20"/>
              </w:rPr>
            </w:pPr>
          </w:p>
        </w:tc>
      </w:tr>
    </w:tbl>
    <w:p>
      <w:pPr>
        <w:rPr>
          <w:sz w:val="2"/>
          <w:szCs w:val="2"/>
        </w:rPr>
      </w:pPr>
      <w:r>
        <w:pict>
          <v:shape id="_x0000_s1032" o:spid="_x0000_s1031" type="#_x0000_t202" style="width:406.65pt;height:106.4pt;margin-top:438.8pt;margin-left:116.8pt;mso-height-relative:page;mso-position-horizontal-relative:page;mso-position-vertical-relative:page;mso-width-relative:page;position:absolute;z-index:25166438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33"/>
                    <w:gridCol w:w="2456"/>
                    <w:gridCol w:w="1017"/>
                    <w:gridCol w:w="1389"/>
                    <w:gridCol w:w="2423"/>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1"/>
                    </w:trPr>
                    <w:tc>
                      <w:tcPr>
                        <w:tcW w:w="833" w:type="dxa"/>
                      </w:tcPr>
                      <w:p>
                        <w:pPr>
                          <w:pStyle w:val="TableParagraph"/>
                          <w:spacing w:before="70"/>
                          <w:ind w:left="184" w:right="179"/>
                          <w:jc w:val="center"/>
                          <w:rPr>
                            <w:sz w:val="21"/>
                          </w:rPr>
                        </w:pPr>
                        <w:r>
                          <w:rPr>
                            <w:sz w:val="21"/>
                          </w:rPr>
                          <w:t>序号</w:t>
                        </w:r>
                      </w:p>
                    </w:tc>
                    <w:tc>
                      <w:tcPr>
                        <w:tcW w:w="2456" w:type="dxa"/>
                      </w:tcPr>
                      <w:p>
                        <w:pPr>
                          <w:pStyle w:val="TableParagraph"/>
                          <w:spacing w:before="70"/>
                          <w:ind w:left="472" w:right="464"/>
                          <w:jc w:val="center"/>
                          <w:rPr>
                            <w:sz w:val="21"/>
                          </w:rPr>
                        </w:pPr>
                        <w:r>
                          <w:rPr>
                            <w:sz w:val="21"/>
                          </w:rPr>
                          <w:t>名称</w:t>
                        </w:r>
                      </w:p>
                    </w:tc>
                    <w:tc>
                      <w:tcPr>
                        <w:tcW w:w="1017" w:type="dxa"/>
                      </w:tcPr>
                      <w:p>
                        <w:pPr>
                          <w:pStyle w:val="TableParagraph"/>
                          <w:spacing w:before="70"/>
                          <w:ind w:left="276" w:right="270"/>
                          <w:jc w:val="center"/>
                          <w:rPr>
                            <w:sz w:val="21"/>
                          </w:rPr>
                        </w:pPr>
                        <w:r>
                          <w:rPr>
                            <w:sz w:val="21"/>
                          </w:rPr>
                          <w:t>单位</w:t>
                        </w:r>
                      </w:p>
                    </w:tc>
                    <w:tc>
                      <w:tcPr>
                        <w:tcW w:w="1389" w:type="dxa"/>
                      </w:tcPr>
                      <w:p>
                        <w:pPr>
                          <w:pStyle w:val="TableParagraph"/>
                          <w:spacing w:before="70"/>
                          <w:ind w:left="434" w:right="429"/>
                          <w:jc w:val="center"/>
                          <w:rPr>
                            <w:sz w:val="21"/>
                          </w:rPr>
                        </w:pPr>
                        <w:r>
                          <w:rPr>
                            <w:sz w:val="21"/>
                          </w:rPr>
                          <w:t>用量</w:t>
                        </w:r>
                      </w:p>
                    </w:tc>
                    <w:tc>
                      <w:tcPr>
                        <w:tcW w:w="2423" w:type="dxa"/>
                      </w:tcPr>
                      <w:p>
                        <w:pPr>
                          <w:pStyle w:val="TableParagraph"/>
                          <w:spacing w:before="70"/>
                          <w:ind w:left="662" w:right="658"/>
                          <w:jc w:val="center"/>
                          <w:rPr>
                            <w:sz w:val="21"/>
                          </w:rPr>
                        </w:pPr>
                        <w:r>
                          <w:rPr>
                            <w:sz w:val="21"/>
                          </w:rPr>
                          <w:t>备注</w:t>
                        </w:r>
                      </w:p>
                    </w:tc>
                  </w:tr>
                  <w:tr>
                    <w:tblPrEx>
                      <w:tblW w:w="0" w:type="auto"/>
                      <w:tblInd w:w="5" w:type="dxa"/>
                      <w:tblLayout w:type="fixed"/>
                      <w:tblCellMar>
                        <w:top w:w="0" w:type="dxa"/>
                        <w:left w:w="0" w:type="dxa"/>
                        <w:bottom w:w="0" w:type="dxa"/>
                        <w:right w:w="0" w:type="dxa"/>
                      </w:tblCellMar>
                    </w:tblPrEx>
                    <w:trPr>
                      <w:trHeight w:val="413"/>
                    </w:trPr>
                    <w:tc>
                      <w:tcPr>
                        <w:tcW w:w="833" w:type="dxa"/>
                      </w:tcPr>
                      <w:p>
                        <w:pPr>
                          <w:pStyle w:val="TableParagraph"/>
                          <w:spacing w:before="84"/>
                          <w:ind w:left="8"/>
                          <w:jc w:val="center"/>
                          <w:rPr>
                            <w:rFonts w:ascii="Times New Roman"/>
                            <w:sz w:val="21"/>
                          </w:rPr>
                        </w:pPr>
                        <w:r>
                          <w:rPr>
                            <w:rFonts w:ascii="Times New Roman"/>
                            <w:w w:val="99"/>
                            <w:sz w:val="21"/>
                          </w:rPr>
                          <w:t>1</w:t>
                        </w:r>
                      </w:p>
                    </w:tc>
                    <w:tc>
                      <w:tcPr>
                        <w:tcW w:w="2456" w:type="dxa"/>
                      </w:tcPr>
                      <w:p>
                        <w:pPr>
                          <w:pStyle w:val="TableParagraph"/>
                          <w:spacing w:before="70"/>
                          <w:ind w:left="470" w:right="464"/>
                          <w:jc w:val="center"/>
                          <w:rPr>
                            <w:sz w:val="21"/>
                          </w:rPr>
                        </w:pPr>
                        <w:r>
                          <w:rPr>
                            <w:sz w:val="21"/>
                          </w:rPr>
                          <w:t>聚乙烯颗粒</w:t>
                        </w:r>
                      </w:p>
                    </w:tc>
                    <w:tc>
                      <w:tcPr>
                        <w:tcW w:w="1017" w:type="dxa"/>
                      </w:tcPr>
                      <w:p>
                        <w:pPr>
                          <w:pStyle w:val="TableParagraph"/>
                          <w:spacing w:before="84"/>
                          <w:ind w:left="276" w:right="269"/>
                          <w:jc w:val="center"/>
                          <w:rPr>
                            <w:rFonts w:ascii="Times New Roman"/>
                            <w:sz w:val="21"/>
                          </w:rPr>
                        </w:pPr>
                        <w:r>
                          <w:rPr>
                            <w:rFonts w:ascii="Times New Roman"/>
                            <w:sz w:val="21"/>
                          </w:rPr>
                          <w:t>t/a</w:t>
                        </w:r>
                      </w:p>
                    </w:tc>
                    <w:tc>
                      <w:tcPr>
                        <w:tcW w:w="1389" w:type="dxa"/>
                      </w:tcPr>
                      <w:p>
                        <w:pPr>
                          <w:pStyle w:val="TableParagraph"/>
                          <w:spacing w:before="84"/>
                          <w:ind w:left="437" w:right="429"/>
                          <w:jc w:val="center"/>
                          <w:rPr>
                            <w:rFonts w:ascii="Times New Roman"/>
                            <w:sz w:val="21"/>
                          </w:rPr>
                        </w:pPr>
                        <w:r>
                          <w:rPr>
                            <w:rFonts w:ascii="Times New Roman"/>
                            <w:sz w:val="21"/>
                          </w:rPr>
                          <w:t>5800</w:t>
                        </w:r>
                      </w:p>
                    </w:tc>
                    <w:tc>
                      <w:tcPr>
                        <w:tcW w:w="2423" w:type="dxa"/>
                      </w:tcPr>
                      <w:p>
                        <w:pPr>
                          <w:pStyle w:val="TableParagraph"/>
                          <w:spacing w:before="70"/>
                          <w:ind w:left="664" w:right="658"/>
                          <w:jc w:val="center"/>
                          <w:rPr>
                            <w:sz w:val="21"/>
                          </w:rPr>
                        </w:pPr>
                        <w:r>
                          <w:rPr>
                            <w:sz w:val="21"/>
                          </w:rPr>
                          <w:t>颗粒，外购</w:t>
                        </w:r>
                      </w:p>
                    </w:tc>
                  </w:tr>
                  <w:tr>
                    <w:tblPrEx>
                      <w:tblW w:w="0" w:type="auto"/>
                      <w:tblInd w:w="5" w:type="dxa"/>
                      <w:tblLayout w:type="fixed"/>
                      <w:tblCellMar>
                        <w:top w:w="0" w:type="dxa"/>
                        <w:left w:w="0" w:type="dxa"/>
                        <w:bottom w:w="0" w:type="dxa"/>
                        <w:right w:w="0" w:type="dxa"/>
                      </w:tblCellMar>
                    </w:tblPrEx>
                    <w:trPr>
                      <w:trHeight w:val="414"/>
                    </w:trPr>
                    <w:tc>
                      <w:tcPr>
                        <w:tcW w:w="833" w:type="dxa"/>
                      </w:tcPr>
                      <w:p>
                        <w:pPr>
                          <w:pStyle w:val="TableParagraph"/>
                          <w:spacing w:before="85"/>
                          <w:ind w:left="8"/>
                          <w:jc w:val="center"/>
                          <w:rPr>
                            <w:rFonts w:ascii="Times New Roman"/>
                            <w:sz w:val="21"/>
                          </w:rPr>
                        </w:pPr>
                        <w:r>
                          <w:rPr>
                            <w:rFonts w:ascii="Times New Roman"/>
                            <w:w w:val="99"/>
                            <w:sz w:val="21"/>
                          </w:rPr>
                          <w:t>2</w:t>
                        </w:r>
                      </w:p>
                    </w:tc>
                    <w:tc>
                      <w:tcPr>
                        <w:tcW w:w="2456" w:type="dxa"/>
                      </w:tcPr>
                      <w:p>
                        <w:pPr>
                          <w:pStyle w:val="TableParagraph"/>
                          <w:spacing w:before="71"/>
                          <w:ind w:left="472" w:right="464"/>
                          <w:jc w:val="center"/>
                          <w:rPr>
                            <w:sz w:val="21"/>
                          </w:rPr>
                        </w:pPr>
                        <w:r>
                          <w:rPr>
                            <w:sz w:val="21"/>
                          </w:rPr>
                          <w:t>色母粒</w:t>
                        </w:r>
                      </w:p>
                    </w:tc>
                    <w:tc>
                      <w:tcPr>
                        <w:tcW w:w="1017" w:type="dxa"/>
                      </w:tcPr>
                      <w:p>
                        <w:pPr>
                          <w:pStyle w:val="TableParagraph"/>
                          <w:spacing w:before="85"/>
                          <w:ind w:left="276" w:right="269"/>
                          <w:jc w:val="center"/>
                          <w:rPr>
                            <w:rFonts w:ascii="Times New Roman"/>
                            <w:sz w:val="21"/>
                          </w:rPr>
                        </w:pPr>
                        <w:r>
                          <w:rPr>
                            <w:rFonts w:ascii="Times New Roman"/>
                            <w:sz w:val="21"/>
                          </w:rPr>
                          <w:t>t/a</w:t>
                        </w:r>
                      </w:p>
                    </w:tc>
                    <w:tc>
                      <w:tcPr>
                        <w:tcW w:w="1389" w:type="dxa"/>
                      </w:tcPr>
                      <w:p>
                        <w:pPr>
                          <w:pStyle w:val="TableParagraph"/>
                          <w:spacing w:before="85"/>
                          <w:ind w:left="8"/>
                          <w:jc w:val="center"/>
                          <w:rPr>
                            <w:rFonts w:ascii="Times New Roman"/>
                            <w:sz w:val="21"/>
                          </w:rPr>
                        </w:pPr>
                        <w:r>
                          <w:rPr>
                            <w:rFonts w:ascii="Times New Roman"/>
                            <w:w w:val="99"/>
                            <w:sz w:val="21"/>
                          </w:rPr>
                          <w:t>3</w:t>
                        </w:r>
                      </w:p>
                    </w:tc>
                    <w:tc>
                      <w:tcPr>
                        <w:tcW w:w="2423" w:type="dxa"/>
                      </w:tcPr>
                      <w:p>
                        <w:pPr>
                          <w:pStyle w:val="TableParagraph"/>
                          <w:spacing w:before="71"/>
                          <w:ind w:left="664" w:right="658"/>
                          <w:jc w:val="center"/>
                          <w:rPr>
                            <w:sz w:val="21"/>
                          </w:rPr>
                        </w:pPr>
                        <w:r>
                          <w:rPr>
                            <w:sz w:val="21"/>
                          </w:rPr>
                          <w:t>颗粒，外购</w:t>
                        </w:r>
                      </w:p>
                    </w:tc>
                  </w:tr>
                  <w:tr>
                    <w:tblPrEx>
                      <w:tblW w:w="0" w:type="auto"/>
                      <w:tblInd w:w="5" w:type="dxa"/>
                      <w:tblLayout w:type="fixed"/>
                      <w:tblCellMar>
                        <w:top w:w="0" w:type="dxa"/>
                        <w:left w:w="0" w:type="dxa"/>
                        <w:bottom w:w="0" w:type="dxa"/>
                        <w:right w:w="0" w:type="dxa"/>
                      </w:tblCellMar>
                    </w:tblPrEx>
                    <w:trPr>
                      <w:trHeight w:val="413"/>
                    </w:trPr>
                    <w:tc>
                      <w:tcPr>
                        <w:tcW w:w="833" w:type="dxa"/>
                      </w:tcPr>
                      <w:p>
                        <w:pPr>
                          <w:pStyle w:val="TableParagraph"/>
                          <w:spacing w:before="86"/>
                          <w:ind w:left="8"/>
                          <w:jc w:val="center"/>
                          <w:rPr>
                            <w:rFonts w:ascii="Times New Roman"/>
                            <w:sz w:val="21"/>
                          </w:rPr>
                        </w:pPr>
                        <w:r>
                          <w:rPr>
                            <w:rFonts w:ascii="Times New Roman"/>
                            <w:w w:val="99"/>
                            <w:sz w:val="21"/>
                          </w:rPr>
                          <w:t>3</w:t>
                        </w:r>
                      </w:p>
                    </w:tc>
                    <w:tc>
                      <w:tcPr>
                        <w:tcW w:w="2456" w:type="dxa"/>
                      </w:tcPr>
                      <w:p>
                        <w:pPr>
                          <w:pStyle w:val="TableParagraph"/>
                          <w:spacing w:before="69"/>
                          <w:ind w:left="472" w:right="464"/>
                          <w:jc w:val="center"/>
                          <w:rPr>
                            <w:sz w:val="21"/>
                          </w:rPr>
                        </w:pPr>
                        <w:r>
                          <w:rPr>
                            <w:sz w:val="21"/>
                          </w:rPr>
                          <w:t>碳酸钙填充颗粒</w:t>
                        </w:r>
                      </w:p>
                    </w:tc>
                    <w:tc>
                      <w:tcPr>
                        <w:tcW w:w="1017" w:type="dxa"/>
                      </w:tcPr>
                      <w:p>
                        <w:pPr>
                          <w:pStyle w:val="TableParagraph"/>
                          <w:spacing w:before="86"/>
                          <w:ind w:left="276" w:right="269"/>
                          <w:jc w:val="center"/>
                          <w:rPr>
                            <w:rFonts w:ascii="Times New Roman"/>
                            <w:sz w:val="21"/>
                          </w:rPr>
                        </w:pPr>
                        <w:r>
                          <w:rPr>
                            <w:rFonts w:ascii="Times New Roman"/>
                            <w:sz w:val="21"/>
                          </w:rPr>
                          <w:t>t/a</w:t>
                        </w:r>
                      </w:p>
                    </w:tc>
                    <w:tc>
                      <w:tcPr>
                        <w:tcW w:w="1389" w:type="dxa"/>
                      </w:tcPr>
                      <w:p>
                        <w:pPr>
                          <w:pStyle w:val="TableParagraph"/>
                          <w:spacing w:before="86"/>
                          <w:ind w:left="437" w:right="429"/>
                          <w:jc w:val="center"/>
                          <w:rPr>
                            <w:rFonts w:ascii="Times New Roman"/>
                            <w:sz w:val="21"/>
                          </w:rPr>
                        </w:pPr>
                        <w:r>
                          <w:rPr>
                            <w:rFonts w:ascii="Times New Roman"/>
                            <w:sz w:val="21"/>
                          </w:rPr>
                          <w:t>300</w:t>
                        </w:r>
                      </w:p>
                    </w:tc>
                    <w:tc>
                      <w:tcPr>
                        <w:tcW w:w="2423" w:type="dxa"/>
                      </w:tcPr>
                      <w:p>
                        <w:pPr>
                          <w:pStyle w:val="TableParagraph"/>
                          <w:spacing w:before="69"/>
                          <w:ind w:left="664" w:right="658"/>
                          <w:jc w:val="center"/>
                          <w:rPr>
                            <w:sz w:val="21"/>
                          </w:rPr>
                        </w:pPr>
                        <w:r>
                          <w:rPr>
                            <w:sz w:val="21"/>
                          </w:rPr>
                          <w:t>颗粒，外购</w:t>
                        </w:r>
                      </w:p>
                    </w:tc>
                  </w:tr>
                  <w:tr>
                    <w:tblPrEx>
                      <w:tblW w:w="0" w:type="auto"/>
                      <w:tblInd w:w="5" w:type="dxa"/>
                      <w:tblLayout w:type="fixed"/>
                      <w:tblCellMar>
                        <w:top w:w="0" w:type="dxa"/>
                        <w:left w:w="0" w:type="dxa"/>
                        <w:bottom w:w="0" w:type="dxa"/>
                        <w:right w:w="0" w:type="dxa"/>
                      </w:tblCellMar>
                    </w:tblPrEx>
                    <w:trPr>
                      <w:trHeight w:val="414"/>
                    </w:trPr>
                    <w:tc>
                      <w:tcPr>
                        <w:tcW w:w="833" w:type="dxa"/>
                      </w:tcPr>
                      <w:p>
                        <w:pPr>
                          <w:pStyle w:val="TableParagraph"/>
                          <w:spacing w:before="84"/>
                          <w:ind w:left="8"/>
                          <w:jc w:val="center"/>
                          <w:rPr>
                            <w:rFonts w:ascii="Times New Roman"/>
                            <w:sz w:val="21"/>
                          </w:rPr>
                        </w:pPr>
                        <w:r>
                          <w:rPr>
                            <w:rFonts w:ascii="Times New Roman"/>
                            <w:w w:val="99"/>
                            <w:sz w:val="21"/>
                          </w:rPr>
                          <w:t>4</w:t>
                        </w:r>
                      </w:p>
                    </w:tc>
                    <w:tc>
                      <w:tcPr>
                        <w:tcW w:w="2456" w:type="dxa"/>
                      </w:tcPr>
                      <w:p>
                        <w:pPr>
                          <w:pStyle w:val="TableParagraph"/>
                          <w:spacing w:before="70"/>
                          <w:ind w:left="472" w:right="464"/>
                          <w:jc w:val="center"/>
                          <w:rPr>
                            <w:sz w:val="21"/>
                          </w:rPr>
                        </w:pPr>
                        <w:r>
                          <w:rPr>
                            <w:sz w:val="21"/>
                          </w:rPr>
                          <w:t>液压油</w:t>
                        </w:r>
                      </w:p>
                    </w:tc>
                    <w:tc>
                      <w:tcPr>
                        <w:tcW w:w="1017" w:type="dxa"/>
                      </w:tcPr>
                      <w:p>
                        <w:pPr>
                          <w:pStyle w:val="TableParagraph"/>
                          <w:spacing w:before="84"/>
                          <w:ind w:left="276" w:right="269"/>
                          <w:jc w:val="center"/>
                          <w:rPr>
                            <w:rFonts w:ascii="Times New Roman"/>
                            <w:sz w:val="21"/>
                          </w:rPr>
                        </w:pPr>
                        <w:r>
                          <w:rPr>
                            <w:rFonts w:ascii="Times New Roman"/>
                            <w:sz w:val="21"/>
                          </w:rPr>
                          <w:t>t/a</w:t>
                        </w:r>
                      </w:p>
                    </w:tc>
                    <w:tc>
                      <w:tcPr>
                        <w:tcW w:w="1389" w:type="dxa"/>
                      </w:tcPr>
                      <w:p>
                        <w:pPr>
                          <w:pStyle w:val="TableParagraph"/>
                          <w:spacing w:before="84"/>
                          <w:ind w:left="437" w:right="429"/>
                          <w:jc w:val="center"/>
                          <w:rPr>
                            <w:rFonts w:ascii="Times New Roman"/>
                            <w:sz w:val="21"/>
                          </w:rPr>
                        </w:pPr>
                        <w:r>
                          <w:rPr>
                            <w:rFonts w:ascii="Times New Roman"/>
                            <w:sz w:val="21"/>
                          </w:rPr>
                          <w:t>0.017</w:t>
                        </w:r>
                      </w:p>
                    </w:tc>
                    <w:tc>
                      <w:tcPr>
                        <w:tcW w:w="2423" w:type="dxa"/>
                      </w:tcPr>
                      <w:p>
                        <w:pPr>
                          <w:pStyle w:val="TableParagraph"/>
                          <w:spacing w:before="70"/>
                          <w:ind w:left="664" w:right="658"/>
                          <w:jc w:val="center"/>
                          <w:rPr>
                            <w:sz w:val="21"/>
                          </w:rPr>
                        </w:pPr>
                        <w:r>
                          <w:rPr>
                            <w:sz w:val="21"/>
                          </w:rPr>
                          <w:t>液体，外购</w:t>
                        </w:r>
                      </w:p>
                    </w:tc>
                  </w:tr>
                </w:tbl>
                <w:p>
                  <w:pPr>
                    <w:pStyle w:val="BodyText"/>
                  </w:pPr>
                </w:p>
              </w:txbxContent>
            </v:textbox>
          </v:shape>
        </w:pict>
      </w:r>
    </w:p>
    <w:p>
      <w:pPr>
        <w:spacing w:after="0"/>
        <w:rPr>
          <w:sz w:val="2"/>
          <w:szCs w:val="2"/>
        </w:rPr>
        <w:sectPr>
          <w:footerReference w:type="default" r:id="rId23"/>
          <w:pgSz w:w="11910" w:h="16840"/>
          <w:pgMar w:top="1420" w:right="1119" w:bottom="900" w:left="1120" w:header="0" w:footer="714" w:gutter="0"/>
          <w:pgNumType w:start="18"/>
          <w:cols w:num="1" w:space="720"/>
        </w:sectPr>
      </w:pPr>
    </w:p>
    <w:tbl>
      <w:tblPr>
        <w:tblStyle w:val="TableNormal"/>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95"/>
        <w:gridCol w:w="114"/>
        <w:gridCol w:w="680"/>
        <w:gridCol w:w="983"/>
        <w:gridCol w:w="6455"/>
        <w:gridCol w:w="115"/>
      </w:tblGrid>
      <w:tr>
        <w:tblPrEx>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630"/>
        </w:trPr>
        <w:tc>
          <w:tcPr>
            <w:tcW w:w="895" w:type="dxa"/>
            <w:vMerge w:val="restart"/>
            <w:tcBorders>
              <w:right w:val="single" w:sz="4" w:space="0" w:color="000000"/>
            </w:tcBorders>
          </w:tcPr>
          <w:p>
            <w:pPr>
              <w:pStyle w:val="TableParagraph"/>
              <w:rPr>
                <w:rFonts w:ascii="Times New Roman"/>
                <w:sz w:val="22"/>
              </w:rPr>
            </w:pPr>
          </w:p>
        </w:tc>
        <w:tc>
          <w:tcPr>
            <w:tcW w:w="114" w:type="dxa"/>
            <w:tcBorders>
              <w:left w:val="single" w:sz="4" w:space="0" w:color="000000"/>
              <w:bottom w:val="nil"/>
              <w:right w:val="single" w:sz="4" w:space="0" w:color="000000"/>
            </w:tcBorders>
          </w:tcPr>
          <w:p>
            <w:pPr>
              <w:pStyle w:val="TableParagraph"/>
              <w:rPr>
                <w:rFonts w:ascii="Times New Roman"/>
                <w:sz w:val="22"/>
              </w:rPr>
            </w:pPr>
          </w:p>
        </w:tc>
        <w:tc>
          <w:tcPr>
            <w:tcW w:w="680" w:type="dxa"/>
            <w:tcBorders>
              <w:top w:val="single" w:sz="12"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4"/>
              <w:rPr>
                <w:b/>
                <w:sz w:val="32"/>
              </w:rPr>
            </w:pPr>
          </w:p>
          <w:p>
            <w:pPr>
              <w:pStyle w:val="TableParagraph"/>
              <w:spacing w:before="1"/>
              <w:ind w:left="17"/>
              <w:jc w:val="center"/>
              <w:rPr>
                <w:rFonts w:ascii="Times New Roman"/>
                <w:sz w:val="21"/>
              </w:rPr>
            </w:pPr>
            <w:r>
              <w:rPr>
                <w:rFonts w:ascii="Times New Roman"/>
                <w:w w:val="99"/>
                <w:sz w:val="21"/>
              </w:rPr>
              <w:t>3</w:t>
            </w:r>
          </w:p>
        </w:tc>
        <w:tc>
          <w:tcPr>
            <w:tcW w:w="983" w:type="dxa"/>
            <w:tcBorders>
              <w:top w:val="single" w:sz="12"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168"/>
              <w:ind w:left="180"/>
              <w:rPr>
                <w:sz w:val="21"/>
              </w:rPr>
            </w:pPr>
            <w:r>
              <w:rPr>
                <w:sz w:val="21"/>
              </w:rPr>
              <w:t>碳酸钙</w:t>
            </w:r>
          </w:p>
        </w:tc>
        <w:tc>
          <w:tcPr>
            <w:tcW w:w="6455"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1" w:right="242" w:firstLine="420"/>
              <w:jc w:val="both"/>
              <w:rPr>
                <w:sz w:val="21"/>
              </w:rPr>
            </w:pPr>
            <w:r>
              <w:rPr>
                <w:spacing w:val="-1"/>
                <w:w w:val="99"/>
                <w:sz w:val="21"/>
              </w:rPr>
              <w:t>碳酸钙是一种无机化合物，化学式为</w:t>
            </w:r>
            <w:r>
              <w:rPr>
                <w:spacing w:val="-50"/>
                <w:sz w:val="21"/>
              </w:rPr>
              <w:t xml:space="preserve"> </w:t>
            </w:r>
            <w:r>
              <w:rPr>
                <w:rFonts w:ascii="Times New Roman" w:eastAsia="Times New Roman" w:hAnsi="Times New Roman"/>
                <w:spacing w:val="-1"/>
                <w:w w:val="99"/>
                <w:sz w:val="21"/>
              </w:rPr>
              <w:t>C</w:t>
            </w:r>
            <w:r>
              <w:rPr>
                <w:rFonts w:ascii="Times New Roman" w:eastAsia="Times New Roman" w:hAnsi="Times New Roman"/>
                <w:w w:val="99"/>
                <w:sz w:val="21"/>
              </w:rPr>
              <w:t>a</w:t>
            </w:r>
            <w:r>
              <w:rPr>
                <w:rFonts w:ascii="Times New Roman" w:eastAsia="Times New Roman" w:hAnsi="Times New Roman"/>
                <w:spacing w:val="-1"/>
                <w:w w:val="99"/>
                <w:sz w:val="21"/>
              </w:rPr>
              <w:t>C</w:t>
            </w:r>
            <w:r>
              <w:rPr>
                <w:rFonts w:ascii="Times New Roman" w:eastAsia="Times New Roman" w:hAnsi="Times New Roman"/>
                <w:spacing w:val="2"/>
                <w:w w:val="99"/>
                <w:sz w:val="21"/>
              </w:rPr>
              <w:t>O</w:t>
            </w:r>
            <w:r>
              <w:rPr>
                <w:rFonts w:ascii="Microsoft Sans Serif" w:eastAsia="Microsoft Sans Serif" w:hAnsi="Microsoft Sans Serif"/>
                <w:spacing w:val="-1"/>
                <w:w w:val="298"/>
                <w:sz w:val="21"/>
              </w:rPr>
              <w:t>₃</w:t>
            </w:r>
            <w:r>
              <w:rPr>
                <w:spacing w:val="-1"/>
                <w:w w:val="99"/>
                <w:sz w:val="21"/>
              </w:rPr>
              <w:t>，是石灰石、大</w:t>
            </w:r>
            <w:r>
              <w:rPr>
                <w:spacing w:val="-1"/>
                <w:w w:val="95"/>
                <w:sz w:val="21"/>
              </w:rPr>
              <w:t>理石等的主要成分。碳酸钙通常为白色晶体，无味，基本上不溶于  水，易与酸反应放出二氧化碳。它是地球上常见物质之一，存在于  霰石、方解石、白垩、石灰岩、大理石、石灰华等岩石内，亦为某</w:t>
            </w:r>
          </w:p>
          <w:p>
            <w:pPr>
              <w:pStyle w:val="TableParagraph"/>
              <w:spacing w:before="2" w:line="270" w:lineRule="atLeast"/>
              <w:ind w:left="111" w:right="242"/>
              <w:rPr>
                <w:sz w:val="21"/>
              </w:rPr>
            </w:pPr>
            <w:r>
              <w:rPr>
                <w:w w:val="95"/>
                <w:sz w:val="21"/>
              </w:rPr>
              <w:t xml:space="preserve">些动物骨骼或外壳的主要成分。碳酸钙也是重要的建筑材料，工业 </w:t>
            </w:r>
            <w:r>
              <w:rPr>
                <w:sz w:val="21"/>
              </w:rPr>
              <w:t>上用途甚广</w:t>
            </w:r>
          </w:p>
        </w:tc>
        <w:tc>
          <w:tcPr>
            <w:tcW w:w="115" w:type="dxa"/>
            <w:tcBorders>
              <w:left w:val="single" w:sz="4" w:space="0" w:color="000000"/>
              <w:bottom w:val="nil"/>
            </w:tcBorders>
          </w:tcPr>
          <w:p>
            <w:pPr>
              <w:pStyle w:val="TableParagraph"/>
              <w:rPr>
                <w:rFonts w:ascii="Times New Roman"/>
                <w:sz w:val="22"/>
              </w:rPr>
            </w:pPr>
          </w:p>
        </w:tc>
      </w:tr>
      <w:tr>
        <w:tblPrEx>
          <w:tblW w:w="0" w:type="auto"/>
          <w:tblInd w:w="222" w:type="dxa"/>
          <w:tblLayout w:type="fixed"/>
          <w:tblCellMar>
            <w:top w:w="0" w:type="dxa"/>
            <w:left w:w="0" w:type="dxa"/>
            <w:bottom w:w="0" w:type="dxa"/>
            <w:right w:w="0" w:type="dxa"/>
          </w:tblCellMar>
        </w:tblPrEx>
        <w:trPr>
          <w:trHeight w:val="11519"/>
        </w:trPr>
        <w:tc>
          <w:tcPr>
            <w:tcW w:w="895" w:type="dxa"/>
            <w:vMerge/>
            <w:tcBorders>
              <w:top w:val="nil"/>
              <w:right w:val="single" w:sz="4" w:space="0" w:color="000000"/>
            </w:tcBorders>
          </w:tcPr>
          <w:p>
            <w:pPr>
              <w:rPr>
                <w:sz w:val="2"/>
                <w:szCs w:val="2"/>
              </w:rPr>
            </w:pPr>
          </w:p>
        </w:tc>
        <w:tc>
          <w:tcPr>
            <w:tcW w:w="8347" w:type="dxa"/>
            <w:gridSpan w:val="5"/>
            <w:tcBorders>
              <w:top w:val="single" w:sz="4" w:space="0" w:color="000000"/>
              <w:left w:val="single" w:sz="4" w:space="0" w:color="000000"/>
            </w:tcBorders>
          </w:tcPr>
          <w:p>
            <w:pPr>
              <w:pStyle w:val="TableParagraph"/>
              <w:spacing w:before="116"/>
              <w:ind w:left="112"/>
              <w:rPr>
                <w:b/>
                <w:sz w:val="24"/>
              </w:rPr>
            </w:pPr>
            <w:r>
              <w:rPr>
                <w:rFonts w:ascii="Times New Roman" w:eastAsia="Times New Roman"/>
                <w:b/>
                <w:sz w:val="24"/>
              </w:rPr>
              <w:t>6</w:t>
            </w:r>
            <w:r>
              <w:rPr>
                <w:b/>
                <w:sz w:val="24"/>
              </w:rPr>
              <w:t>、设备情况</w:t>
            </w:r>
          </w:p>
          <w:p>
            <w:pPr>
              <w:pStyle w:val="TableParagraph"/>
              <w:spacing w:before="158"/>
              <w:ind w:left="592"/>
              <w:rPr>
                <w:sz w:val="24"/>
              </w:rPr>
            </w:pPr>
            <w:r>
              <w:rPr>
                <w:sz w:val="24"/>
              </w:rPr>
              <w:t>主要生产设备详见下表。</w:t>
            </w:r>
          </w:p>
          <w:p>
            <w:pPr>
              <w:pStyle w:val="TableParagraph"/>
              <w:spacing w:before="161"/>
              <w:ind w:left="2028" w:right="2272"/>
              <w:jc w:val="center"/>
              <w:rPr>
                <w:b/>
                <w:sz w:val="24"/>
              </w:rPr>
            </w:pPr>
            <w:r>
              <w:rPr>
                <w:b/>
                <w:sz w:val="24"/>
              </w:rPr>
              <w:t xml:space="preserve">表 </w:t>
            </w:r>
            <w:r>
              <w:rPr>
                <w:rFonts w:ascii="Times New Roman" w:eastAsia="Times New Roman"/>
                <w:b/>
                <w:sz w:val="24"/>
              </w:rPr>
              <w:t xml:space="preserve">15 </w:t>
            </w:r>
            <w:r>
              <w:rPr>
                <w:b/>
                <w:sz w:val="24"/>
              </w:rPr>
              <w:t>本项目主要生产设备一览表</w:t>
            </w: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4"/>
              <w:rPr>
                <w:b/>
                <w:sz w:val="31"/>
              </w:rPr>
            </w:pPr>
          </w:p>
          <w:p>
            <w:pPr>
              <w:pStyle w:val="TableParagraph"/>
              <w:ind w:left="112"/>
              <w:rPr>
                <w:b/>
                <w:sz w:val="24"/>
              </w:rPr>
            </w:pPr>
            <w:r>
              <w:rPr>
                <w:rFonts w:ascii="Times New Roman" w:eastAsia="Times New Roman"/>
                <w:b/>
                <w:sz w:val="24"/>
              </w:rPr>
              <w:t>7</w:t>
            </w:r>
            <w:r>
              <w:rPr>
                <w:b/>
                <w:sz w:val="24"/>
              </w:rPr>
              <w:t>、工作制度及劳动定员</w:t>
            </w:r>
          </w:p>
          <w:p>
            <w:pPr>
              <w:pStyle w:val="TableParagraph"/>
              <w:spacing w:before="158"/>
              <w:ind w:left="592"/>
              <w:rPr>
                <w:sz w:val="24"/>
              </w:rPr>
            </w:pPr>
            <w:r>
              <w:rPr>
                <w:sz w:val="24"/>
              </w:rPr>
              <w:t xml:space="preserve">本项目劳动定员 </w:t>
            </w:r>
            <w:r>
              <w:rPr>
                <w:rFonts w:ascii="Times New Roman" w:eastAsia="Times New Roman"/>
                <w:sz w:val="24"/>
              </w:rPr>
              <w:t xml:space="preserve">15 </w:t>
            </w:r>
            <w:r>
              <w:rPr>
                <w:sz w:val="24"/>
              </w:rPr>
              <w:t xml:space="preserve">人，每天 </w:t>
            </w:r>
            <w:r>
              <w:rPr>
                <w:rFonts w:ascii="Times New Roman" w:eastAsia="Times New Roman"/>
                <w:sz w:val="24"/>
              </w:rPr>
              <w:t xml:space="preserve">3 </w:t>
            </w:r>
            <w:r>
              <w:rPr>
                <w:sz w:val="24"/>
              </w:rPr>
              <w:t xml:space="preserve">班制，每班 </w:t>
            </w:r>
            <w:r>
              <w:rPr>
                <w:rFonts w:ascii="Times New Roman" w:eastAsia="Times New Roman"/>
                <w:sz w:val="24"/>
              </w:rPr>
              <w:t xml:space="preserve">8 </w:t>
            </w:r>
            <w:r>
              <w:rPr>
                <w:sz w:val="24"/>
              </w:rPr>
              <w:t xml:space="preserve">小时，年工作 </w:t>
            </w:r>
            <w:r>
              <w:rPr>
                <w:rFonts w:ascii="Times New Roman" w:eastAsia="Times New Roman"/>
                <w:sz w:val="24"/>
              </w:rPr>
              <w:t xml:space="preserve">300 </w:t>
            </w:r>
            <w:r>
              <w:rPr>
                <w:sz w:val="24"/>
              </w:rPr>
              <w:t>天。</w:t>
            </w:r>
          </w:p>
          <w:p>
            <w:pPr>
              <w:pStyle w:val="TableParagraph"/>
              <w:spacing w:before="144"/>
              <w:ind w:left="112"/>
              <w:rPr>
                <w:b/>
                <w:sz w:val="24"/>
              </w:rPr>
            </w:pPr>
            <w:r>
              <w:rPr>
                <w:rFonts w:ascii="Times New Roman" w:eastAsia="Times New Roman"/>
                <w:b/>
                <w:sz w:val="24"/>
              </w:rPr>
              <w:t>8</w:t>
            </w:r>
            <w:r>
              <w:rPr>
                <w:b/>
                <w:sz w:val="24"/>
              </w:rPr>
              <w:t>、厂区平面布置</w:t>
            </w:r>
          </w:p>
          <w:p>
            <w:pPr>
              <w:pStyle w:val="TableParagraph"/>
              <w:spacing w:before="161" w:line="364" w:lineRule="auto"/>
              <w:ind w:left="112" w:right="86" w:firstLine="480"/>
              <w:jc w:val="both"/>
              <w:rPr>
                <w:sz w:val="24"/>
              </w:rPr>
            </w:pPr>
            <w:r>
              <w:rPr>
                <w:spacing w:val="-6"/>
                <w:sz w:val="24"/>
              </w:rPr>
              <w:t xml:space="preserve">本项目总占地面积 </w:t>
            </w:r>
            <w:r>
              <w:rPr>
                <w:rFonts w:ascii="Times New Roman" w:eastAsia="Times New Roman" w:hAnsi="Times New Roman"/>
                <w:sz w:val="24"/>
              </w:rPr>
              <w:t>1500m</w:t>
            </w:r>
            <w:r>
              <w:rPr>
                <w:rFonts w:ascii="Times New Roman" w:eastAsia="Times New Roman" w:hAnsi="Times New Roman"/>
                <w:position w:val="8"/>
                <w:sz w:val="15"/>
              </w:rPr>
              <w:t>2</w:t>
            </w:r>
            <w:r>
              <w:rPr>
                <w:spacing w:val="-6"/>
                <w:sz w:val="24"/>
              </w:rPr>
              <w:t xml:space="preserve">，总建筑面积为 </w:t>
            </w:r>
            <w:r>
              <w:rPr>
                <w:rFonts w:ascii="Times New Roman" w:eastAsia="Times New Roman" w:hAnsi="Times New Roman"/>
                <w:sz w:val="24"/>
              </w:rPr>
              <w:t>1500m</w:t>
            </w:r>
            <w:r>
              <w:rPr>
                <w:rFonts w:ascii="Times New Roman" w:eastAsia="Times New Roman" w:hAnsi="Times New Roman"/>
                <w:position w:val="8"/>
                <w:sz w:val="15"/>
              </w:rPr>
              <w:t>2</w:t>
            </w:r>
            <w:r>
              <w:rPr>
                <w:sz w:val="24"/>
              </w:rPr>
              <w:t>，不新增占地，租赁现</w:t>
            </w:r>
            <w:r>
              <w:rPr>
                <w:spacing w:val="3"/>
                <w:sz w:val="24"/>
              </w:rPr>
              <w:t>有车间进行建设。车间内部西侧为成品区，东侧为原料区，北侧自西向东依次为雕刻区、破碎区、裁切区、挤出区，南侧自西向东依次为雕刻区、裁切区、挤出区。危废间、固废间位于车间西北角。本项目厂区中心坐标为东经</w:t>
            </w:r>
            <w:r>
              <w:rPr>
                <w:rFonts w:ascii="Times New Roman" w:eastAsia="Times New Roman" w:hAnsi="Times New Roman"/>
                <w:spacing w:val="3"/>
                <w:sz w:val="24"/>
              </w:rPr>
              <w:t>116°49'8.400"</w:t>
            </w:r>
            <w:r>
              <w:rPr>
                <w:spacing w:val="-13"/>
                <w:sz w:val="24"/>
              </w:rPr>
              <w:t xml:space="preserve">，北纬 </w:t>
            </w:r>
            <w:r>
              <w:rPr>
                <w:rFonts w:ascii="Times New Roman" w:eastAsia="Times New Roman" w:hAnsi="Times New Roman"/>
                <w:sz w:val="24"/>
              </w:rPr>
              <w:t>37°38'13.200"</w:t>
            </w:r>
            <w:r>
              <w:rPr>
                <w:spacing w:val="-5"/>
                <w:sz w:val="24"/>
              </w:rPr>
              <w:t xml:space="preserve">。项目平面布置情况见附图 </w:t>
            </w:r>
            <w:r>
              <w:rPr>
                <w:rFonts w:ascii="Times New Roman" w:eastAsia="Times New Roman" w:hAnsi="Times New Roman"/>
                <w:sz w:val="24"/>
              </w:rPr>
              <w:t>3</w:t>
            </w:r>
            <w:r>
              <w:rPr>
                <w:sz w:val="24"/>
              </w:rPr>
              <w:t>。</w:t>
            </w:r>
          </w:p>
        </w:tc>
      </w:tr>
    </w:tbl>
    <w:p>
      <w:pPr>
        <w:rPr>
          <w:sz w:val="2"/>
          <w:szCs w:val="2"/>
        </w:rPr>
      </w:pPr>
      <w:r>
        <w:pict>
          <v:shape id="_x0000_s1033" o:spid="_x0000_s1032" type="#_x0000_t202" style="width:406.65pt;height:224.35pt;margin-top:224pt;margin-left:116.8pt;mso-height-relative:page;mso-position-horizontal-relative:page;mso-position-vertical-relative:page;mso-width-relative:page;position:absolute;z-index:25166540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25"/>
                    <w:gridCol w:w="2561"/>
                    <w:gridCol w:w="2066"/>
                    <w:gridCol w:w="206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7"/>
                    </w:trPr>
                    <w:tc>
                      <w:tcPr>
                        <w:tcW w:w="1425" w:type="dxa"/>
                      </w:tcPr>
                      <w:p>
                        <w:pPr>
                          <w:pStyle w:val="TableParagraph"/>
                          <w:spacing w:before="62"/>
                          <w:ind w:left="481" w:right="473"/>
                          <w:jc w:val="center"/>
                          <w:rPr>
                            <w:sz w:val="21"/>
                          </w:rPr>
                        </w:pPr>
                        <w:r>
                          <w:rPr>
                            <w:sz w:val="21"/>
                          </w:rPr>
                          <w:t>序号</w:t>
                        </w:r>
                      </w:p>
                    </w:tc>
                    <w:tc>
                      <w:tcPr>
                        <w:tcW w:w="2561" w:type="dxa"/>
                      </w:tcPr>
                      <w:p>
                        <w:pPr>
                          <w:pStyle w:val="TableParagraph"/>
                          <w:spacing w:before="62"/>
                          <w:ind w:left="837" w:right="834"/>
                          <w:jc w:val="center"/>
                          <w:rPr>
                            <w:sz w:val="21"/>
                          </w:rPr>
                        </w:pPr>
                        <w:r>
                          <w:rPr>
                            <w:sz w:val="21"/>
                          </w:rPr>
                          <w:t>设备名称</w:t>
                        </w:r>
                      </w:p>
                    </w:tc>
                    <w:tc>
                      <w:tcPr>
                        <w:tcW w:w="2066" w:type="dxa"/>
                      </w:tcPr>
                      <w:p>
                        <w:pPr>
                          <w:pStyle w:val="TableParagraph"/>
                          <w:spacing w:before="62"/>
                          <w:ind w:left="770" w:right="764"/>
                          <w:jc w:val="center"/>
                          <w:rPr>
                            <w:sz w:val="21"/>
                          </w:rPr>
                        </w:pPr>
                        <w:r>
                          <w:rPr>
                            <w:sz w:val="21"/>
                          </w:rPr>
                          <w:t>单位</w:t>
                        </w:r>
                      </w:p>
                    </w:tc>
                    <w:tc>
                      <w:tcPr>
                        <w:tcW w:w="2066" w:type="dxa"/>
                      </w:tcPr>
                      <w:p>
                        <w:pPr>
                          <w:pStyle w:val="TableParagraph"/>
                          <w:spacing w:before="62"/>
                          <w:ind w:left="771" w:right="764"/>
                          <w:jc w:val="center"/>
                          <w:rPr>
                            <w:sz w:val="21"/>
                          </w:rPr>
                        </w:pPr>
                        <w:r>
                          <w:rPr>
                            <w:sz w:val="21"/>
                          </w:rPr>
                          <w:t>数量</w:t>
                        </w:r>
                      </w:p>
                    </w:tc>
                  </w:tr>
                  <w:tr>
                    <w:tblPrEx>
                      <w:tblW w:w="0" w:type="auto"/>
                      <w:tblInd w:w="5" w:type="dxa"/>
                      <w:tblLayout w:type="fixed"/>
                      <w:tblCellMar>
                        <w:top w:w="0" w:type="dxa"/>
                        <w:left w:w="0" w:type="dxa"/>
                        <w:bottom w:w="0" w:type="dxa"/>
                        <w:right w:w="0" w:type="dxa"/>
                      </w:tblCellMar>
                    </w:tblPrEx>
                    <w:trPr>
                      <w:trHeight w:val="396"/>
                    </w:trPr>
                    <w:tc>
                      <w:tcPr>
                        <w:tcW w:w="1425" w:type="dxa"/>
                      </w:tcPr>
                      <w:p>
                        <w:pPr>
                          <w:pStyle w:val="TableParagraph"/>
                          <w:spacing w:before="75"/>
                          <w:ind w:left="7"/>
                          <w:jc w:val="center"/>
                          <w:rPr>
                            <w:rFonts w:ascii="Times New Roman"/>
                            <w:sz w:val="21"/>
                          </w:rPr>
                        </w:pPr>
                        <w:r>
                          <w:rPr>
                            <w:rFonts w:ascii="Times New Roman"/>
                            <w:w w:val="99"/>
                            <w:sz w:val="21"/>
                          </w:rPr>
                          <w:t>1</w:t>
                        </w:r>
                      </w:p>
                    </w:tc>
                    <w:tc>
                      <w:tcPr>
                        <w:tcW w:w="2561" w:type="dxa"/>
                      </w:tcPr>
                      <w:p>
                        <w:pPr>
                          <w:pStyle w:val="TableParagraph"/>
                          <w:spacing w:before="61"/>
                          <w:ind w:left="837" w:right="831"/>
                          <w:jc w:val="center"/>
                          <w:rPr>
                            <w:sz w:val="21"/>
                          </w:rPr>
                        </w:pPr>
                        <w:r>
                          <w:rPr>
                            <w:sz w:val="21"/>
                          </w:rPr>
                          <w:t>调料机</w:t>
                        </w:r>
                      </w:p>
                    </w:tc>
                    <w:tc>
                      <w:tcPr>
                        <w:tcW w:w="2066" w:type="dxa"/>
                      </w:tcPr>
                      <w:p>
                        <w:pPr>
                          <w:pStyle w:val="TableParagraph"/>
                          <w:spacing w:before="61"/>
                          <w:ind w:left="773" w:right="764"/>
                          <w:jc w:val="center"/>
                          <w:rPr>
                            <w:sz w:val="21"/>
                          </w:rPr>
                        </w:pPr>
                        <w:r>
                          <w:rPr>
                            <w:sz w:val="21"/>
                          </w:rPr>
                          <w:t>台</w:t>
                        </w:r>
                        <w:r>
                          <w:rPr>
                            <w:rFonts w:ascii="Times New Roman" w:eastAsia="Times New Roman"/>
                            <w:sz w:val="21"/>
                          </w:rPr>
                          <w:t>/</w:t>
                        </w:r>
                        <w:r>
                          <w:rPr>
                            <w:sz w:val="21"/>
                          </w:rPr>
                          <w:t>套</w:t>
                        </w:r>
                      </w:p>
                    </w:tc>
                    <w:tc>
                      <w:tcPr>
                        <w:tcW w:w="2066" w:type="dxa"/>
                      </w:tcPr>
                      <w:p>
                        <w:pPr>
                          <w:pStyle w:val="TableParagraph"/>
                          <w:spacing w:before="75"/>
                          <w:ind w:left="6"/>
                          <w:jc w:val="center"/>
                          <w:rPr>
                            <w:rFonts w:ascii="Times New Roman"/>
                            <w:sz w:val="21"/>
                          </w:rPr>
                        </w:pPr>
                        <w:r>
                          <w:rPr>
                            <w:rFonts w:ascii="Times New Roman"/>
                            <w:w w:val="99"/>
                            <w:sz w:val="21"/>
                          </w:rPr>
                          <w:t>2</w:t>
                        </w:r>
                      </w:p>
                    </w:tc>
                  </w:tr>
                  <w:tr>
                    <w:tblPrEx>
                      <w:tblW w:w="0" w:type="auto"/>
                      <w:tblInd w:w="5" w:type="dxa"/>
                      <w:tblLayout w:type="fixed"/>
                      <w:tblCellMar>
                        <w:top w:w="0" w:type="dxa"/>
                        <w:left w:w="0" w:type="dxa"/>
                        <w:bottom w:w="0" w:type="dxa"/>
                        <w:right w:w="0" w:type="dxa"/>
                      </w:tblCellMar>
                    </w:tblPrEx>
                    <w:trPr>
                      <w:trHeight w:val="397"/>
                    </w:trPr>
                    <w:tc>
                      <w:tcPr>
                        <w:tcW w:w="1425" w:type="dxa"/>
                      </w:tcPr>
                      <w:p>
                        <w:pPr>
                          <w:pStyle w:val="TableParagraph"/>
                          <w:spacing w:before="76"/>
                          <w:ind w:left="7"/>
                          <w:jc w:val="center"/>
                          <w:rPr>
                            <w:rFonts w:ascii="Times New Roman"/>
                            <w:sz w:val="21"/>
                          </w:rPr>
                        </w:pPr>
                        <w:r>
                          <w:rPr>
                            <w:rFonts w:ascii="Times New Roman"/>
                            <w:w w:val="99"/>
                            <w:sz w:val="21"/>
                          </w:rPr>
                          <w:t>2</w:t>
                        </w:r>
                      </w:p>
                    </w:tc>
                    <w:tc>
                      <w:tcPr>
                        <w:tcW w:w="2561" w:type="dxa"/>
                      </w:tcPr>
                      <w:p>
                        <w:pPr>
                          <w:pStyle w:val="TableParagraph"/>
                          <w:spacing w:before="62"/>
                          <w:ind w:left="837" w:right="831"/>
                          <w:jc w:val="center"/>
                          <w:rPr>
                            <w:sz w:val="21"/>
                          </w:rPr>
                        </w:pPr>
                        <w:r>
                          <w:rPr>
                            <w:sz w:val="21"/>
                          </w:rPr>
                          <w:t>上料机</w:t>
                        </w:r>
                      </w:p>
                    </w:tc>
                    <w:tc>
                      <w:tcPr>
                        <w:tcW w:w="2066" w:type="dxa"/>
                      </w:tcPr>
                      <w:p>
                        <w:pPr>
                          <w:pStyle w:val="TableParagraph"/>
                          <w:spacing w:before="62"/>
                          <w:ind w:left="773" w:right="764"/>
                          <w:jc w:val="center"/>
                          <w:rPr>
                            <w:sz w:val="21"/>
                          </w:rPr>
                        </w:pPr>
                        <w:r>
                          <w:rPr>
                            <w:sz w:val="21"/>
                          </w:rPr>
                          <w:t>台</w:t>
                        </w:r>
                        <w:r>
                          <w:rPr>
                            <w:rFonts w:ascii="Times New Roman" w:eastAsia="Times New Roman"/>
                            <w:sz w:val="21"/>
                          </w:rPr>
                          <w:t>/</w:t>
                        </w:r>
                        <w:r>
                          <w:rPr>
                            <w:sz w:val="21"/>
                          </w:rPr>
                          <w:t>套</w:t>
                        </w:r>
                      </w:p>
                    </w:tc>
                    <w:tc>
                      <w:tcPr>
                        <w:tcW w:w="2066" w:type="dxa"/>
                      </w:tcPr>
                      <w:p>
                        <w:pPr>
                          <w:pStyle w:val="TableParagraph"/>
                          <w:spacing w:before="76"/>
                          <w:ind w:left="6"/>
                          <w:jc w:val="center"/>
                          <w:rPr>
                            <w:rFonts w:ascii="Times New Roman"/>
                            <w:sz w:val="21"/>
                          </w:rPr>
                        </w:pPr>
                        <w:r>
                          <w:rPr>
                            <w:rFonts w:ascii="Times New Roman"/>
                            <w:w w:val="99"/>
                            <w:sz w:val="21"/>
                          </w:rPr>
                          <w:t>2</w:t>
                        </w:r>
                      </w:p>
                    </w:tc>
                  </w:tr>
                  <w:tr>
                    <w:tblPrEx>
                      <w:tblW w:w="0" w:type="auto"/>
                      <w:tblInd w:w="5" w:type="dxa"/>
                      <w:tblLayout w:type="fixed"/>
                      <w:tblCellMar>
                        <w:top w:w="0" w:type="dxa"/>
                        <w:left w:w="0" w:type="dxa"/>
                        <w:bottom w:w="0" w:type="dxa"/>
                        <w:right w:w="0" w:type="dxa"/>
                      </w:tblCellMar>
                    </w:tblPrEx>
                    <w:trPr>
                      <w:trHeight w:val="396"/>
                    </w:trPr>
                    <w:tc>
                      <w:tcPr>
                        <w:tcW w:w="1425" w:type="dxa"/>
                      </w:tcPr>
                      <w:p>
                        <w:pPr>
                          <w:pStyle w:val="TableParagraph"/>
                          <w:spacing w:before="75"/>
                          <w:ind w:left="7"/>
                          <w:jc w:val="center"/>
                          <w:rPr>
                            <w:rFonts w:ascii="Times New Roman"/>
                            <w:sz w:val="21"/>
                          </w:rPr>
                        </w:pPr>
                        <w:r>
                          <w:rPr>
                            <w:rFonts w:ascii="Times New Roman"/>
                            <w:w w:val="99"/>
                            <w:sz w:val="21"/>
                          </w:rPr>
                          <w:t>3</w:t>
                        </w:r>
                      </w:p>
                    </w:tc>
                    <w:tc>
                      <w:tcPr>
                        <w:tcW w:w="2561" w:type="dxa"/>
                      </w:tcPr>
                      <w:p>
                        <w:pPr>
                          <w:pStyle w:val="TableParagraph"/>
                          <w:spacing w:before="61"/>
                          <w:ind w:left="837" w:right="831"/>
                          <w:jc w:val="center"/>
                          <w:rPr>
                            <w:sz w:val="21"/>
                          </w:rPr>
                        </w:pPr>
                        <w:r>
                          <w:rPr>
                            <w:sz w:val="21"/>
                          </w:rPr>
                          <w:t>挤出机</w:t>
                        </w:r>
                      </w:p>
                    </w:tc>
                    <w:tc>
                      <w:tcPr>
                        <w:tcW w:w="2066" w:type="dxa"/>
                      </w:tcPr>
                      <w:p>
                        <w:pPr>
                          <w:pStyle w:val="TableParagraph"/>
                          <w:spacing w:before="61"/>
                          <w:ind w:left="773" w:right="764"/>
                          <w:jc w:val="center"/>
                          <w:rPr>
                            <w:sz w:val="21"/>
                          </w:rPr>
                        </w:pPr>
                        <w:r>
                          <w:rPr>
                            <w:sz w:val="21"/>
                          </w:rPr>
                          <w:t>台</w:t>
                        </w:r>
                        <w:r>
                          <w:rPr>
                            <w:rFonts w:ascii="Times New Roman" w:eastAsia="Times New Roman"/>
                            <w:sz w:val="21"/>
                          </w:rPr>
                          <w:t>/</w:t>
                        </w:r>
                        <w:r>
                          <w:rPr>
                            <w:sz w:val="21"/>
                          </w:rPr>
                          <w:t>套</w:t>
                        </w:r>
                      </w:p>
                    </w:tc>
                    <w:tc>
                      <w:tcPr>
                        <w:tcW w:w="2066" w:type="dxa"/>
                      </w:tcPr>
                      <w:p>
                        <w:pPr>
                          <w:pStyle w:val="TableParagraph"/>
                          <w:spacing w:before="75"/>
                          <w:ind w:left="6"/>
                          <w:jc w:val="center"/>
                          <w:rPr>
                            <w:rFonts w:ascii="Times New Roman"/>
                            <w:sz w:val="21"/>
                          </w:rPr>
                        </w:pPr>
                        <w:r>
                          <w:rPr>
                            <w:rFonts w:ascii="Times New Roman"/>
                            <w:w w:val="99"/>
                            <w:sz w:val="21"/>
                          </w:rPr>
                          <w:t>2</w:t>
                        </w:r>
                      </w:p>
                    </w:tc>
                  </w:tr>
                  <w:tr>
                    <w:tblPrEx>
                      <w:tblW w:w="0" w:type="auto"/>
                      <w:tblInd w:w="5" w:type="dxa"/>
                      <w:tblLayout w:type="fixed"/>
                      <w:tblCellMar>
                        <w:top w:w="0" w:type="dxa"/>
                        <w:left w:w="0" w:type="dxa"/>
                        <w:bottom w:w="0" w:type="dxa"/>
                        <w:right w:w="0" w:type="dxa"/>
                      </w:tblCellMar>
                    </w:tblPrEx>
                    <w:trPr>
                      <w:trHeight w:val="397"/>
                    </w:trPr>
                    <w:tc>
                      <w:tcPr>
                        <w:tcW w:w="1425" w:type="dxa"/>
                      </w:tcPr>
                      <w:p>
                        <w:pPr>
                          <w:pStyle w:val="TableParagraph"/>
                          <w:spacing w:before="76"/>
                          <w:ind w:left="7"/>
                          <w:jc w:val="center"/>
                          <w:rPr>
                            <w:rFonts w:ascii="Times New Roman"/>
                            <w:sz w:val="21"/>
                          </w:rPr>
                        </w:pPr>
                        <w:r>
                          <w:rPr>
                            <w:rFonts w:ascii="Times New Roman"/>
                            <w:w w:val="99"/>
                            <w:sz w:val="21"/>
                          </w:rPr>
                          <w:t>4</w:t>
                        </w:r>
                      </w:p>
                    </w:tc>
                    <w:tc>
                      <w:tcPr>
                        <w:tcW w:w="2561" w:type="dxa"/>
                      </w:tcPr>
                      <w:p>
                        <w:pPr>
                          <w:pStyle w:val="TableParagraph"/>
                          <w:spacing w:before="62"/>
                          <w:ind w:left="837" w:right="831"/>
                          <w:jc w:val="center"/>
                          <w:rPr>
                            <w:sz w:val="21"/>
                          </w:rPr>
                        </w:pPr>
                        <w:r>
                          <w:rPr>
                            <w:sz w:val="21"/>
                          </w:rPr>
                          <w:t>牵引机</w:t>
                        </w:r>
                      </w:p>
                    </w:tc>
                    <w:tc>
                      <w:tcPr>
                        <w:tcW w:w="2066" w:type="dxa"/>
                      </w:tcPr>
                      <w:p>
                        <w:pPr>
                          <w:pStyle w:val="TableParagraph"/>
                          <w:spacing w:before="62"/>
                          <w:ind w:left="773" w:right="764"/>
                          <w:jc w:val="center"/>
                          <w:rPr>
                            <w:sz w:val="21"/>
                          </w:rPr>
                        </w:pPr>
                        <w:r>
                          <w:rPr>
                            <w:sz w:val="21"/>
                          </w:rPr>
                          <w:t>台</w:t>
                        </w:r>
                        <w:r>
                          <w:rPr>
                            <w:rFonts w:ascii="Times New Roman" w:eastAsia="Times New Roman"/>
                            <w:sz w:val="21"/>
                          </w:rPr>
                          <w:t>/</w:t>
                        </w:r>
                        <w:r>
                          <w:rPr>
                            <w:sz w:val="21"/>
                          </w:rPr>
                          <w:t>套</w:t>
                        </w:r>
                      </w:p>
                    </w:tc>
                    <w:tc>
                      <w:tcPr>
                        <w:tcW w:w="2066" w:type="dxa"/>
                      </w:tcPr>
                      <w:p>
                        <w:pPr>
                          <w:pStyle w:val="TableParagraph"/>
                          <w:spacing w:before="76"/>
                          <w:ind w:left="6"/>
                          <w:jc w:val="center"/>
                          <w:rPr>
                            <w:rFonts w:ascii="Times New Roman"/>
                            <w:sz w:val="21"/>
                          </w:rPr>
                        </w:pPr>
                        <w:r>
                          <w:rPr>
                            <w:rFonts w:ascii="Times New Roman"/>
                            <w:w w:val="99"/>
                            <w:sz w:val="21"/>
                          </w:rPr>
                          <w:t>2</w:t>
                        </w:r>
                      </w:p>
                    </w:tc>
                  </w:tr>
                  <w:tr>
                    <w:tblPrEx>
                      <w:tblW w:w="0" w:type="auto"/>
                      <w:tblInd w:w="5" w:type="dxa"/>
                      <w:tblLayout w:type="fixed"/>
                      <w:tblCellMar>
                        <w:top w:w="0" w:type="dxa"/>
                        <w:left w:w="0" w:type="dxa"/>
                        <w:bottom w:w="0" w:type="dxa"/>
                        <w:right w:w="0" w:type="dxa"/>
                      </w:tblCellMar>
                    </w:tblPrEx>
                    <w:trPr>
                      <w:trHeight w:val="396"/>
                    </w:trPr>
                    <w:tc>
                      <w:tcPr>
                        <w:tcW w:w="1425" w:type="dxa"/>
                      </w:tcPr>
                      <w:p>
                        <w:pPr>
                          <w:pStyle w:val="TableParagraph"/>
                          <w:spacing w:before="77"/>
                          <w:ind w:left="7"/>
                          <w:jc w:val="center"/>
                          <w:rPr>
                            <w:rFonts w:ascii="Times New Roman"/>
                            <w:sz w:val="21"/>
                          </w:rPr>
                        </w:pPr>
                        <w:r>
                          <w:rPr>
                            <w:rFonts w:ascii="Times New Roman"/>
                            <w:w w:val="99"/>
                            <w:sz w:val="21"/>
                          </w:rPr>
                          <w:t>5</w:t>
                        </w:r>
                      </w:p>
                    </w:tc>
                    <w:tc>
                      <w:tcPr>
                        <w:tcW w:w="2561" w:type="dxa"/>
                      </w:tcPr>
                      <w:p>
                        <w:pPr>
                          <w:pStyle w:val="TableParagraph"/>
                          <w:spacing w:before="63"/>
                          <w:ind w:left="837" w:right="831"/>
                          <w:jc w:val="center"/>
                          <w:rPr>
                            <w:sz w:val="21"/>
                          </w:rPr>
                        </w:pPr>
                        <w:r>
                          <w:rPr>
                            <w:sz w:val="21"/>
                          </w:rPr>
                          <w:t>裁板锯</w:t>
                        </w:r>
                      </w:p>
                    </w:tc>
                    <w:tc>
                      <w:tcPr>
                        <w:tcW w:w="2066" w:type="dxa"/>
                      </w:tcPr>
                      <w:p>
                        <w:pPr>
                          <w:pStyle w:val="TableParagraph"/>
                          <w:spacing w:before="63"/>
                          <w:ind w:left="773" w:right="764"/>
                          <w:jc w:val="center"/>
                          <w:rPr>
                            <w:sz w:val="21"/>
                          </w:rPr>
                        </w:pPr>
                        <w:r>
                          <w:rPr>
                            <w:sz w:val="21"/>
                          </w:rPr>
                          <w:t>台</w:t>
                        </w:r>
                        <w:r>
                          <w:rPr>
                            <w:rFonts w:ascii="Times New Roman" w:eastAsia="Times New Roman"/>
                            <w:sz w:val="21"/>
                          </w:rPr>
                          <w:t>/</w:t>
                        </w:r>
                        <w:r>
                          <w:rPr>
                            <w:sz w:val="21"/>
                          </w:rPr>
                          <w:t>套</w:t>
                        </w:r>
                      </w:p>
                    </w:tc>
                    <w:tc>
                      <w:tcPr>
                        <w:tcW w:w="2066" w:type="dxa"/>
                      </w:tcPr>
                      <w:p>
                        <w:pPr>
                          <w:pStyle w:val="TableParagraph"/>
                          <w:spacing w:before="77"/>
                          <w:ind w:left="6"/>
                          <w:jc w:val="center"/>
                          <w:rPr>
                            <w:rFonts w:ascii="Times New Roman"/>
                            <w:sz w:val="21"/>
                          </w:rPr>
                        </w:pPr>
                        <w:r>
                          <w:rPr>
                            <w:rFonts w:ascii="Times New Roman"/>
                            <w:w w:val="99"/>
                            <w:sz w:val="21"/>
                          </w:rPr>
                          <w:t>2</w:t>
                        </w:r>
                      </w:p>
                    </w:tc>
                  </w:tr>
                  <w:tr>
                    <w:tblPrEx>
                      <w:tblW w:w="0" w:type="auto"/>
                      <w:tblInd w:w="5" w:type="dxa"/>
                      <w:tblLayout w:type="fixed"/>
                      <w:tblCellMar>
                        <w:top w:w="0" w:type="dxa"/>
                        <w:left w:w="0" w:type="dxa"/>
                        <w:bottom w:w="0" w:type="dxa"/>
                        <w:right w:w="0" w:type="dxa"/>
                      </w:tblCellMar>
                    </w:tblPrEx>
                    <w:trPr>
                      <w:trHeight w:val="397"/>
                    </w:trPr>
                    <w:tc>
                      <w:tcPr>
                        <w:tcW w:w="1425" w:type="dxa"/>
                      </w:tcPr>
                      <w:p>
                        <w:pPr>
                          <w:pStyle w:val="TableParagraph"/>
                          <w:spacing w:before="75"/>
                          <w:ind w:left="7"/>
                          <w:jc w:val="center"/>
                          <w:rPr>
                            <w:rFonts w:ascii="Times New Roman"/>
                            <w:sz w:val="21"/>
                          </w:rPr>
                        </w:pPr>
                        <w:r>
                          <w:rPr>
                            <w:rFonts w:ascii="Times New Roman"/>
                            <w:w w:val="99"/>
                            <w:sz w:val="21"/>
                          </w:rPr>
                          <w:t>6</w:t>
                        </w:r>
                      </w:p>
                    </w:tc>
                    <w:tc>
                      <w:tcPr>
                        <w:tcW w:w="2561" w:type="dxa"/>
                      </w:tcPr>
                      <w:p>
                        <w:pPr>
                          <w:pStyle w:val="TableParagraph"/>
                          <w:spacing w:before="61"/>
                          <w:ind w:left="837" w:right="831"/>
                          <w:jc w:val="center"/>
                          <w:rPr>
                            <w:sz w:val="21"/>
                          </w:rPr>
                        </w:pPr>
                        <w:r>
                          <w:rPr>
                            <w:sz w:val="21"/>
                          </w:rPr>
                          <w:t>龙门铣</w:t>
                        </w:r>
                      </w:p>
                    </w:tc>
                    <w:tc>
                      <w:tcPr>
                        <w:tcW w:w="2066" w:type="dxa"/>
                      </w:tcPr>
                      <w:p>
                        <w:pPr>
                          <w:pStyle w:val="TableParagraph"/>
                          <w:spacing w:before="61"/>
                          <w:ind w:left="773" w:right="764"/>
                          <w:jc w:val="center"/>
                          <w:rPr>
                            <w:sz w:val="21"/>
                          </w:rPr>
                        </w:pPr>
                        <w:r>
                          <w:rPr>
                            <w:sz w:val="21"/>
                          </w:rPr>
                          <w:t>台</w:t>
                        </w:r>
                        <w:r>
                          <w:rPr>
                            <w:rFonts w:ascii="Times New Roman" w:eastAsia="Times New Roman"/>
                            <w:sz w:val="21"/>
                          </w:rPr>
                          <w:t>/</w:t>
                        </w:r>
                        <w:r>
                          <w:rPr>
                            <w:sz w:val="21"/>
                          </w:rPr>
                          <w:t>套</w:t>
                        </w:r>
                      </w:p>
                    </w:tc>
                    <w:tc>
                      <w:tcPr>
                        <w:tcW w:w="2066" w:type="dxa"/>
                      </w:tcPr>
                      <w:p>
                        <w:pPr>
                          <w:pStyle w:val="TableParagraph"/>
                          <w:spacing w:before="75"/>
                          <w:ind w:left="6"/>
                          <w:jc w:val="center"/>
                          <w:rPr>
                            <w:rFonts w:ascii="Times New Roman"/>
                            <w:sz w:val="21"/>
                          </w:rPr>
                        </w:pPr>
                        <w:r>
                          <w:rPr>
                            <w:rFonts w:ascii="Times New Roman"/>
                            <w:w w:val="99"/>
                            <w:sz w:val="21"/>
                          </w:rPr>
                          <w:t>2</w:t>
                        </w:r>
                      </w:p>
                    </w:tc>
                  </w:tr>
                  <w:tr>
                    <w:tblPrEx>
                      <w:tblW w:w="0" w:type="auto"/>
                      <w:tblInd w:w="5" w:type="dxa"/>
                      <w:tblLayout w:type="fixed"/>
                      <w:tblCellMar>
                        <w:top w:w="0" w:type="dxa"/>
                        <w:left w:w="0" w:type="dxa"/>
                        <w:bottom w:w="0" w:type="dxa"/>
                        <w:right w:w="0" w:type="dxa"/>
                      </w:tblCellMar>
                    </w:tblPrEx>
                    <w:trPr>
                      <w:trHeight w:val="397"/>
                    </w:trPr>
                    <w:tc>
                      <w:tcPr>
                        <w:tcW w:w="1425" w:type="dxa"/>
                      </w:tcPr>
                      <w:p>
                        <w:pPr>
                          <w:pStyle w:val="TableParagraph"/>
                          <w:spacing w:before="76"/>
                          <w:ind w:left="7"/>
                          <w:jc w:val="center"/>
                          <w:rPr>
                            <w:rFonts w:ascii="Times New Roman"/>
                            <w:sz w:val="21"/>
                          </w:rPr>
                        </w:pPr>
                        <w:r>
                          <w:rPr>
                            <w:rFonts w:ascii="Times New Roman"/>
                            <w:w w:val="99"/>
                            <w:sz w:val="21"/>
                          </w:rPr>
                          <w:t>7</w:t>
                        </w:r>
                      </w:p>
                    </w:tc>
                    <w:tc>
                      <w:tcPr>
                        <w:tcW w:w="2561" w:type="dxa"/>
                      </w:tcPr>
                      <w:p>
                        <w:pPr>
                          <w:pStyle w:val="TableParagraph"/>
                          <w:spacing w:before="62"/>
                          <w:ind w:left="837" w:right="831"/>
                          <w:jc w:val="center"/>
                          <w:rPr>
                            <w:sz w:val="21"/>
                          </w:rPr>
                        </w:pPr>
                        <w:r>
                          <w:rPr>
                            <w:sz w:val="21"/>
                          </w:rPr>
                          <w:t>立铣</w:t>
                        </w:r>
                      </w:p>
                    </w:tc>
                    <w:tc>
                      <w:tcPr>
                        <w:tcW w:w="2066" w:type="dxa"/>
                      </w:tcPr>
                      <w:p>
                        <w:pPr>
                          <w:pStyle w:val="TableParagraph"/>
                          <w:spacing w:before="62"/>
                          <w:ind w:left="773" w:right="764"/>
                          <w:jc w:val="center"/>
                          <w:rPr>
                            <w:sz w:val="21"/>
                          </w:rPr>
                        </w:pPr>
                        <w:r>
                          <w:rPr>
                            <w:sz w:val="21"/>
                          </w:rPr>
                          <w:t>台</w:t>
                        </w:r>
                        <w:r>
                          <w:rPr>
                            <w:rFonts w:ascii="Times New Roman" w:eastAsia="Times New Roman"/>
                            <w:sz w:val="21"/>
                          </w:rPr>
                          <w:t>/</w:t>
                        </w:r>
                        <w:r>
                          <w:rPr>
                            <w:sz w:val="21"/>
                          </w:rPr>
                          <w:t>套</w:t>
                        </w:r>
                      </w:p>
                    </w:tc>
                    <w:tc>
                      <w:tcPr>
                        <w:tcW w:w="2066" w:type="dxa"/>
                      </w:tcPr>
                      <w:p>
                        <w:pPr>
                          <w:pStyle w:val="TableParagraph"/>
                          <w:spacing w:before="76"/>
                          <w:ind w:left="6"/>
                          <w:jc w:val="center"/>
                          <w:rPr>
                            <w:rFonts w:ascii="Times New Roman"/>
                            <w:sz w:val="21"/>
                          </w:rPr>
                        </w:pPr>
                        <w:r>
                          <w:rPr>
                            <w:rFonts w:ascii="Times New Roman"/>
                            <w:w w:val="99"/>
                            <w:sz w:val="21"/>
                          </w:rPr>
                          <w:t>2</w:t>
                        </w:r>
                      </w:p>
                    </w:tc>
                  </w:tr>
                  <w:tr>
                    <w:tblPrEx>
                      <w:tblW w:w="0" w:type="auto"/>
                      <w:tblInd w:w="5" w:type="dxa"/>
                      <w:tblLayout w:type="fixed"/>
                      <w:tblCellMar>
                        <w:top w:w="0" w:type="dxa"/>
                        <w:left w:w="0" w:type="dxa"/>
                        <w:bottom w:w="0" w:type="dxa"/>
                        <w:right w:w="0" w:type="dxa"/>
                      </w:tblCellMar>
                    </w:tblPrEx>
                    <w:trPr>
                      <w:trHeight w:val="396"/>
                    </w:trPr>
                    <w:tc>
                      <w:tcPr>
                        <w:tcW w:w="1425" w:type="dxa"/>
                      </w:tcPr>
                      <w:p>
                        <w:pPr>
                          <w:pStyle w:val="TableParagraph"/>
                          <w:spacing w:before="75"/>
                          <w:ind w:left="7"/>
                          <w:jc w:val="center"/>
                          <w:rPr>
                            <w:rFonts w:ascii="Times New Roman"/>
                            <w:sz w:val="21"/>
                          </w:rPr>
                        </w:pPr>
                        <w:r>
                          <w:rPr>
                            <w:rFonts w:ascii="Times New Roman"/>
                            <w:w w:val="99"/>
                            <w:sz w:val="21"/>
                          </w:rPr>
                          <w:t>8</w:t>
                        </w:r>
                      </w:p>
                    </w:tc>
                    <w:tc>
                      <w:tcPr>
                        <w:tcW w:w="2561" w:type="dxa"/>
                      </w:tcPr>
                      <w:p>
                        <w:pPr>
                          <w:pStyle w:val="TableParagraph"/>
                          <w:spacing w:before="61"/>
                          <w:ind w:left="837" w:right="831"/>
                          <w:jc w:val="center"/>
                          <w:rPr>
                            <w:sz w:val="21"/>
                          </w:rPr>
                        </w:pPr>
                        <w:r>
                          <w:rPr>
                            <w:sz w:val="21"/>
                          </w:rPr>
                          <w:t>雕刻机</w:t>
                        </w:r>
                      </w:p>
                    </w:tc>
                    <w:tc>
                      <w:tcPr>
                        <w:tcW w:w="2066" w:type="dxa"/>
                      </w:tcPr>
                      <w:p>
                        <w:pPr>
                          <w:pStyle w:val="TableParagraph"/>
                          <w:spacing w:before="61"/>
                          <w:ind w:left="773" w:right="764"/>
                          <w:jc w:val="center"/>
                          <w:rPr>
                            <w:sz w:val="21"/>
                          </w:rPr>
                        </w:pPr>
                        <w:r>
                          <w:rPr>
                            <w:sz w:val="21"/>
                          </w:rPr>
                          <w:t>台</w:t>
                        </w:r>
                        <w:r>
                          <w:rPr>
                            <w:rFonts w:ascii="Times New Roman" w:eastAsia="Times New Roman"/>
                            <w:sz w:val="21"/>
                          </w:rPr>
                          <w:t>/</w:t>
                        </w:r>
                        <w:r>
                          <w:rPr>
                            <w:sz w:val="21"/>
                          </w:rPr>
                          <w:t>套</w:t>
                        </w:r>
                      </w:p>
                    </w:tc>
                    <w:tc>
                      <w:tcPr>
                        <w:tcW w:w="2066" w:type="dxa"/>
                      </w:tcPr>
                      <w:p>
                        <w:pPr>
                          <w:pStyle w:val="TableParagraph"/>
                          <w:spacing w:before="75"/>
                          <w:ind w:left="6"/>
                          <w:jc w:val="center"/>
                          <w:rPr>
                            <w:rFonts w:ascii="Times New Roman"/>
                            <w:sz w:val="21"/>
                          </w:rPr>
                        </w:pPr>
                        <w:r>
                          <w:rPr>
                            <w:rFonts w:ascii="Times New Roman"/>
                            <w:w w:val="99"/>
                            <w:sz w:val="21"/>
                          </w:rPr>
                          <w:t>2</w:t>
                        </w:r>
                      </w:p>
                    </w:tc>
                  </w:tr>
                  <w:tr>
                    <w:tblPrEx>
                      <w:tblW w:w="0" w:type="auto"/>
                      <w:tblInd w:w="5" w:type="dxa"/>
                      <w:tblLayout w:type="fixed"/>
                      <w:tblCellMar>
                        <w:top w:w="0" w:type="dxa"/>
                        <w:left w:w="0" w:type="dxa"/>
                        <w:bottom w:w="0" w:type="dxa"/>
                        <w:right w:w="0" w:type="dxa"/>
                      </w:tblCellMar>
                    </w:tblPrEx>
                    <w:trPr>
                      <w:trHeight w:val="397"/>
                    </w:trPr>
                    <w:tc>
                      <w:tcPr>
                        <w:tcW w:w="1425" w:type="dxa"/>
                      </w:tcPr>
                      <w:p>
                        <w:pPr>
                          <w:pStyle w:val="TableParagraph"/>
                          <w:spacing w:before="76"/>
                          <w:ind w:left="7"/>
                          <w:jc w:val="center"/>
                          <w:rPr>
                            <w:rFonts w:ascii="Times New Roman"/>
                            <w:sz w:val="21"/>
                          </w:rPr>
                        </w:pPr>
                        <w:r>
                          <w:rPr>
                            <w:rFonts w:ascii="Times New Roman"/>
                            <w:w w:val="99"/>
                            <w:sz w:val="21"/>
                          </w:rPr>
                          <w:t>9</w:t>
                        </w:r>
                      </w:p>
                    </w:tc>
                    <w:tc>
                      <w:tcPr>
                        <w:tcW w:w="2561" w:type="dxa"/>
                      </w:tcPr>
                      <w:p>
                        <w:pPr>
                          <w:pStyle w:val="TableParagraph"/>
                          <w:spacing w:before="62"/>
                          <w:ind w:left="837" w:right="831"/>
                          <w:jc w:val="center"/>
                          <w:rPr>
                            <w:sz w:val="21"/>
                          </w:rPr>
                        </w:pPr>
                        <w:r>
                          <w:rPr>
                            <w:sz w:val="21"/>
                          </w:rPr>
                          <w:t>破碎机</w:t>
                        </w:r>
                      </w:p>
                    </w:tc>
                    <w:tc>
                      <w:tcPr>
                        <w:tcW w:w="2066" w:type="dxa"/>
                      </w:tcPr>
                      <w:p>
                        <w:pPr>
                          <w:pStyle w:val="TableParagraph"/>
                          <w:spacing w:before="62"/>
                          <w:ind w:left="773" w:right="764"/>
                          <w:jc w:val="center"/>
                          <w:rPr>
                            <w:sz w:val="21"/>
                          </w:rPr>
                        </w:pPr>
                        <w:r>
                          <w:rPr>
                            <w:sz w:val="21"/>
                          </w:rPr>
                          <w:t>台</w:t>
                        </w:r>
                        <w:r>
                          <w:rPr>
                            <w:rFonts w:ascii="Times New Roman" w:eastAsia="Times New Roman"/>
                            <w:sz w:val="21"/>
                          </w:rPr>
                          <w:t>/</w:t>
                        </w:r>
                        <w:r>
                          <w:rPr>
                            <w:sz w:val="21"/>
                          </w:rPr>
                          <w:t>套</w:t>
                        </w:r>
                      </w:p>
                    </w:tc>
                    <w:tc>
                      <w:tcPr>
                        <w:tcW w:w="2066" w:type="dxa"/>
                      </w:tcPr>
                      <w:p>
                        <w:pPr>
                          <w:pStyle w:val="TableParagraph"/>
                          <w:spacing w:before="76"/>
                          <w:ind w:left="6"/>
                          <w:jc w:val="center"/>
                          <w:rPr>
                            <w:rFonts w:ascii="Times New Roman"/>
                            <w:sz w:val="21"/>
                          </w:rPr>
                        </w:pPr>
                        <w:r>
                          <w:rPr>
                            <w:rFonts w:ascii="Times New Roman"/>
                            <w:w w:val="99"/>
                            <w:sz w:val="21"/>
                          </w:rPr>
                          <w:t>2</w:t>
                        </w:r>
                      </w:p>
                    </w:tc>
                  </w:tr>
                  <w:tr>
                    <w:tblPrEx>
                      <w:tblW w:w="0" w:type="auto"/>
                      <w:tblInd w:w="5" w:type="dxa"/>
                      <w:tblLayout w:type="fixed"/>
                      <w:tblCellMar>
                        <w:top w:w="0" w:type="dxa"/>
                        <w:left w:w="0" w:type="dxa"/>
                        <w:bottom w:w="0" w:type="dxa"/>
                        <w:right w:w="0" w:type="dxa"/>
                      </w:tblCellMar>
                    </w:tblPrEx>
                    <w:trPr>
                      <w:trHeight w:val="396"/>
                    </w:trPr>
                    <w:tc>
                      <w:tcPr>
                        <w:tcW w:w="3986" w:type="dxa"/>
                        <w:gridSpan w:val="2"/>
                      </w:tcPr>
                      <w:p>
                        <w:pPr>
                          <w:pStyle w:val="TableParagraph"/>
                          <w:spacing w:before="63"/>
                          <w:ind w:left="1760" w:right="1755"/>
                          <w:jc w:val="center"/>
                          <w:rPr>
                            <w:sz w:val="21"/>
                          </w:rPr>
                        </w:pPr>
                        <w:r>
                          <w:rPr>
                            <w:sz w:val="21"/>
                          </w:rPr>
                          <w:t>合计</w:t>
                        </w:r>
                      </w:p>
                    </w:tc>
                    <w:tc>
                      <w:tcPr>
                        <w:tcW w:w="2066" w:type="dxa"/>
                      </w:tcPr>
                      <w:p>
                        <w:pPr>
                          <w:pStyle w:val="TableParagraph"/>
                          <w:spacing w:before="63"/>
                          <w:ind w:left="773" w:right="764"/>
                          <w:jc w:val="center"/>
                          <w:rPr>
                            <w:sz w:val="21"/>
                          </w:rPr>
                        </w:pPr>
                        <w:r>
                          <w:rPr>
                            <w:sz w:val="21"/>
                          </w:rPr>
                          <w:t>台</w:t>
                        </w:r>
                        <w:r>
                          <w:rPr>
                            <w:rFonts w:ascii="Times New Roman" w:eastAsia="Times New Roman"/>
                            <w:sz w:val="21"/>
                          </w:rPr>
                          <w:t>/</w:t>
                        </w:r>
                        <w:r>
                          <w:rPr>
                            <w:sz w:val="21"/>
                          </w:rPr>
                          <w:t>套</w:t>
                        </w:r>
                      </w:p>
                    </w:tc>
                    <w:tc>
                      <w:tcPr>
                        <w:tcW w:w="2066" w:type="dxa"/>
                      </w:tcPr>
                      <w:p>
                        <w:pPr>
                          <w:pStyle w:val="TableParagraph"/>
                          <w:spacing w:before="77"/>
                          <w:ind w:left="773" w:right="763"/>
                          <w:jc w:val="center"/>
                          <w:rPr>
                            <w:rFonts w:ascii="Times New Roman"/>
                            <w:sz w:val="21"/>
                          </w:rPr>
                        </w:pPr>
                        <w:r>
                          <w:rPr>
                            <w:rFonts w:ascii="Times New Roman"/>
                            <w:sz w:val="21"/>
                          </w:rPr>
                          <w:t>18</w:t>
                        </w:r>
                      </w:p>
                    </w:tc>
                  </w:tr>
                </w:tbl>
                <w:p>
                  <w:pPr>
                    <w:pStyle w:val="BodyText"/>
                  </w:pPr>
                </w:p>
              </w:txbxContent>
            </v:textbox>
          </v:shape>
        </w:pict>
      </w:r>
    </w:p>
    <w:p>
      <w:pPr>
        <w:spacing w:after="0"/>
        <w:rPr>
          <w:sz w:val="2"/>
          <w:szCs w:val="2"/>
        </w:rPr>
        <w:sectPr>
          <w:footerReference w:type="default" r:id="rId24"/>
          <w:pgSz w:w="11910" w:h="16840"/>
          <w:pgMar w:top="1420" w:right="1119" w:bottom="900" w:left="1120" w:header="0" w:footer="714" w:gutter="0"/>
          <w:pgNumType w:start="19"/>
          <w:cols w:num="1" w:space="720"/>
        </w:sectPr>
      </w:pPr>
    </w:p>
    <w:tbl>
      <w:tblPr>
        <w:tblStyle w:val="TableNormal"/>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95"/>
        <w:gridCol w:w="8347"/>
      </w:tblGrid>
      <w:tr>
        <w:tblPrEx>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90"/>
        </w:trPr>
        <w:tc>
          <w:tcPr>
            <w:tcW w:w="895" w:type="dxa"/>
            <w:tcBorders>
              <w:bottom w:val="nil"/>
              <w:right w:val="single" w:sz="4" w:space="0" w:color="000000"/>
            </w:tcBorders>
          </w:tcPr>
          <w:p>
            <w:pPr>
              <w:pStyle w:val="TableParagraph"/>
              <w:rPr>
                <w:rFonts w:ascii="Times New Roman"/>
                <w:sz w:val="22"/>
              </w:rPr>
            </w:pPr>
          </w:p>
        </w:tc>
        <w:tc>
          <w:tcPr>
            <w:tcW w:w="8347" w:type="dxa"/>
            <w:tcBorders>
              <w:left w:val="single" w:sz="4" w:space="0" w:color="000000"/>
              <w:bottom w:val="nil"/>
            </w:tcBorders>
          </w:tcPr>
          <w:p>
            <w:pPr>
              <w:pStyle w:val="TableParagraph"/>
              <w:spacing w:before="3"/>
              <w:ind w:left="112"/>
              <w:rPr>
                <w:b/>
                <w:sz w:val="24"/>
              </w:rPr>
            </w:pPr>
            <w:r>
              <w:rPr>
                <w:rFonts w:ascii="Times New Roman" w:eastAsia="Times New Roman"/>
                <w:b/>
                <w:sz w:val="24"/>
              </w:rPr>
              <w:t>1</w:t>
            </w:r>
            <w:r>
              <w:rPr>
                <w:b/>
                <w:sz w:val="24"/>
              </w:rPr>
              <w:t>、施工期工程分析</w:t>
            </w:r>
          </w:p>
        </w:tc>
      </w:tr>
      <w:tr>
        <w:tblPrEx>
          <w:tblW w:w="0" w:type="auto"/>
          <w:tblInd w:w="222" w:type="dxa"/>
          <w:tblLayout w:type="fixed"/>
          <w:tblCellMar>
            <w:top w:w="0" w:type="dxa"/>
            <w:left w:w="0" w:type="dxa"/>
            <w:bottom w:w="0" w:type="dxa"/>
            <w:right w:w="0" w:type="dxa"/>
          </w:tblCellMar>
        </w:tblPrEx>
        <w:trPr>
          <w:trHeight w:val="450"/>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64"/>
              <w:ind w:right="88"/>
              <w:jc w:val="right"/>
              <w:rPr>
                <w:sz w:val="24"/>
              </w:rPr>
            </w:pPr>
            <w:r>
              <w:rPr>
                <w:sz w:val="24"/>
              </w:rPr>
              <w:t>本项目属于新建项目，租赁现有车间，无土建工程，仅进行设备的安装</w:t>
            </w:r>
          </w:p>
        </w:tc>
      </w:tr>
      <w:tr>
        <w:tblPrEx>
          <w:tblW w:w="0" w:type="auto"/>
          <w:tblInd w:w="222" w:type="dxa"/>
          <w:tblLayout w:type="fixed"/>
          <w:tblCellMar>
            <w:top w:w="0" w:type="dxa"/>
            <w:left w:w="0" w:type="dxa"/>
            <w:bottom w:w="0" w:type="dxa"/>
            <w:right w:w="0" w:type="dxa"/>
          </w:tblCellMar>
        </w:tblPrEx>
        <w:trPr>
          <w:trHeight w:val="461"/>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79"/>
              <w:ind w:left="112"/>
              <w:rPr>
                <w:sz w:val="24"/>
              </w:rPr>
            </w:pPr>
            <w:r>
              <w:rPr>
                <w:sz w:val="24"/>
              </w:rPr>
              <w:t>和调试，本次环评不对施工期影响进行分析。</w:t>
            </w:r>
          </w:p>
        </w:tc>
      </w:tr>
      <w:tr>
        <w:tblPrEx>
          <w:tblW w:w="0" w:type="auto"/>
          <w:tblInd w:w="222" w:type="dxa"/>
          <w:tblLayout w:type="fixed"/>
          <w:tblCellMar>
            <w:top w:w="0" w:type="dxa"/>
            <w:left w:w="0" w:type="dxa"/>
            <w:bottom w:w="0" w:type="dxa"/>
            <w:right w:w="0" w:type="dxa"/>
          </w:tblCellMar>
        </w:tblPrEx>
        <w:trPr>
          <w:trHeight w:val="475"/>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85"/>
              <w:ind w:left="112"/>
              <w:rPr>
                <w:b/>
                <w:sz w:val="24"/>
              </w:rPr>
            </w:pPr>
            <w:r>
              <w:rPr>
                <w:rFonts w:ascii="Times New Roman" w:eastAsia="Times New Roman"/>
                <w:b/>
                <w:sz w:val="24"/>
              </w:rPr>
              <w:t>2</w:t>
            </w:r>
            <w:r>
              <w:rPr>
                <w:b/>
                <w:sz w:val="24"/>
              </w:rPr>
              <w:t>、营运期工程分析</w:t>
            </w:r>
          </w:p>
        </w:tc>
      </w:tr>
      <w:tr>
        <w:tblPrEx>
          <w:tblW w:w="0" w:type="auto"/>
          <w:tblInd w:w="222" w:type="dxa"/>
          <w:tblLayout w:type="fixed"/>
          <w:tblCellMar>
            <w:top w:w="0" w:type="dxa"/>
            <w:left w:w="0" w:type="dxa"/>
            <w:bottom w:w="0" w:type="dxa"/>
            <w:right w:w="0" w:type="dxa"/>
          </w:tblCellMar>
        </w:tblPrEx>
        <w:trPr>
          <w:trHeight w:val="2097"/>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75"/>
              <w:ind w:left="592"/>
              <w:rPr>
                <w:b/>
                <w:sz w:val="24"/>
              </w:rPr>
            </w:pPr>
            <w:r>
              <w:rPr>
                <w:b/>
                <w:sz w:val="24"/>
              </w:rPr>
              <w:t>（</w:t>
            </w:r>
            <w:r>
              <w:rPr>
                <w:rFonts w:ascii="Times New Roman" w:eastAsia="Times New Roman"/>
                <w:b/>
                <w:sz w:val="24"/>
              </w:rPr>
              <w:t>1</w:t>
            </w:r>
            <w:r>
              <w:rPr>
                <w:b/>
                <w:sz w:val="24"/>
              </w:rPr>
              <w:t>）主要工艺如下</w:t>
            </w:r>
          </w:p>
        </w:tc>
      </w:tr>
      <w:tr>
        <w:tblPrEx>
          <w:tblW w:w="0" w:type="auto"/>
          <w:tblInd w:w="222" w:type="dxa"/>
          <w:tblLayout w:type="fixed"/>
          <w:tblCellMar>
            <w:top w:w="0" w:type="dxa"/>
            <w:left w:w="0" w:type="dxa"/>
            <w:bottom w:w="0" w:type="dxa"/>
            <w:right w:w="0" w:type="dxa"/>
          </w:tblCellMar>
        </w:tblPrEx>
        <w:trPr>
          <w:trHeight w:val="2036"/>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spacing w:before="2"/>
              <w:rPr>
                <w:b/>
                <w:sz w:val="23"/>
              </w:rPr>
            </w:pPr>
          </w:p>
          <w:p>
            <w:pPr>
              <w:pStyle w:val="TableParagraph"/>
              <w:ind w:left="112"/>
              <w:rPr>
                <w:sz w:val="21"/>
              </w:rPr>
            </w:pPr>
            <w:r>
              <w:rPr>
                <w:sz w:val="21"/>
              </w:rPr>
              <w:t>注：</w:t>
            </w:r>
            <w:r>
              <w:rPr>
                <w:rFonts w:ascii="Times New Roman" w:eastAsia="Times New Roman"/>
                <w:sz w:val="21"/>
              </w:rPr>
              <w:t>G-</w:t>
            </w:r>
            <w:r>
              <w:rPr>
                <w:sz w:val="21"/>
              </w:rPr>
              <w:t xml:space="preserve">废气 </w:t>
            </w:r>
            <w:r>
              <w:rPr>
                <w:rFonts w:ascii="Times New Roman" w:eastAsia="Times New Roman"/>
                <w:sz w:val="21"/>
              </w:rPr>
              <w:t>N-</w:t>
            </w:r>
            <w:r>
              <w:rPr>
                <w:sz w:val="21"/>
              </w:rPr>
              <w:t xml:space="preserve">噪声 </w:t>
            </w:r>
            <w:r>
              <w:rPr>
                <w:rFonts w:ascii="Times New Roman" w:eastAsia="Times New Roman"/>
                <w:sz w:val="21"/>
              </w:rPr>
              <w:t>S-</w:t>
            </w:r>
            <w:r>
              <w:rPr>
                <w:sz w:val="21"/>
              </w:rPr>
              <w:t>固废</w:t>
            </w:r>
          </w:p>
        </w:tc>
      </w:tr>
      <w:tr>
        <w:tblPrEx>
          <w:tblW w:w="0" w:type="auto"/>
          <w:tblInd w:w="222" w:type="dxa"/>
          <w:tblLayout w:type="fixed"/>
          <w:tblCellMar>
            <w:top w:w="0" w:type="dxa"/>
            <w:left w:w="0" w:type="dxa"/>
            <w:bottom w:w="0" w:type="dxa"/>
            <w:right w:w="0" w:type="dxa"/>
          </w:tblCellMar>
        </w:tblPrEx>
        <w:trPr>
          <w:trHeight w:val="1866"/>
        </w:trPr>
        <w:tc>
          <w:tcPr>
            <w:tcW w:w="895" w:type="dxa"/>
            <w:tcBorders>
              <w:top w:val="nil"/>
              <w:bottom w:val="nil"/>
              <w:right w:val="single" w:sz="4" w:space="0" w:color="000000"/>
            </w:tcBorders>
          </w:tcPr>
          <w:p>
            <w:pPr>
              <w:pStyle w:val="TableParagraph"/>
              <w:spacing w:before="41" w:line="242" w:lineRule="auto"/>
              <w:ind w:left="206" w:right="193"/>
              <w:jc w:val="both"/>
              <w:rPr>
                <w:sz w:val="24"/>
              </w:rPr>
            </w:pPr>
            <w:r>
              <w:rPr>
                <w:sz w:val="24"/>
              </w:rPr>
              <w:t>工艺流程和产排污环节</w:t>
            </w:r>
          </w:p>
        </w:tc>
        <w:tc>
          <w:tcPr>
            <w:tcW w:w="8347" w:type="dxa"/>
            <w:tcBorders>
              <w:top w:val="nil"/>
              <w:left w:val="single" w:sz="4" w:space="0" w:color="000000"/>
              <w:bottom w:val="nil"/>
            </w:tcBorders>
          </w:tcPr>
          <w:p>
            <w:pPr>
              <w:pStyle w:val="TableParagraph"/>
              <w:spacing w:before="79"/>
              <w:ind w:left="2126" w:right="1859"/>
              <w:jc w:val="center"/>
              <w:rPr>
                <w:b/>
                <w:sz w:val="24"/>
              </w:rPr>
            </w:pPr>
            <w:r>
              <w:rPr>
                <w:b/>
                <w:spacing w:val="-31"/>
                <w:sz w:val="24"/>
              </w:rPr>
              <w:t xml:space="preserve">图 </w:t>
            </w:r>
            <w:r>
              <w:rPr>
                <w:rFonts w:ascii="Times New Roman" w:eastAsia="Times New Roman"/>
                <w:b/>
                <w:sz w:val="24"/>
              </w:rPr>
              <w:t>2</w:t>
            </w:r>
            <w:r>
              <w:rPr>
                <w:rFonts w:ascii="Times New Roman" w:eastAsia="Times New Roman"/>
                <w:b/>
                <w:spacing w:val="57"/>
                <w:sz w:val="24"/>
              </w:rPr>
              <w:t xml:space="preserve"> </w:t>
            </w:r>
            <w:r>
              <w:rPr>
                <w:b/>
                <w:sz w:val="24"/>
              </w:rPr>
              <w:t>工艺流程及产污环节图</w:t>
            </w:r>
          </w:p>
          <w:p>
            <w:pPr>
              <w:pStyle w:val="TableParagraph"/>
              <w:spacing w:before="158"/>
              <w:ind w:left="592"/>
              <w:rPr>
                <w:b/>
                <w:sz w:val="24"/>
              </w:rPr>
            </w:pPr>
            <w:r>
              <w:rPr>
                <w:b/>
                <w:w w:val="95"/>
                <w:sz w:val="24"/>
              </w:rPr>
              <w:t>工艺流程简述：</w:t>
            </w:r>
          </w:p>
          <w:p>
            <w:pPr>
              <w:pStyle w:val="TableParagraph"/>
              <w:spacing w:before="8" w:line="460" w:lineRule="atLeast"/>
              <w:ind w:left="112" w:right="268" w:firstLine="480"/>
              <w:rPr>
                <w:b/>
                <w:sz w:val="24"/>
              </w:rPr>
            </w:pPr>
            <w:r>
              <w:rPr>
                <w:b/>
                <w:spacing w:val="-1"/>
                <w:sz w:val="24"/>
              </w:rPr>
              <w:t xml:space="preserve">本项目产品为质地较软的塑料板材，裁切、雕刻时产生下脚料及碎屑， </w:t>
            </w:r>
            <w:r>
              <w:rPr>
                <w:b/>
                <w:sz w:val="24"/>
              </w:rPr>
              <w:t>无颗粒物废气产生。</w:t>
            </w:r>
          </w:p>
        </w:tc>
      </w:tr>
      <w:tr>
        <w:tblPrEx>
          <w:tblW w:w="0" w:type="auto"/>
          <w:tblInd w:w="222" w:type="dxa"/>
          <w:tblLayout w:type="fixed"/>
          <w:tblCellMar>
            <w:top w:w="0" w:type="dxa"/>
            <w:left w:w="0" w:type="dxa"/>
            <w:bottom w:w="0" w:type="dxa"/>
            <w:right w:w="0" w:type="dxa"/>
          </w:tblCellMar>
        </w:tblPrEx>
        <w:trPr>
          <w:trHeight w:val="462"/>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80"/>
              <w:ind w:left="592"/>
              <w:rPr>
                <w:sz w:val="24"/>
              </w:rPr>
            </w:pPr>
            <w:r>
              <w:rPr>
                <w:b/>
                <w:sz w:val="24"/>
              </w:rPr>
              <w:t>调料：</w:t>
            </w:r>
            <w:r>
              <w:rPr>
                <w:sz w:val="24"/>
              </w:rPr>
              <w:t>将聚乙烯颗粒、色母粒、碳酸钙填充颗粒按比例加入到调料机</w:t>
            </w:r>
          </w:p>
        </w:tc>
      </w:tr>
      <w:tr>
        <w:tblPrEx>
          <w:tblW w:w="0" w:type="auto"/>
          <w:tblInd w:w="222" w:type="dxa"/>
          <w:tblLayout w:type="fixed"/>
          <w:tblCellMar>
            <w:top w:w="0" w:type="dxa"/>
            <w:left w:w="0" w:type="dxa"/>
            <w:bottom w:w="0" w:type="dxa"/>
            <w:right w:w="0" w:type="dxa"/>
          </w:tblCellMar>
        </w:tblPrEx>
        <w:trPr>
          <w:trHeight w:val="476"/>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82"/>
              <w:ind w:left="112"/>
              <w:rPr>
                <w:sz w:val="24"/>
              </w:rPr>
            </w:pPr>
            <w:r>
              <w:rPr>
                <w:position w:val="2"/>
                <w:sz w:val="24"/>
              </w:rPr>
              <w:t xml:space="preserve">（电加热，温度约 </w:t>
            </w:r>
            <w:r>
              <w:rPr>
                <w:rFonts w:ascii="Times New Roman" w:eastAsia="Times New Roman" w:hAnsi="Times New Roman"/>
                <w:position w:val="2"/>
                <w:sz w:val="24"/>
              </w:rPr>
              <w:t>70</w:t>
            </w:r>
            <w:r>
              <w:rPr>
                <w:position w:val="2"/>
                <w:sz w:val="24"/>
              </w:rPr>
              <w:t>℃）进行干燥、混合。此工序会产生机械噪声（</w:t>
            </w:r>
            <w:r>
              <w:rPr>
                <w:rFonts w:ascii="Times New Roman" w:eastAsia="Times New Roman" w:hAnsi="Times New Roman"/>
                <w:position w:val="2"/>
                <w:sz w:val="24"/>
              </w:rPr>
              <w:t>N</w:t>
            </w:r>
            <w:r>
              <w:rPr>
                <w:rFonts w:ascii="Times New Roman" w:eastAsia="Times New Roman" w:hAnsi="Times New Roman"/>
                <w:position w:val="2"/>
                <w:sz w:val="24"/>
                <w:vertAlign w:val="subscript"/>
              </w:rPr>
              <w:t>1</w:t>
            </w:r>
            <w:r>
              <w:rPr>
                <w:position w:val="2"/>
                <w:sz w:val="24"/>
                <w:vertAlign w:val="baseline"/>
              </w:rPr>
              <w:t>）、</w:t>
            </w:r>
          </w:p>
        </w:tc>
      </w:tr>
      <w:tr>
        <w:tblPrEx>
          <w:tblW w:w="0" w:type="auto"/>
          <w:tblInd w:w="222" w:type="dxa"/>
          <w:tblLayout w:type="fixed"/>
          <w:tblCellMar>
            <w:top w:w="0" w:type="dxa"/>
            <w:left w:w="0" w:type="dxa"/>
            <w:bottom w:w="0" w:type="dxa"/>
            <w:right w:w="0" w:type="dxa"/>
          </w:tblCellMar>
        </w:tblPrEx>
        <w:trPr>
          <w:trHeight w:val="471"/>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71"/>
              <w:ind w:left="112"/>
              <w:rPr>
                <w:sz w:val="24"/>
              </w:rPr>
            </w:pPr>
            <w:r>
              <w:rPr>
                <w:position w:val="2"/>
                <w:sz w:val="24"/>
              </w:rPr>
              <w:t>废包装物（</w:t>
            </w:r>
            <w:r>
              <w:rPr>
                <w:rFonts w:ascii="Times New Roman" w:eastAsia="Times New Roman"/>
                <w:position w:val="2"/>
                <w:sz w:val="24"/>
              </w:rPr>
              <w:t>S</w:t>
            </w:r>
            <w:r>
              <w:rPr>
                <w:rFonts w:ascii="Times New Roman" w:eastAsia="Times New Roman"/>
                <w:position w:val="2"/>
                <w:sz w:val="24"/>
                <w:vertAlign w:val="subscript"/>
              </w:rPr>
              <w:t>1</w:t>
            </w:r>
            <w:r>
              <w:rPr>
                <w:position w:val="2"/>
                <w:sz w:val="24"/>
                <w:vertAlign w:val="baseline"/>
              </w:rPr>
              <w:t>）。</w:t>
            </w:r>
          </w:p>
        </w:tc>
      </w:tr>
      <w:tr>
        <w:tblPrEx>
          <w:tblW w:w="0" w:type="auto"/>
          <w:tblInd w:w="222" w:type="dxa"/>
          <w:tblLayout w:type="fixed"/>
          <w:tblCellMar>
            <w:top w:w="0" w:type="dxa"/>
            <w:left w:w="0" w:type="dxa"/>
            <w:bottom w:w="0" w:type="dxa"/>
            <w:right w:w="0" w:type="dxa"/>
          </w:tblCellMar>
        </w:tblPrEx>
        <w:trPr>
          <w:trHeight w:val="453"/>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71"/>
              <w:ind w:right="86"/>
              <w:jc w:val="right"/>
              <w:rPr>
                <w:sz w:val="24"/>
              </w:rPr>
            </w:pPr>
            <w:r>
              <w:rPr>
                <w:b/>
                <w:sz w:val="24"/>
              </w:rPr>
              <w:t xml:space="preserve">自动上料： </w:t>
            </w:r>
            <w:r>
              <w:rPr>
                <w:sz w:val="24"/>
              </w:rPr>
              <w:t>混合完成的原料加入到挤出机。此工序会产生机械噪声</w:t>
            </w:r>
          </w:p>
        </w:tc>
      </w:tr>
      <w:tr>
        <w:tblPrEx>
          <w:tblW w:w="0" w:type="auto"/>
          <w:tblInd w:w="222" w:type="dxa"/>
          <w:tblLayout w:type="fixed"/>
          <w:tblCellMar>
            <w:top w:w="0" w:type="dxa"/>
            <w:left w:w="0" w:type="dxa"/>
            <w:bottom w:w="0" w:type="dxa"/>
            <w:right w:w="0" w:type="dxa"/>
          </w:tblCellMar>
        </w:tblPrEx>
        <w:trPr>
          <w:trHeight w:val="474"/>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79"/>
              <w:ind w:left="112"/>
              <w:rPr>
                <w:sz w:val="24"/>
              </w:rPr>
            </w:pPr>
            <w:r>
              <w:rPr>
                <w:position w:val="2"/>
                <w:sz w:val="24"/>
              </w:rPr>
              <w:t>（</w:t>
            </w:r>
            <w:r>
              <w:rPr>
                <w:rFonts w:ascii="Times New Roman" w:eastAsia="Times New Roman"/>
                <w:position w:val="2"/>
                <w:sz w:val="24"/>
              </w:rPr>
              <w:t>N</w:t>
            </w:r>
            <w:r>
              <w:rPr>
                <w:rFonts w:ascii="Times New Roman" w:eastAsia="Times New Roman"/>
                <w:position w:val="2"/>
                <w:sz w:val="24"/>
                <w:vertAlign w:val="subscript"/>
              </w:rPr>
              <w:t>2</w:t>
            </w:r>
            <w:r>
              <w:rPr>
                <w:position w:val="2"/>
                <w:sz w:val="24"/>
                <w:vertAlign w:val="baseline"/>
              </w:rPr>
              <w:t>）。</w:t>
            </w:r>
          </w:p>
        </w:tc>
      </w:tr>
      <w:tr>
        <w:tblPrEx>
          <w:tblW w:w="0" w:type="auto"/>
          <w:tblInd w:w="222" w:type="dxa"/>
          <w:tblLayout w:type="fixed"/>
          <w:tblCellMar>
            <w:top w:w="0" w:type="dxa"/>
            <w:left w:w="0" w:type="dxa"/>
            <w:bottom w:w="0" w:type="dxa"/>
            <w:right w:w="0" w:type="dxa"/>
          </w:tblCellMar>
        </w:tblPrEx>
        <w:trPr>
          <w:trHeight w:val="466"/>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76"/>
              <w:ind w:right="88"/>
              <w:jc w:val="right"/>
              <w:rPr>
                <w:rFonts w:ascii="新宋体" w:eastAsia="新宋体" w:hAnsi="新宋体" w:hint="eastAsia"/>
                <w:sz w:val="24"/>
              </w:rPr>
            </w:pPr>
            <w:r>
              <w:rPr>
                <w:b/>
                <w:sz w:val="24"/>
              </w:rPr>
              <w:t>熔融、挤出：</w:t>
            </w:r>
            <w:r>
              <w:rPr>
                <w:sz w:val="24"/>
              </w:rPr>
              <w:t>挤出机采用电加热（温度约</w:t>
            </w:r>
            <w:r>
              <w:rPr>
                <w:rFonts w:ascii="Times New Roman" w:eastAsia="Times New Roman" w:hAnsi="Times New Roman"/>
                <w:sz w:val="24"/>
              </w:rPr>
              <w:t>170</w:t>
            </w:r>
            <w:r>
              <w:rPr>
                <w:sz w:val="24"/>
              </w:rPr>
              <w:t>℃）</w:t>
            </w:r>
            <w:r>
              <w:rPr>
                <w:b/>
                <w:sz w:val="24"/>
              </w:rPr>
              <w:t>，</w:t>
            </w:r>
            <w:r>
              <w:rPr>
                <w:rFonts w:ascii="新宋体" w:eastAsia="新宋体" w:hAnsi="新宋体" w:hint="eastAsia"/>
                <w:sz w:val="24"/>
              </w:rPr>
              <w:t>既能保证塑料熔融，</w:t>
            </w:r>
          </w:p>
        </w:tc>
      </w:tr>
      <w:tr>
        <w:tblPrEx>
          <w:tblW w:w="0" w:type="auto"/>
          <w:tblInd w:w="222" w:type="dxa"/>
          <w:tblLayout w:type="fixed"/>
          <w:tblCellMar>
            <w:top w:w="0" w:type="dxa"/>
            <w:left w:w="0" w:type="dxa"/>
            <w:bottom w:w="0" w:type="dxa"/>
            <w:right w:w="0" w:type="dxa"/>
          </w:tblCellMar>
        </w:tblPrEx>
        <w:trPr>
          <w:trHeight w:val="466"/>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71"/>
              <w:ind w:left="112"/>
              <w:rPr>
                <w:sz w:val="24"/>
              </w:rPr>
            </w:pPr>
            <w:r>
              <w:rPr>
                <w:rFonts w:ascii="新宋体" w:eastAsia="新宋体" w:hint="eastAsia"/>
                <w:position w:val="2"/>
                <w:sz w:val="24"/>
              </w:rPr>
              <w:t>又可以控制塑料不会发生大量裂解</w:t>
            </w:r>
            <w:r>
              <w:rPr>
                <w:position w:val="2"/>
                <w:sz w:val="24"/>
              </w:rPr>
              <w:t>。此工序会产生有机废气（</w:t>
            </w:r>
            <w:r>
              <w:rPr>
                <w:rFonts w:ascii="Times New Roman" w:eastAsia="Times New Roman"/>
                <w:position w:val="2"/>
                <w:sz w:val="24"/>
              </w:rPr>
              <w:t>G</w:t>
            </w:r>
            <w:r>
              <w:rPr>
                <w:rFonts w:ascii="Times New Roman" w:eastAsia="Times New Roman"/>
                <w:position w:val="2"/>
                <w:sz w:val="24"/>
                <w:vertAlign w:val="subscript"/>
              </w:rPr>
              <w:t>1</w:t>
            </w:r>
            <w:r>
              <w:rPr>
                <w:position w:val="2"/>
                <w:sz w:val="24"/>
                <w:vertAlign w:val="baseline"/>
              </w:rPr>
              <w:t>、</w:t>
            </w:r>
            <w:r>
              <w:rPr>
                <w:rFonts w:ascii="Times New Roman" w:eastAsia="Times New Roman"/>
                <w:position w:val="2"/>
                <w:sz w:val="24"/>
                <w:vertAlign w:val="baseline"/>
              </w:rPr>
              <w:t>G</w:t>
            </w:r>
            <w:r>
              <w:rPr>
                <w:rFonts w:ascii="Times New Roman" w:eastAsia="Times New Roman"/>
                <w:position w:val="2"/>
                <w:sz w:val="24"/>
                <w:vertAlign w:val="subscript"/>
              </w:rPr>
              <w:t>2</w:t>
            </w:r>
            <w:r>
              <w:rPr>
                <w:position w:val="2"/>
                <w:sz w:val="24"/>
                <w:vertAlign w:val="baseline"/>
              </w:rPr>
              <w:t>）、机</w:t>
            </w:r>
          </w:p>
        </w:tc>
      </w:tr>
      <w:tr>
        <w:tblPrEx>
          <w:tblW w:w="0" w:type="auto"/>
          <w:tblInd w:w="222" w:type="dxa"/>
          <w:tblLayout w:type="fixed"/>
          <w:tblCellMar>
            <w:top w:w="0" w:type="dxa"/>
            <w:left w:w="0" w:type="dxa"/>
            <w:bottom w:w="0" w:type="dxa"/>
            <w:right w:w="0" w:type="dxa"/>
          </w:tblCellMar>
        </w:tblPrEx>
        <w:trPr>
          <w:trHeight w:val="467"/>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73"/>
              <w:ind w:left="112"/>
              <w:rPr>
                <w:sz w:val="24"/>
              </w:rPr>
            </w:pPr>
            <w:r>
              <w:rPr>
                <w:position w:val="2"/>
                <w:sz w:val="24"/>
              </w:rPr>
              <w:t>械噪声（</w:t>
            </w:r>
            <w:r>
              <w:rPr>
                <w:rFonts w:ascii="Times New Roman" w:eastAsia="Times New Roman"/>
                <w:position w:val="2"/>
                <w:sz w:val="24"/>
              </w:rPr>
              <w:t>N</w:t>
            </w:r>
            <w:r>
              <w:rPr>
                <w:rFonts w:ascii="Times New Roman" w:eastAsia="Times New Roman"/>
                <w:position w:val="2"/>
                <w:sz w:val="24"/>
                <w:vertAlign w:val="subscript"/>
              </w:rPr>
              <w:t>3</w:t>
            </w:r>
            <w:r>
              <w:rPr>
                <w:position w:val="2"/>
                <w:sz w:val="24"/>
                <w:vertAlign w:val="baseline"/>
              </w:rPr>
              <w:t>、</w:t>
            </w:r>
            <w:r>
              <w:rPr>
                <w:rFonts w:ascii="Times New Roman" w:eastAsia="Times New Roman"/>
                <w:position w:val="2"/>
                <w:sz w:val="24"/>
                <w:vertAlign w:val="baseline"/>
              </w:rPr>
              <w:t>N</w:t>
            </w:r>
            <w:r>
              <w:rPr>
                <w:rFonts w:ascii="Times New Roman" w:eastAsia="Times New Roman"/>
                <w:position w:val="2"/>
                <w:sz w:val="24"/>
                <w:vertAlign w:val="subscript"/>
              </w:rPr>
              <w:t>4</w:t>
            </w:r>
            <w:r>
              <w:rPr>
                <w:position w:val="2"/>
                <w:sz w:val="24"/>
                <w:vertAlign w:val="baseline"/>
              </w:rPr>
              <w:t>）。</w:t>
            </w:r>
          </w:p>
        </w:tc>
      </w:tr>
      <w:tr>
        <w:tblPrEx>
          <w:tblW w:w="0" w:type="auto"/>
          <w:tblInd w:w="222" w:type="dxa"/>
          <w:tblLayout w:type="fixed"/>
          <w:tblCellMar>
            <w:top w:w="0" w:type="dxa"/>
            <w:left w:w="0" w:type="dxa"/>
            <w:bottom w:w="0" w:type="dxa"/>
            <w:right w:w="0" w:type="dxa"/>
          </w:tblCellMar>
        </w:tblPrEx>
        <w:trPr>
          <w:trHeight w:val="466"/>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71"/>
              <w:ind w:left="592"/>
              <w:rPr>
                <w:sz w:val="24"/>
              </w:rPr>
            </w:pPr>
            <w:r>
              <w:rPr>
                <w:b/>
                <w:position w:val="2"/>
                <w:sz w:val="24"/>
              </w:rPr>
              <w:t>冷却：</w:t>
            </w:r>
            <w:r>
              <w:rPr>
                <w:position w:val="2"/>
                <w:sz w:val="24"/>
              </w:rPr>
              <w:t>熔融挤出后采用循环水冷却。此工序会产生机械噪声（</w:t>
            </w:r>
            <w:r>
              <w:rPr>
                <w:rFonts w:ascii="Times New Roman" w:eastAsia="Times New Roman"/>
                <w:position w:val="2"/>
                <w:sz w:val="24"/>
              </w:rPr>
              <w:t>N</w:t>
            </w:r>
            <w:r>
              <w:rPr>
                <w:rFonts w:ascii="Times New Roman" w:eastAsia="Times New Roman"/>
                <w:position w:val="2"/>
                <w:sz w:val="24"/>
                <w:vertAlign w:val="subscript"/>
              </w:rPr>
              <w:t>4</w:t>
            </w:r>
            <w:r>
              <w:rPr>
                <w:position w:val="2"/>
                <w:sz w:val="24"/>
                <w:vertAlign w:val="baseline"/>
              </w:rPr>
              <w:t>）。</w:t>
            </w:r>
          </w:p>
        </w:tc>
      </w:tr>
      <w:tr>
        <w:tblPrEx>
          <w:tblW w:w="0" w:type="auto"/>
          <w:tblInd w:w="222" w:type="dxa"/>
          <w:tblLayout w:type="fixed"/>
          <w:tblCellMar>
            <w:top w:w="0" w:type="dxa"/>
            <w:left w:w="0" w:type="dxa"/>
            <w:bottom w:w="0" w:type="dxa"/>
            <w:right w:w="0" w:type="dxa"/>
          </w:tblCellMar>
        </w:tblPrEx>
        <w:trPr>
          <w:trHeight w:val="467"/>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73"/>
              <w:ind w:right="86"/>
              <w:jc w:val="right"/>
              <w:rPr>
                <w:sz w:val="24"/>
              </w:rPr>
            </w:pPr>
            <w:r>
              <w:rPr>
                <w:b/>
                <w:position w:val="2"/>
                <w:sz w:val="24"/>
              </w:rPr>
              <w:t>牵引、裁板：</w:t>
            </w:r>
            <w:r>
              <w:rPr>
                <w:position w:val="2"/>
                <w:sz w:val="24"/>
              </w:rPr>
              <w:t>将冷却后的物料进行裁切。此工序会产生机械噪声（</w:t>
            </w:r>
            <w:r>
              <w:rPr>
                <w:rFonts w:ascii="Times New Roman" w:eastAsia="Times New Roman"/>
                <w:position w:val="2"/>
                <w:sz w:val="24"/>
              </w:rPr>
              <w:t>N</w:t>
            </w:r>
            <w:r>
              <w:rPr>
                <w:rFonts w:ascii="Times New Roman" w:eastAsia="Times New Roman"/>
                <w:position w:val="2"/>
                <w:sz w:val="24"/>
                <w:vertAlign w:val="subscript"/>
              </w:rPr>
              <w:t>6</w:t>
            </w:r>
            <w:r>
              <w:rPr>
                <w:position w:val="2"/>
                <w:sz w:val="24"/>
                <w:vertAlign w:val="baseline"/>
              </w:rPr>
              <w:t>、</w:t>
            </w:r>
          </w:p>
        </w:tc>
      </w:tr>
      <w:tr>
        <w:tblPrEx>
          <w:tblW w:w="0" w:type="auto"/>
          <w:tblInd w:w="222" w:type="dxa"/>
          <w:tblLayout w:type="fixed"/>
          <w:tblCellMar>
            <w:top w:w="0" w:type="dxa"/>
            <w:left w:w="0" w:type="dxa"/>
            <w:bottom w:w="0" w:type="dxa"/>
            <w:right w:w="0" w:type="dxa"/>
          </w:tblCellMar>
        </w:tblPrEx>
        <w:trPr>
          <w:trHeight w:val="471"/>
        </w:trPr>
        <w:tc>
          <w:tcPr>
            <w:tcW w:w="895" w:type="dxa"/>
            <w:tcBorders>
              <w:top w:val="nil"/>
              <w:bottom w:val="nil"/>
              <w:right w:val="single" w:sz="4" w:space="0" w:color="000000"/>
            </w:tcBorders>
          </w:tcPr>
          <w:p>
            <w:pPr>
              <w:pStyle w:val="TableParagraph"/>
              <w:rPr>
                <w:rFonts w:ascii="Times New Roman"/>
                <w:sz w:val="22"/>
              </w:rPr>
            </w:pPr>
          </w:p>
        </w:tc>
        <w:tc>
          <w:tcPr>
            <w:tcW w:w="8347" w:type="dxa"/>
            <w:tcBorders>
              <w:top w:val="nil"/>
              <w:left w:val="single" w:sz="4" w:space="0" w:color="000000"/>
              <w:bottom w:val="nil"/>
            </w:tcBorders>
          </w:tcPr>
          <w:p>
            <w:pPr>
              <w:pStyle w:val="TableParagraph"/>
              <w:spacing w:before="73"/>
              <w:ind w:left="112"/>
              <w:rPr>
                <w:sz w:val="24"/>
              </w:rPr>
            </w:pPr>
            <w:r>
              <w:rPr>
                <w:rFonts w:ascii="Times New Roman" w:eastAsia="Times New Roman"/>
                <w:position w:val="2"/>
                <w:sz w:val="24"/>
              </w:rPr>
              <w:t>N</w:t>
            </w:r>
            <w:r>
              <w:rPr>
                <w:rFonts w:ascii="Times New Roman" w:eastAsia="Times New Roman"/>
                <w:position w:val="2"/>
                <w:sz w:val="24"/>
                <w:vertAlign w:val="subscript"/>
              </w:rPr>
              <w:t>7</w:t>
            </w:r>
            <w:r>
              <w:rPr>
                <w:position w:val="2"/>
                <w:sz w:val="24"/>
                <w:vertAlign w:val="baseline"/>
              </w:rPr>
              <w:t>）、下脚料及碎屑（</w:t>
            </w:r>
            <w:r>
              <w:rPr>
                <w:rFonts w:ascii="Times New Roman" w:eastAsia="Times New Roman"/>
                <w:position w:val="2"/>
                <w:sz w:val="24"/>
                <w:vertAlign w:val="baseline"/>
              </w:rPr>
              <w:t>S</w:t>
            </w:r>
            <w:r>
              <w:rPr>
                <w:rFonts w:ascii="Times New Roman" w:eastAsia="Times New Roman"/>
                <w:position w:val="2"/>
                <w:sz w:val="24"/>
                <w:vertAlign w:val="subscript"/>
              </w:rPr>
              <w:t>2</w:t>
            </w:r>
            <w:r>
              <w:rPr>
                <w:position w:val="2"/>
                <w:sz w:val="24"/>
                <w:vertAlign w:val="baseline"/>
              </w:rPr>
              <w:t>）。</w:t>
            </w:r>
          </w:p>
        </w:tc>
      </w:tr>
      <w:tr>
        <w:tblPrEx>
          <w:tblW w:w="0" w:type="auto"/>
          <w:tblInd w:w="222" w:type="dxa"/>
          <w:tblLayout w:type="fixed"/>
          <w:tblCellMar>
            <w:top w:w="0" w:type="dxa"/>
            <w:left w:w="0" w:type="dxa"/>
            <w:bottom w:w="0" w:type="dxa"/>
            <w:right w:w="0" w:type="dxa"/>
          </w:tblCellMar>
        </w:tblPrEx>
        <w:trPr>
          <w:trHeight w:val="533"/>
        </w:trPr>
        <w:tc>
          <w:tcPr>
            <w:tcW w:w="895" w:type="dxa"/>
            <w:tcBorders>
              <w:top w:val="nil"/>
              <w:right w:val="single" w:sz="4" w:space="0" w:color="000000"/>
            </w:tcBorders>
          </w:tcPr>
          <w:p>
            <w:pPr>
              <w:pStyle w:val="TableParagraph"/>
              <w:rPr>
                <w:rFonts w:ascii="Times New Roman"/>
                <w:sz w:val="22"/>
              </w:rPr>
            </w:pPr>
          </w:p>
        </w:tc>
        <w:tc>
          <w:tcPr>
            <w:tcW w:w="8347" w:type="dxa"/>
            <w:tcBorders>
              <w:top w:val="nil"/>
              <w:left w:val="single" w:sz="4" w:space="0" w:color="000000"/>
            </w:tcBorders>
          </w:tcPr>
          <w:p>
            <w:pPr>
              <w:pStyle w:val="TableParagraph"/>
              <w:spacing w:before="70"/>
              <w:ind w:right="86"/>
              <w:jc w:val="right"/>
              <w:rPr>
                <w:sz w:val="24"/>
              </w:rPr>
            </w:pPr>
            <w:r>
              <w:rPr>
                <w:b/>
                <w:w w:val="95"/>
                <w:sz w:val="24"/>
              </w:rPr>
              <w:t>雕刻：</w:t>
            </w:r>
            <w:r>
              <w:rPr>
                <w:w w:val="95"/>
                <w:sz w:val="24"/>
              </w:rPr>
              <w:t>根据产品要求，在板材上雕刻不同的花纹。此工序会产生机械噪</w:t>
            </w:r>
          </w:p>
        </w:tc>
      </w:tr>
    </w:tbl>
    <w:p>
      <w:pPr>
        <w:rPr>
          <w:sz w:val="2"/>
          <w:szCs w:val="2"/>
        </w:rPr>
      </w:pPr>
      <w:r>
        <w:drawing>
          <wp:anchor distT="0" distB="0" distL="0" distR="0" simplePos="0" relativeHeight="251666432" behindDoc="1" locked="0" layoutInCell="1" allowOverlap="1">
            <wp:simplePos x="0" y="0"/>
            <wp:positionH relativeFrom="page">
              <wp:posOffset>2130425</wp:posOffset>
            </wp:positionH>
            <wp:positionV relativeFrom="page">
              <wp:posOffset>2465705</wp:posOffset>
            </wp:positionV>
            <wp:extent cx="3978910" cy="189992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xmlns:r="http://schemas.openxmlformats.org/officeDocument/2006/relationships" r:embed="rId25" cstate="print"/>
                    <a:stretch>
                      <a:fillRect/>
                    </a:stretch>
                  </pic:blipFill>
                  <pic:spPr>
                    <a:xfrm>
                      <a:off x="0" y="0"/>
                      <a:ext cx="3979211" cy="1900237"/>
                    </a:xfrm>
                    <a:prstGeom prst="rect">
                      <a:avLst/>
                    </a:prstGeom>
                  </pic:spPr>
                </pic:pic>
              </a:graphicData>
            </a:graphic>
          </wp:anchor>
        </w:drawing>
      </w:r>
    </w:p>
    <w:p>
      <w:pPr>
        <w:spacing w:after="0"/>
        <w:rPr>
          <w:sz w:val="2"/>
          <w:szCs w:val="2"/>
        </w:rPr>
        <w:sectPr>
          <w:footerReference w:type="default" r:id="rId26"/>
          <w:pgSz w:w="11910" w:h="16840"/>
          <w:pgMar w:top="1420" w:right="1119" w:bottom="900" w:left="1120" w:header="0" w:footer="713" w:gutter="0"/>
          <w:pgNumType w:start="20"/>
          <w:cols w:num="1" w:space="720"/>
        </w:sectPr>
      </w:pPr>
    </w:p>
    <w:tbl>
      <w:tblPr>
        <w:tblStyle w:val="TableNormal"/>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95"/>
        <w:gridCol w:w="8347"/>
      </w:tblGrid>
      <w:tr>
        <w:tblPrEx>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461"/>
        </w:trPr>
        <w:tc>
          <w:tcPr>
            <w:tcW w:w="895" w:type="dxa"/>
            <w:tcBorders>
              <w:bottom w:val="single" w:sz="4" w:space="0" w:color="000000"/>
              <w:right w:val="single" w:sz="4" w:space="0" w:color="000000"/>
            </w:tcBorders>
          </w:tcPr>
          <w:p>
            <w:pPr>
              <w:pStyle w:val="TableParagraph"/>
              <w:rPr>
                <w:rFonts w:ascii="Times New Roman"/>
                <w:sz w:val="20"/>
              </w:rPr>
            </w:pPr>
          </w:p>
        </w:tc>
        <w:tc>
          <w:tcPr>
            <w:tcW w:w="8347" w:type="dxa"/>
            <w:tcBorders>
              <w:left w:val="single" w:sz="4" w:space="0" w:color="000000"/>
              <w:bottom w:val="single" w:sz="4" w:space="0" w:color="000000"/>
            </w:tcBorders>
          </w:tcPr>
          <w:p>
            <w:pPr>
              <w:pStyle w:val="TableParagraph"/>
              <w:ind w:left="112"/>
              <w:rPr>
                <w:sz w:val="24"/>
              </w:rPr>
            </w:pPr>
            <w:r>
              <w:rPr>
                <w:position w:val="2"/>
                <w:sz w:val="24"/>
              </w:rPr>
              <w:t>声（</w:t>
            </w:r>
            <w:r>
              <w:rPr>
                <w:rFonts w:ascii="Times New Roman" w:eastAsia="Times New Roman"/>
                <w:position w:val="2"/>
                <w:sz w:val="24"/>
              </w:rPr>
              <w:t>N</w:t>
            </w:r>
            <w:r>
              <w:rPr>
                <w:rFonts w:ascii="Times New Roman" w:eastAsia="Times New Roman"/>
                <w:position w:val="2"/>
                <w:sz w:val="24"/>
                <w:vertAlign w:val="subscript"/>
              </w:rPr>
              <w:t>8</w:t>
            </w:r>
            <w:r>
              <w:rPr>
                <w:position w:val="2"/>
                <w:sz w:val="24"/>
                <w:vertAlign w:val="baseline"/>
              </w:rPr>
              <w:t>）、下脚料及碎屑（</w:t>
            </w:r>
            <w:r>
              <w:rPr>
                <w:rFonts w:ascii="Times New Roman" w:eastAsia="Times New Roman"/>
                <w:position w:val="2"/>
                <w:sz w:val="24"/>
                <w:vertAlign w:val="baseline"/>
              </w:rPr>
              <w:t>S</w:t>
            </w:r>
            <w:r>
              <w:rPr>
                <w:rFonts w:ascii="Times New Roman" w:eastAsia="Times New Roman"/>
                <w:position w:val="2"/>
                <w:sz w:val="24"/>
                <w:vertAlign w:val="subscript"/>
              </w:rPr>
              <w:t>3</w:t>
            </w:r>
            <w:r>
              <w:rPr>
                <w:position w:val="2"/>
                <w:sz w:val="24"/>
                <w:vertAlign w:val="baseline"/>
              </w:rPr>
              <w:t>）。</w:t>
            </w:r>
          </w:p>
          <w:p>
            <w:pPr>
              <w:pStyle w:val="TableParagraph"/>
              <w:spacing w:before="153" w:line="362" w:lineRule="auto"/>
              <w:ind w:left="592" w:right="323"/>
              <w:rPr>
                <w:sz w:val="24"/>
              </w:rPr>
            </w:pPr>
            <w:r>
              <w:rPr>
                <w:b/>
                <w:position w:val="2"/>
                <w:sz w:val="24"/>
              </w:rPr>
              <w:t>质检：</w:t>
            </w:r>
            <w:r>
              <w:rPr>
                <w:position w:val="2"/>
                <w:sz w:val="24"/>
              </w:rPr>
              <w:t>雕刻完成后检验，合格品入库。此工序会产生不合格品（</w:t>
            </w:r>
            <w:r>
              <w:rPr>
                <w:rFonts w:ascii="Times New Roman" w:eastAsia="Times New Roman"/>
                <w:position w:val="2"/>
                <w:sz w:val="24"/>
              </w:rPr>
              <w:t>S</w:t>
            </w:r>
            <w:r>
              <w:rPr>
                <w:rFonts w:ascii="Times New Roman" w:eastAsia="Times New Roman"/>
                <w:position w:val="2"/>
                <w:sz w:val="24"/>
                <w:vertAlign w:val="subscript"/>
              </w:rPr>
              <w:t>2</w:t>
            </w:r>
            <w:r>
              <w:rPr>
                <w:position w:val="2"/>
                <w:sz w:val="24"/>
                <w:vertAlign w:val="baseline"/>
              </w:rPr>
              <w:t>）。</w:t>
            </w:r>
            <w:r>
              <w:rPr>
                <w:b/>
                <w:sz w:val="24"/>
                <w:vertAlign w:val="baseline"/>
              </w:rPr>
              <w:t>破碎：</w:t>
            </w:r>
            <w:r>
              <w:rPr>
                <w:sz w:val="24"/>
                <w:vertAlign w:val="baseline"/>
              </w:rPr>
              <w:t>不合格品经破碎机破碎成片状后，回用生产。</w:t>
            </w:r>
          </w:p>
          <w:p>
            <w:pPr>
              <w:pStyle w:val="TableParagraph"/>
              <w:spacing w:before="4"/>
              <w:ind w:left="592"/>
              <w:rPr>
                <w:b/>
                <w:sz w:val="24"/>
              </w:rPr>
            </w:pPr>
            <w:r>
              <w:rPr>
                <w:b/>
                <w:sz w:val="24"/>
              </w:rPr>
              <w:t>（</w:t>
            </w:r>
            <w:r>
              <w:rPr>
                <w:rFonts w:ascii="Times New Roman" w:eastAsia="Times New Roman"/>
                <w:b/>
                <w:sz w:val="24"/>
              </w:rPr>
              <w:t>3</w:t>
            </w:r>
            <w:r>
              <w:rPr>
                <w:b/>
                <w:sz w:val="24"/>
              </w:rPr>
              <w:t>）主要污染工序</w:t>
            </w:r>
          </w:p>
          <w:p>
            <w:pPr>
              <w:pStyle w:val="TableParagraph"/>
              <w:spacing w:before="160" w:line="362" w:lineRule="auto"/>
              <w:ind w:left="112" w:right="86" w:firstLine="480"/>
              <w:rPr>
                <w:sz w:val="24"/>
              </w:rPr>
            </w:pPr>
            <w:r>
              <w:rPr>
                <w:sz w:val="24"/>
              </w:rPr>
              <w:t>本项目对环境产生影响的因素主要为废气、废水、噪声、固废，产污环节见下表。</w:t>
            </w:r>
          </w:p>
          <w:p>
            <w:pPr>
              <w:pStyle w:val="TableParagraph"/>
              <w:spacing w:before="5"/>
              <w:ind w:left="2373"/>
              <w:rPr>
                <w:b/>
                <w:sz w:val="24"/>
              </w:rPr>
            </w:pPr>
            <w:r>
              <w:rPr>
                <w:b/>
                <w:sz w:val="24"/>
              </w:rPr>
              <w:t xml:space="preserve">表 </w:t>
            </w:r>
            <w:r>
              <w:rPr>
                <w:rFonts w:ascii="Times New Roman" w:eastAsia="Times New Roman"/>
                <w:b/>
                <w:sz w:val="24"/>
              </w:rPr>
              <w:t xml:space="preserve">16 </w:t>
            </w:r>
            <w:r>
              <w:rPr>
                <w:b/>
                <w:sz w:val="24"/>
              </w:rPr>
              <w:t>污染源与污染因子识别表</w:t>
            </w:r>
          </w:p>
        </w:tc>
      </w:tr>
      <w:tr>
        <w:tblPrEx>
          <w:tblW w:w="0" w:type="auto"/>
          <w:tblInd w:w="222" w:type="dxa"/>
          <w:tblLayout w:type="fixed"/>
          <w:tblCellMar>
            <w:top w:w="0" w:type="dxa"/>
            <w:left w:w="0" w:type="dxa"/>
            <w:bottom w:w="0" w:type="dxa"/>
            <w:right w:w="0" w:type="dxa"/>
          </w:tblCellMar>
        </w:tblPrEx>
        <w:trPr>
          <w:trHeight w:val="3279"/>
        </w:trPr>
        <w:tc>
          <w:tcPr>
            <w:tcW w:w="895" w:type="dxa"/>
            <w:tcBorders>
              <w:top w:val="single" w:sz="4" w:space="0" w:color="000000"/>
              <w:right w:val="single" w:sz="4" w:space="0" w:color="000000"/>
            </w:tcBorders>
          </w:tcPr>
          <w:p>
            <w:pPr>
              <w:pStyle w:val="TableParagraph"/>
              <w:rPr>
                <w:b/>
                <w:sz w:val="24"/>
              </w:rPr>
            </w:pPr>
          </w:p>
          <w:p>
            <w:pPr>
              <w:pStyle w:val="TableParagraph"/>
              <w:spacing w:before="12"/>
              <w:rPr>
                <w:b/>
                <w:sz w:val="18"/>
              </w:rPr>
            </w:pPr>
          </w:p>
          <w:p>
            <w:pPr>
              <w:pStyle w:val="TableParagraph"/>
              <w:spacing w:line="242" w:lineRule="auto"/>
              <w:ind w:left="206" w:right="193"/>
              <w:jc w:val="both"/>
              <w:rPr>
                <w:sz w:val="24"/>
              </w:rPr>
            </w:pPr>
            <w:r>
              <w:rPr>
                <w:sz w:val="24"/>
              </w:rPr>
              <w:t>与项目有关的原有环境污染问题</w:t>
            </w:r>
          </w:p>
        </w:tc>
        <w:tc>
          <w:tcPr>
            <w:tcW w:w="8347" w:type="dxa"/>
            <w:tcBorders>
              <w:top w:val="single" w:sz="4" w:space="0" w:color="000000"/>
              <w:left w:val="single" w:sz="4" w:space="0" w:color="000000"/>
            </w:tcBorders>
          </w:tcPr>
          <w:p>
            <w:pPr>
              <w:pStyle w:val="TableParagraph"/>
              <w:rPr>
                <w:b/>
                <w:sz w:val="26"/>
              </w:rPr>
            </w:pPr>
          </w:p>
          <w:p>
            <w:pPr>
              <w:pStyle w:val="TableParagraph"/>
              <w:rPr>
                <w:b/>
                <w:sz w:val="26"/>
              </w:rPr>
            </w:pPr>
          </w:p>
          <w:p>
            <w:pPr>
              <w:pStyle w:val="TableParagraph"/>
              <w:spacing w:before="3"/>
              <w:rPr>
                <w:b/>
                <w:sz w:val="21"/>
              </w:rPr>
            </w:pPr>
          </w:p>
          <w:p>
            <w:pPr>
              <w:pStyle w:val="TableParagraph"/>
              <w:spacing w:line="364" w:lineRule="auto"/>
              <w:ind w:left="112" w:right="297" w:firstLine="480"/>
              <w:rPr>
                <w:sz w:val="24"/>
              </w:rPr>
            </w:pPr>
            <w:r>
              <w:rPr>
                <w:sz w:val="24"/>
              </w:rPr>
              <w:t xml:space="preserve">本项目为新建项目，租赁现有生产车间进行建设，生产设备等尚未购 </w:t>
            </w:r>
            <w:r>
              <w:rPr>
                <w:spacing w:val="-1"/>
                <w:sz w:val="24"/>
              </w:rPr>
              <w:t>置，因此，不存在与本项目有关的原有污染情况和主要环境问题。本项目现</w:t>
            </w:r>
            <w:r>
              <w:rPr>
                <w:spacing w:val="-9"/>
                <w:sz w:val="24"/>
              </w:rPr>
              <w:t xml:space="preserve">状情况见附图 </w:t>
            </w:r>
            <w:r>
              <w:rPr>
                <w:rFonts w:ascii="Times New Roman" w:eastAsia="Times New Roman"/>
                <w:sz w:val="24"/>
              </w:rPr>
              <w:t>6-</w:t>
            </w:r>
            <w:r>
              <w:rPr>
                <w:sz w:val="24"/>
              </w:rPr>
              <w:t>项目现场照片。</w:t>
            </w:r>
          </w:p>
        </w:tc>
      </w:tr>
    </w:tbl>
    <w:p>
      <w:pPr>
        <w:rPr>
          <w:sz w:val="2"/>
          <w:szCs w:val="2"/>
        </w:rPr>
      </w:pPr>
      <w:r>
        <w:pict>
          <v:shape id="_x0000_s1034" o:spid="_x0000_s1033" type="#_x0000_t202" style="width:406.65pt;height:347.85pt;margin-top:228.65pt;margin-left:116.8pt;mso-height-relative:page;mso-position-horizontal-relative:page;mso-position-vertical-relative:page;mso-width-relative:page;position:absolute;z-index:251667456"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68"/>
                    <w:gridCol w:w="1046"/>
                    <w:gridCol w:w="1694"/>
                    <w:gridCol w:w="1640"/>
                    <w:gridCol w:w="2970"/>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4"/>
                    </w:trPr>
                    <w:tc>
                      <w:tcPr>
                        <w:tcW w:w="768" w:type="dxa"/>
                      </w:tcPr>
                      <w:p>
                        <w:pPr>
                          <w:pStyle w:val="TableParagraph"/>
                          <w:spacing w:before="1"/>
                          <w:ind w:left="171"/>
                          <w:rPr>
                            <w:b/>
                            <w:sz w:val="21"/>
                          </w:rPr>
                        </w:pPr>
                        <w:r>
                          <w:rPr>
                            <w:b/>
                            <w:w w:val="95"/>
                            <w:sz w:val="21"/>
                          </w:rPr>
                          <w:t>污染</w:t>
                        </w:r>
                      </w:p>
                      <w:p>
                        <w:pPr>
                          <w:pStyle w:val="TableParagraph"/>
                          <w:spacing w:before="2" w:line="252" w:lineRule="exact"/>
                          <w:ind w:left="171"/>
                          <w:rPr>
                            <w:b/>
                            <w:sz w:val="21"/>
                          </w:rPr>
                        </w:pPr>
                        <w:r>
                          <w:rPr>
                            <w:b/>
                            <w:w w:val="95"/>
                            <w:sz w:val="21"/>
                          </w:rPr>
                          <w:t>因素</w:t>
                        </w:r>
                      </w:p>
                    </w:tc>
                    <w:tc>
                      <w:tcPr>
                        <w:tcW w:w="1046" w:type="dxa"/>
                      </w:tcPr>
                      <w:p>
                        <w:pPr>
                          <w:pStyle w:val="TableParagraph"/>
                          <w:spacing w:before="135"/>
                          <w:ind w:right="303"/>
                          <w:jc w:val="right"/>
                          <w:rPr>
                            <w:b/>
                            <w:sz w:val="21"/>
                          </w:rPr>
                        </w:pPr>
                        <w:r>
                          <w:rPr>
                            <w:b/>
                            <w:w w:val="95"/>
                            <w:sz w:val="21"/>
                          </w:rPr>
                          <w:t>序号</w:t>
                        </w:r>
                      </w:p>
                    </w:tc>
                    <w:tc>
                      <w:tcPr>
                        <w:tcW w:w="1694" w:type="dxa"/>
                      </w:tcPr>
                      <w:p>
                        <w:pPr>
                          <w:pStyle w:val="TableParagraph"/>
                          <w:spacing w:before="135"/>
                          <w:ind w:left="403" w:right="397"/>
                          <w:jc w:val="center"/>
                          <w:rPr>
                            <w:b/>
                            <w:sz w:val="21"/>
                          </w:rPr>
                        </w:pPr>
                        <w:r>
                          <w:rPr>
                            <w:b/>
                            <w:sz w:val="21"/>
                          </w:rPr>
                          <w:t>产生环节</w:t>
                        </w:r>
                      </w:p>
                    </w:tc>
                    <w:tc>
                      <w:tcPr>
                        <w:tcW w:w="1640" w:type="dxa"/>
                      </w:tcPr>
                      <w:p>
                        <w:pPr>
                          <w:pStyle w:val="TableParagraph"/>
                          <w:spacing w:before="135"/>
                          <w:ind w:left="168" w:right="160"/>
                          <w:jc w:val="center"/>
                          <w:rPr>
                            <w:b/>
                            <w:sz w:val="21"/>
                          </w:rPr>
                        </w:pPr>
                        <w:r>
                          <w:rPr>
                            <w:b/>
                            <w:sz w:val="21"/>
                          </w:rPr>
                          <w:t>污染因子</w:t>
                        </w:r>
                      </w:p>
                    </w:tc>
                    <w:tc>
                      <w:tcPr>
                        <w:tcW w:w="2970" w:type="dxa"/>
                      </w:tcPr>
                      <w:p>
                        <w:pPr>
                          <w:pStyle w:val="TableParagraph"/>
                          <w:spacing w:before="135"/>
                          <w:ind w:left="111" w:right="105"/>
                          <w:jc w:val="center"/>
                          <w:rPr>
                            <w:b/>
                            <w:sz w:val="21"/>
                          </w:rPr>
                        </w:pPr>
                        <w:r>
                          <w:rPr>
                            <w:b/>
                            <w:sz w:val="21"/>
                          </w:rPr>
                          <w:t>排放去向</w:t>
                        </w:r>
                      </w:p>
                    </w:tc>
                  </w:tr>
                  <w:tr>
                    <w:tblPrEx>
                      <w:tblW w:w="0" w:type="auto"/>
                      <w:tblInd w:w="5" w:type="dxa"/>
                      <w:tblLayout w:type="fixed"/>
                      <w:tblCellMar>
                        <w:top w:w="0" w:type="dxa"/>
                        <w:left w:w="0" w:type="dxa"/>
                        <w:bottom w:w="0" w:type="dxa"/>
                        <w:right w:w="0" w:type="dxa"/>
                      </w:tblCellMar>
                    </w:tblPrEx>
                    <w:trPr>
                      <w:trHeight w:val="454"/>
                    </w:trPr>
                    <w:tc>
                      <w:tcPr>
                        <w:tcW w:w="768" w:type="dxa"/>
                        <w:vMerge w:val="restart"/>
                      </w:tcPr>
                      <w:p>
                        <w:pPr>
                          <w:pStyle w:val="TableParagraph"/>
                          <w:spacing w:before="2"/>
                          <w:rPr>
                            <w:b/>
                            <w:sz w:val="25"/>
                          </w:rPr>
                        </w:pPr>
                      </w:p>
                      <w:p>
                        <w:pPr>
                          <w:pStyle w:val="TableParagraph"/>
                          <w:ind w:left="173"/>
                          <w:rPr>
                            <w:sz w:val="21"/>
                          </w:rPr>
                        </w:pPr>
                        <w:r>
                          <w:rPr>
                            <w:sz w:val="21"/>
                          </w:rPr>
                          <w:t>废气</w:t>
                        </w:r>
                      </w:p>
                    </w:tc>
                    <w:tc>
                      <w:tcPr>
                        <w:tcW w:w="1046" w:type="dxa"/>
                      </w:tcPr>
                      <w:p>
                        <w:pPr>
                          <w:pStyle w:val="TableParagraph"/>
                          <w:spacing w:before="103"/>
                          <w:ind w:left="391" w:right="385"/>
                          <w:jc w:val="center"/>
                          <w:rPr>
                            <w:rFonts w:ascii="Times New Roman"/>
                            <w:sz w:val="21"/>
                          </w:rPr>
                        </w:pPr>
                        <w:r>
                          <w:rPr>
                            <w:rFonts w:ascii="Times New Roman"/>
                            <w:position w:val="2"/>
                            <w:sz w:val="21"/>
                          </w:rPr>
                          <w:t>G</w:t>
                        </w:r>
                        <w:r>
                          <w:rPr>
                            <w:rFonts w:ascii="Times New Roman"/>
                            <w:position w:val="2"/>
                            <w:sz w:val="21"/>
                            <w:vertAlign w:val="subscript"/>
                          </w:rPr>
                          <w:t>1</w:t>
                        </w:r>
                      </w:p>
                    </w:tc>
                    <w:tc>
                      <w:tcPr>
                        <w:tcW w:w="1694" w:type="dxa"/>
                      </w:tcPr>
                      <w:p>
                        <w:pPr>
                          <w:pStyle w:val="TableParagraph"/>
                          <w:spacing w:before="90"/>
                          <w:ind w:left="403" w:right="397"/>
                          <w:jc w:val="center"/>
                          <w:rPr>
                            <w:sz w:val="21"/>
                          </w:rPr>
                        </w:pPr>
                        <w:r>
                          <w:rPr>
                            <w:sz w:val="21"/>
                          </w:rPr>
                          <w:t>熔融工序</w:t>
                        </w:r>
                      </w:p>
                    </w:tc>
                    <w:tc>
                      <w:tcPr>
                        <w:tcW w:w="1640" w:type="dxa"/>
                        <w:vMerge w:val="restart"/>
                      </w:tcPr>
                      <w:p>
                        <w:pPr>
                          <w:pStyle w:val="TableParagraph"/>
                          <w:spacing w:before="3"/>
                          <w:rPr>
                            <w:b/>
                            <w:sz w:val="26"/>
                          </w:rPr>
                        </w:pPr>
                      </w:p>
                      <w:p>
                        <w:pPr>
                          <w:pStyle w:val="TableParagraph"/>
                          <w:spacing w:before="1"/>
                          <w:ind w:left="167" w:right="162"/>
                          <w:jc w:val="center"/>
                          <w:rPr>
                            <w:rFonts w:ascii="Times New Roman"/>
                            <w:sz w:val="21"/>
                          </w:rPr>
                        </w:pPr>
                        <w:r>
                          <w:rPr>
                            <w:rFonts w:ascii="Times New Roman"/>
                            <w:sz w:val="21"/>
                          </w:rPr>
                          <w:t>VOCs</w:t>
                        </w:r>
                      </w:p>
                    </w:tc>
                    <w:tc>
                      <w:tcPr>
                        <w:tcW w:w="2970" w:type="dxa"/>
                        <w:vMerge w:val="restart"/>
                      </w:tcPr>
                      <w:p>
                        <w:pPr>
                          <w:pStyle w:val="TableParagraph"/>
                          <w:spacing w:before="52" w:line="242" w:lineRule="auto"/>
                          <w:ind w:left="111" w:right="105"/>
                          <w:jc w:val="center"/>
                          <w:rPr>
                            <w:sz w:val="21"/>
                          </w:rPr>
                        </w:pPr>
                        <w:r>
                          <w:rPr>
                            <w:w w:val="95"/>
                            <w:sz w:val="21"/>
                          </w:rPr>
                          <w:t>经收集后引入</w:t>
                        </w:r>
                        <w:r>
                          <w:rPr>
                            <w:rFonts w:ascii="Times New Roman" w:eastAsia="Times New Roman"/>
                            <w:w w:val="95"/>
                            <w:sz w:val="21"/>
                          </w:rPr>
                          <w:t>1</w:t>
                        </w:r>
                        <w:r>
                          <w:rPr>
                            <w:w w:val="95"/>
                            <w:sz w:val="21"/>
                          </w:rPr>
                          <w:t>套过滤棉</w:t>
                        </w:r>
                        <w:r>
                          <w:rPr>
                            <w:rFonts w:ascii="Times New Roman" w:eastAsia="Times New Roman"/>
                            <w:w w:val="95"/>
                            <w:sz w:val="21"/>
                          </w:rPr>
                          <w:t>+</w:t>
                        </w:r>
                        <w:r>
                          <w:rPr>
                            <w:w w:val="95"/>
                            <w:sz w:val="21"/>
                          </w:rPr>
                          <w:t>活性</w:t>
                        </w:r>
                        <w:r>
                          <w:rPr>
                            <w:sz w:val="21"/>
                          </w:rPr>
                          <w:t>炭吸附装置处理后经</w:t>
                        </w:r>
                        <w:r>
                          <w:rPr>
                            <w:rFonts w:ascii="Times New Roman" w:eastAsia="Times New Roman"/>
                            <w:sz w:val="21"/>
                          </w:rPr>
                          <w:t>1</w:t>
                        </w:r>
                        <w:r>
                          <w:rPr>
                            <w:sz w:val="21"/>
                          </w:rPr>
                          <w:t>根</w:t>
                        </w:r>
                        <w:r>
                          <w:rPr>
                            <w:rFonts w:ascii="Times New Roman" w:eastAsia="Times New Roman"/>
                            <w:sz w:val="21"/>
                          </w:rPr>
                          <w:t xml:space="preserve">15m </w:t>
                        </w:r>
                        <w:r>
                          <w:rPr>
                            <w:sz w:val="21"/>
                          </w:rPr>
                          <w:t>高排气筒</w:t>
                        </w:r>
                        <w:r>
                          <w:rPr>
                            <w:rFonts w:ascii="Times New Roman" w:eastAsia="Times New Roman"/>
                            <w:sz w:val="21"/>
                          </w:rPr>
                          <w:t>DA001</w:t>
                        </w:r>
                        <w:r>
                          <w:rPr>
                            <w:sz w:val="21"/>
                          </w:rPr>
                          <w:t>排放</w:t>
                        </w:r>
                      </w:p>
                    </w:tc>
                  </w:tr>
                  <w:tr>
                    <w:tblPrEx>
                      <w:tblW w:w="0" w:type="auto"/>
                      <w:tblInd w:w="5" w:type="dxa"/>
                      <w:tblLayout w:type="fixed"/>
                      <w:tblCellMar>
                        <w:top w:w="0" w:type="dxa"/>
                        <w:left w:w="0" w:type="dxa"/>
                        <w:bottom w:w="0" w:type="dxa"/>
                        <w:right w:w="0" w:type="dxa"/>
                      </w:tblCellMar>
                    </w:tblPrEx>
                    <w:trPr>
                      <w:trHeight w:val="453"/>
                    </w:trPr>
                    <w:tc>
                      <w:tcPr>
                        <w:tcW w:w="768" w:type="dxa"/>
                        <w:vMerge/>
                        <w:tcBorders>
                          <w:top w:val="nil"/>
                        </w:tcBorders>
                      </w:tcPr>
                      <w:p>
                        <w:pPr>
                          <w:rPr>
                            <w:sz w:val="2"/>
                            <w:szCs w:val="2"/>
                          </w:rPr>
                        </w:pPr>
                      </w:p>
                    </w:tc>
                    <w:tc>
                      <w:tcPr>
                        <w:tcW w:w="1046" w:type="dxa"/>
                      </w:tcPr>
                      <w:p>
                        <w:pPr>
                          <w:pStyle w:val="TableParagraph"/>
                          <w:spacing w:before="102"/>
                          <w:ind w:left="391" w:right="385"/>
                          <w:jc w:val="center"/>
                          <w:rPr>
                            <w:rFonts w:ascii="Times New Roman"/>
                            <w:sz w:val="21"/>
                          </w:rPr>
                        </w:pPr>
                        <w:r>
                          <w:rPr>
                            <w:rFonts w:ascii="Times New Roman"/>
                            <w:position w:val="2"/>
                            <w:sz w:val="21"/>
                          </w:rPr>
                          <w:t>G</w:t>
                        </w:r>
                        <w:r>
                          <w:rPr>
                            <w:rFonts w:ascii="Times New Roman"/>
                            <w:position w:val="2"/>
                            <w:sz w:val="21"/>
                            <w:vertAlign w:val="subscript"/>
                          </w:rPr>
                          <w:t>2</w:t>
                        </w:r>
                      </w:p>
                    </w:tc>
                    <w:tc>
                      <w:tcPr>
                        <w:tcW w:w="1694" w:type="dxa"/>
                      </w:tcPr>
                      <w:p>
                        <w:pPr>
                          <w:pStyle w:val="TableParagraph"/>
                          <w:spacing w:before="91"/>
                          <w:ind w:left="403" w:right="397"/>
                          <w:jc w:val="center"/>
                          <w:rPr>
                            <w:sz w:val="21"/>
                          </w:rPr>
                        </w:pPr>
                        <w:r>
                          <w:rPr>
                            <w:sz w:val="21"/>
                          </w:rPr>
                          <w:t>挤出工序</w:t>
                        </w:r>
                      </w:p>
                    </w:tc>
                    <w:tc>
                      <w:tcPr>
                        <w:tcW w:w="1640" w:type="dxa"/>
                        <w:vMerge/>
                        <w:tcBorders>
                          <w:top w:val="nil"/>
                        </w:tcBorders>
                      </w:tcPr>
                      <w:p>
                        <w:pPr>
                          <w:rPr>
                            <w:sz w:val="2"/>
                            <w:szCs w:val="2"/>
                          </w:rPr>
                        </w:pPr>
                      </w:p>
                    </w:tc>
                    <w:tc>
                      <w:tcPr>
                        <w:tcW w:w="297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816"/>
                    </w:trPr>
                    <w:tc>
                      <w:tcPr>
                        <w:tcW w:w="768" w:type="dxa"/>
                        <w:vMerge w:val="restart"/>
                      </w:tcPr>
                      <w:p>
                        <w:pPr>
                          <w:pStyle w:val="TableParagraph"/>
                          <w:rPr>
                            <w:b/>
                            <w:sz w:val="20"/>
                          </w:rPr>
                        </w:pPr>
                      </w:p>
                      <w:p>
                        <w:pPr>
                          <w:pStyle w:val="TableParagraph"/>
                          <w:spacing w:before="11"/>
                          <w:rPr>
                            <w:b/>
                            <w:sz w:val="22"/>
                          </w:rPr>
                        </w:pPr>
                      </w:p>
                      <w:p>
                        <w:pPr>
                          <w:pStyle w:val="TableParagraph"/>
                          <w:ind w:left="173"/>
                          <w:rPr>
                            <w:sz w:val="21"/>
                          </w:rPr>
                        </w:pPr>
                        <w:r>
                          <w:rPr>
                            <w:sz w:val="21"/>
                          </w:rPr>
                          <w:t>废水</w:t>
                        </w:r>
                      </w:p>
                    </w:tc>
                    <w:tc>
                      <w:tcPr>
                        <w:tcW w:w="1046" w:type="dxa"/>
                      </w:tcPr>
                      <w:p>
                        <w:pPr>
                          <w:pStyle w:val="TableParagraph"/>
                          <w:spacing w:before="5"/>
                          <w:rPr>
                            <w:b/>
                            <w:sz w:val="22"/>
                          </w:rPr>
                        </w:pPr>
                      </w:p>
                      <w:p>
                        <w:pPr>
                          <w:pStyle w:val="TableParagraph"/>
                          <w:ind w:left="391" w:right="384"/>
                          <w:jc w:val="center"/>
                          <w:rPr>
                            <w:rFonts w:ascii="Times New Roman"/>
                            <w:sz w:val="21"/>
                          </w:rPr>
                        </w:pPr>
                        <w:r>
                          <w:rPr>
                            <w:rFonts w:ascii="Times New Roman"/>
                            <w:sz w:val="21"/>
                          </w:rPr>
                          <w:t>--</w:t>
                        </w:r>
                      </w:p>
                    </w:tc>
                    <w:tc>
                      <w:tcPr>
                        <w:tcW w:w="1694" w:type="dxa"/>
                      </w:tcPr>
                      <w:p>
                        <w:pPr>
                          <w:pStyle w:val="TableParagraph"/>
                          <w:spacing w:before="4"/>
                          <w:rPr>
                            <w:b/>
                            <w:sz w:val="21"/>
                          </w:rPr>
                        </w:pPr>
                      </w:p>
                      <w:p>
                        <w:pPr>
                          <w:pStyle w:val="TableParagraph"/>
                          <w:ind w:left="403" w:right="397"/>
                          <w:jc w:val="center"/>
                          <w:rPr>
                            <w:sz w:val="21"/>
                          </w:rPr>
                        </w:pPr>
                        <w:r>
                          <w:rPr>
                            <w:sz w:val="21"/>
                          </w:rPr>
                          <w:t>生活污水</w:t>
                        </w:r>
                      </w:p>
                    </w:tc>
                    <w:tc>
                      <w:tcPr>
                        <w:tcW w:w="1640" w:type="dxa"/>
                      </w:tcPr>
                      <w:p>
                        <w:pPr>
                          <w:pStyle w:val="TableParagraph"/>
                          <w:spacing w:before="150"/>
                          <w:ind w:left="417" w:right="409" w:firstLine="180"/>
                          <w:rPr>
                            <w:sz w:val="21"/>
                          </w:rPr>
                        </w:pPr>
                        <w:r>
                          <w:rPr>
                            <w:rFonts w:ascii="Times New Roman" w:eastAsia="Times New Roman"/>
                            <w:sz w:val="21"/>
                          </w:rPr>
                          <w:t xml:space="preserve">COD </w:t>
                        </w:r>
                        <w:r>
                          <w:rPr>
                            <w:rFonts w:ascii="Times New Roman" w:eastAsia="Times New Roman"/>
                            <w:position w:val="2"/>
                            <w:sz w:val="21"/>
                          </w:rPr>
                          <w:t>NH</w:t>
                        </w:r>
                        <w:r>
                          <w:rPr>
                            <w:rFonts w:ascii="Times New Roman" w:eastAsia="Times New Roman"/>
                            <w:position w:val="2"/>
                            <w:sz w:val="21"/>
                            <w:vertAlign w:val="subscript"/>
                          </w:rPr>
                          <w:t>3</w:t>
                        </w:r>
                        <w:r>
                          <w:rPr>
                            <w:rFonts w:ascii="Times New Roman" w:eastAsia="Times New Roman"/>
                            <w:position w:val="2"/>
                            <w:sz w:val="21"/>
                            <w:vertAlign w:val="baseline"/>
                          </w:rPr>
                          <w:t>-N</w:t>
                        </w:r>
                        <w:r>
                          <w:rPr>
                            <w:position w:val="2"/>
                            <w:sz w:val="21"/>
                            <w:vertAlign w:val="baseline"/>
                          </w:rPr>
                          <w:t>等</w:t>
                        </w:r>
                      </w:p>
                    </w:tc>
                    <w:tc>
                      <w:tcPr>
                        <w:tcW w:w="2970" w:type="dxa"/>
                      </w:tcPr>
                      <w:p>
                        <w:pPr>
                          <w:pStyle w:val="TableParagraph"/>
                          <w:spacing w:before="1" w:line="270" w:lineRule="atLeast"/>
                          <w:ind w:left="118" w:right="110"/>
                          <w:jc w:val="center"/>
                          <w:rPr>
                            <w:sz w:val="21"/>
                          </w:rPr>
                        </w:pPr>
                        <w:r>
                          <w:rPr>
                            <w:w w:val="95"/>
                            <w:sz w:val="21"/>
                          </w:rPr>
                          <w:t>经化粪池处理后，通过市政管网排入宁津县嘉诚水质净化有</w:t>
                        </w:r>
                        <w:r>
                          <w:rPr>
                            <w:sz w:val="21"/>
                          </w:rPr>
                          <w:t>限公司深度处理后排放</w:t>
                        </w:r>
                      </w:p>
                    </w:tc>
                  </w:tr>
                  <w:tr>
                    <w:tblPrEx>
                      <w:tblW w:w="0" w:type="auto"/>
                      <w:tblInd w:w="5" w:type="dxa"/>
                      <w:tblLayout w:type="fixed"/>
                      <w:tblCellMar>
                        <w:top w:w="0" w:type="dxa"/>
                        <w:left w:w="0" w:type="dxa"/>
                        <w:bottom w:w="0" w:type="dxa"/>
                        <w:right w:w="0" w:type="dxa"/>
                      </w:tblCellMar>
                    </w:tblPrEx>
                    <w:trPr>
                      <w:trHeight w:val="545"/>
                    </w:trPr>
                    <w:tc>
                      <w:tcPr>
                        <w:tcW w:w="768" w:type="dxa"/>
                        <w:vMerge/>
                        <w:tcBorders>
                          <w:top w:val="nil"/>
                        </w:tcBorders>
                      </w:tcPr>
                      <w:p>
                        <w:pPr>
                          <w:rPr>
                            <w:sz w:val="2"/>
                            <w:szCs w:val="2"/>
                          </w:rPr>
                        </w:pPr>
                      </w:p>
                    </w:tc>
                    <w:tc>
                      <w:tcPr>
                        <w:tcW w:w="1046" w:type="dxa"/>
                      </w:tcPr>
                      <w:p>
                        <w:pPr>
                          <w:pStyle w:val="TableParagraph"/>
                          <w:spacing w:before="132"/>
                          <w:ind w:left="391" w:right="384"/>
                          <w:jc w:val="center"/>
                          <w:rPr>
                            <w:rFonts w:ascii="Times New Roman"/>
                            <w:sz w:val="21"/>
                          </w:rPr>
                        </w:pPr>
                        <w:r>
                          <w:rPr>
                            <w:rFonts w:ascii="Times New Roman"/>
                            <w:sz w:val="21"/>
                          </w:rPr>
                          <w:t>--</w:t>
                        </w:r>
                      </w:p>
                    </w:tc>
                    <w:tc>
                      <w:tcPr>
                        <w:tcW w:w="1694" w:type="dxa"/>
                      </w:tcPr>
                      <w:p>
                        <w:pPr>
                          <w:pStyle w:val="TableParagraph"/>
                          <w:spacing w:before="135"/>
                          <w:ind w:left="403" w:right="397"/>
                          <w:jc w:val="center"/>
                          <w:rPr>
                            <w:sz w:val="21"/>
                          </w:rPr>
                        </w:pPr>
                        <w:r>
                          <w:rPr>
                            <w:sz w:val="21"/>
                          </w:rPr>
                          <w:t>冷却用水</w:t>
                        </w:r>
                      </w:p>
                    </w:tc>
                    <w:tc>
                      <w:tcPr>
                        <w:tcW w:w="1640" w:type="dxa"/>
                      </w:tcPr>
                      <w:p>
                        <w:pPr>
                          <w:pStyle w:val="TableParagraph"/>
                          <w:spacing w:before="151"/>
                          <w:ind w:left="11"/>
                          <w:jc w:val="center"/>
                          <w:rPr>
                            <w:rFonts w:ascii="Times New Roman"/>
                            <w:sz w:val="21"/>
                          </w:rPr>
                        </w:pPr>
                        <w:r>
                          <w:rPr>
                            <w:rFonts w:ascii="Times New Roman"/>
                            <w:w w:val="99"/>
                            <w:sz w:val="21"/>
                          </w:rPr>
                          <w:t>/</w:t>
                        </w:r>
                      </w:p>
                    </w:tc>
                    <w:tc>
                      <w:tcPr>
                        <w:tcW w:w="2970" w:type="dxa"/>
                      </w:tcPr>
                      <w:p>
                        <w:pPr>
                          <w:pStyle w:val="TableParagraph"/>
                          <w:spacing w:before="1"/>
                          <w:ind w:left="98" w:right="92"/>
                          <w:jc w:val="center"/>
                          <w:rPr>
                            <w:sz w:val="21"/>
                          </w:rPr>
                        </w:pPr>
                        <w:r>
                          <w:rPr>
                            <w:sz w:val="21"/>
                          </w:rPr>
                          <w:t>循环使用，定期补充损耗，不</w:t>
                        </w:r>
                      </w:p>
                      <w:p>
                        <w:pPr>
                          <w:pStyle w:val="TableParagraph"/>
                          <w:spacing w:before="2" w:line="253" w:lineRule="exact"/>
                          <w:ind w:left="111" w:right="103"/>
                          <w:jc w:val="center"/>
                          <w:rPr>
                            <w:sz w:val="21"/>
                          </w:rPr>
                        </w:pPr>
                        <w:r>
                          <w:rPr>
                            <w:sz w:val="21"/>
                          </w:rPr>
                          <w:t>排放</w:t>
                        </w:r>
                      </w:p>
                    </w:tc>
                  </w:tr>
                  <w:tr>
                    <w:tblPrEx>
                      <w:tblW w:w="0" w:type="auto"/>
                      <w:tblInd w:w="5" w:type="dxa"/>
                      <w:tblLayout w:type="fixed"/>
                      <w:tblCellMar>
                        <w:top w:w="0" w:type="dxa"/>
                        <w:left w:w="0" w:type="dxa"/>
                        <w:bottom w:w="0" w:type="dxa"/>
                        <w:right w:w="0" w:type="dxa"/>
                      </w:tblCellMar>
                    </w:tblPrEx>
                    <w:trPr>
                      <w:trHeight w:val="817"/>
                    </w:trPr>
                    <w:tc>
                      <w:tcPr>
                        <w:tcW w:w="768" w:type="dxa"/>
                      </w:tcPr>
                      <w:p>
                        <w:pPr>
                          <w:pStyle w:val="TableParagraph"/>
                          <w:spacing w:before="2"/>
                          <w:rPr>
                            <w:b/>
                            <w:sz w:val="21"/>
                          </w:rPr>
                        </w:pPr>
                      </w:p>
                      <w:p>
                        <w:pPr>
                          <w:pStyle w:val="TableParagraph"/>
                          <w:ind w:left="173"/>
                          <w:rPr>
                            <w:sz w:val="21"/>
                          </w:rPr>
                        </w:pPr>
                        <w:r>
                          <w:rPr>
                            <w:sz w:val="21"/>
                          </w:rPr>
                          <w:t>噪声</w:t>
                        </w:r>
                      </w:p>
                    </w:tc>
                    <w:tc>
                      <w:tcPr>
                        <w:tcW w:w="1046" w:type="dxa"/>
                      </w:tcPr>
                      <w:p>
                        <w:pPr>
                          <w:pStyle w:val="TableParagraph"/>
                          <w:rPr>
                            <w:b/>
                            <w:sz w:val="22"/>
                          </w:rPr>
                        </w:pPr>
                      </w:p>
                      <w:p>
                        <w:pPr>
                          <w:pStyle w:val="TableParagraph"/>
                          <w:ind w:right="234"/>
                          <w:jc w:val="right"/>
                          <w:rPr>
                            <w:rFonts w:ascii="Times New Roman"/>
                            <w:sz w:val="21"/>
                          </w:rPr>
                        </w:pPr>
                        <w:r>
                          <w:rPr>
                            <w:rFonts w:ascii="Times New Roman"/>
                            <w:position w:val="2"/>
                            <w:sz w:val="21"/>
                          </w:rPr>
                          <w:t>N</w:t>
                        </w:r>
                        <w:r>
                          <w:rPr>
                            <w:rFonts w:ascii="Times New Roman"/>
                            <w:position w:val="2"/>
                            <w:sz w:val="21"/>
                            <w:vertAlign w:val="subscript"/>
                          </w:rPr>
                          <w:t>1</w:t>
                        </w:r>
                        <w:r>
                          <w:rPr>
                            <w:rFonts w:ascii="Times New Roman"/>
                            <w:position w:val="2"/>
                            <w:sz w:val="21"/>
                            <w:vertAlign w:val="baseline"/>
                          </w:rPr>
                          <w:t>~N</w:t>
                        </w:r>
                        <w:r>
                          <w:rPr>
                            <w:rFonts w:ascii="Times New Roman"/>
                            <w:position w:val="2"/>
                            <w:sz w:val="21"/>
                            <w:vertAlign w:val="subscript"/>
                          </w:rPr>
                          <w:t>8</w:t>
                        </w:r>
                      </w:p>
                    </w:tc>
                    <w:tc>
                      <w:tcPr>
                        <w:tcW w:w="1694" w:type="dxa"/>
                      </w:tcPr>
                      <w:p>
                        <w:pPr>
                          <w:pStyle w:val="TableParagraph"/>
                          <w:spacing w:before="137" w:line="242" w:lineRule="auto"/>
                          <w:ind w:left="426" w:right="101" w:hanging="315"/>
                          <w:rPr>
                            <w:sz w:val="21"/>
                          </w:rPr>
                        </w:pPr>
                        <w:r>
                          <w:rPr>
                            <w:sz w:val="21"/>
                          </w:rPr>
                          <w:t>设备生产过程产生的噪声</w:t>
                        </w:r>
                      </w:p>
                    </w:tc>
                    <w:tc>
                      <w:tcPr>
                        <w:tcW w:w="1640" w:type="dxa"/>
                      </w:tcPr>
                      <w:p>
                        <w:pPr>
                          <w:pStyle w:val="TableParagraph"/>
                          <w:spacing w:before="2"/>
                          <w:rPr>
                            <w:b/>
                            <w:sz w:val="21"/>
                          </w:rPr>
                        </w:pPr>
                      </w:p>
                      <w:p>
                        <w:pPr>
                          <w:pStyle w:val="TableParagraph"/>
                          <w:ind w:left="168" w:right="160"/>
                          <w:jc w:val="center"/>
                          <w:rPr>
                            <w:sz w:val="21"/>
                          </w:rPr>
                        </w:pPr>
                        <w:r>
                          <w:rPr>
                            <w:sz w:val="21"/>
                          </w:rPr>
                          <w:t>机械噪声</w:t>
                        </w:r>
                      </w:p>
                    </w:tc>
                    <w:tc>
                      <w:tcPr>
                        <w:tcW w:w="2970" w:type="dxa"/>
                      </w:tcPr>
                      <w:p>
                        <w:pPr>
                          <w:pStyle w:val="TableParagraph"/>
                          <w:spacing w:line="242" w:lineRule="auto"/>
                          <w:ind w:left="118" w:right="110"/>
                          <w:jc w:val="center"/>
                          <w:rPr>
                            <w:sz w:val="21"/>
                          </w:rPr>
                        </w:pPr>
                        <w:r>
                          <w:rPr>
                            <w:spacing w:val="-1"/>
                            <w:w w:val="95"/>
                            <w:sz w:val="21"/>
                          </w:rPr>
                          <w:t>选用低噪声设备、加强设备维护、建筑隔声、距离衰减以及</w:t>
                        </w:r>
                      </w:p>
                      <w:p>
                        <w:pPr>
                          <w:pStyle w:val="TableParagraph"/>
                          <w:spacing w:before="1" w:line="252" w:lineRule="exact"/>
                          <w:ind w:left="111" w:right="105"/>
                          <w:jc w:val="center"/>
                          <w:rPr>
                            <w:sz w:val="21"/>
                          </w:rPr>
                        </w:pPr>
                        <w:r>
                          <w:rPr>
                            <w:w w:val="95"/>
                            <w:sz w:val="21"/>
                          </w:rPr>
                          <w:t>风机安装消声器等降噪措施</w:t>
                        </w:r>
                      </w:p>
                    </w:tc>
                  </w:tr>
                  <w:tr>
                    <w:tblPrEx>
                      <w:tblW w:w="0" w:type="auto"/>
                      <w:tblInd w:w="5" w:type="dxa"/>
                      <w:tblLayout w:type="fixed"/>
                      <w:tblCellMar>
                        <w:top w:w="0" w:type="dxa"/>
                        <w:left w:w="0" w:type="dxa"/>
                        <w:bottom w:w="0" w:type="dxa"/>
                        <w:right w:w="0" w:type="dxa"/>
                      </w:tblCellMar>
                    </w:tblPrEx>
                    <w:trPr>
                      <w:trHeight w:val="397"/>
                    </w:trPr>
                    <w:tc>
                      <w:tcPr>
                        <w:tcW w:w="768"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16"/>
                          </w:rPr>
                        </w:pPr>
                      </w:p>
                      <w:p>
                        <w:pPr>
                          <w:pStyle w:val="TableParagraph"/>
                          <w:ind w:left="173"/>
                          <w:rPr>
                            <w:sz w:val="21"/>
                          </w:rPr>
                        </w:pPr>
                        <w:r>
                          <w:rPr>
                            <w:sz w:val="21"/>
                          </w:rPr>
                          <w:t>固废</w:t>
                        </w:r>
                      </w:p>
                    </w:tc>
                    <w:tc>
                      <w:tcPr>
                        <w:tcW w:w="1046" w:type="dxa"/>
                      </w:tcPr>
                      <w:p>
                        <w:pPr>
                          <w:pStyle w:val="TableParagraph"/>
                          <w:spacing w:before="72"/>
                          <w:ind w:left="391" w:right="382"/>
                          <w:jc w:val="center"/>
                          <w:rPr>
                            <w:rFonts w:ascii="Times New Roman"/>
                            <w:sz w:val="21"/>
                          </w:rPr>
                        </w:pPr>
                        <w:r>
                          <w:rPr>
                            <w:rFonts w:ascii="Times New Roman"/>
                            <w:position w:val="2"/>
                            <w:sz w:val="21"/>
                          </w:rPr>
                          <w:t>S</w:t>
                        </w:r>
                        <w:r>
                          <w:rPr>
                            <w:rFonts w:ascii="Times New Roman"/>
                            <w:position w:val="2"/>
                            <w:sz w:val="21"/>
                            <w:vertAlign w:val="subscript"/>
                          </w:rPr>
                          <w:t>1</w:t>
                        </w:r>
                      </w:p>
                    </w:tc>
                    <w:tc>
                      <w:tcPr>
                        <w:tcW w:w="1694" w:type="dxa"/>
                      </w:tcPr>
                      <w:p>
                        <w:pPr>
                          <w:pStyle w:val="TableParagraph"/>
                          <w:spacing w:before="61"/>
                          <w:ind w:left="403" w:right="397"/>
                          <w:jc w:val="center"/>
                          <w:rPr>
                            <w:sz w:val="21"/>
                          </w:rPr>
                        </w:pPr>
                        <w:r>
                          <w:rPr>
                            <w:sz w:val="21"/>
                          </w:rPr>
                          <w:t>调料工序</w:t>
                        </w:r>
                      </w:p>
                    </w:tc>
                    <w:tc>
                      <w:tcPr>
                        <w:tcW w:w="1640" w:type="dxa"/>
                      </w:tcPr>
                      <w:p>
                        <w:pPr>
                          <w:pStyle w:val="TableParagraph"/>
                          <w:spacing w:before="61"/>
                          <w:ind w:left="168" w:right="160"/>
                          <w:jc w:val="center"/>
                          <w:rPr>
                            <w:sz w:val="21"/>
                          </w:rPr>
                        </w:pPr>
                        <w:r>
                          <w:rPr>
                            <w:sz w:val="21"/>
                          </w:rPr>
                          <w:t>废包装物</w:t>
                        </w:r>
                      </w:p>
                    </w:tc>
                    <w:tc>
                      <w:tcPr>
                        <w:tcW w:w="2970" w:type="dxa"/>
                        <w:vMerge w:val="restart"/>
                      </w:tcPr>
                      <w:p>
                        <w:pPr>
                          <w:pStyle w:val="TableParagraph"/>
                          <w:rPr>
                            <w:b/>
                            <w:sz w:val="20"/>
                          </w:rPr>
                        </w:pPr>
                      </w:p>
                      <w:p>
                        <w:pPr>
                          <w:pStyle w:val="TableParagraph"/>
                          <w:spacing w:before="7"/>
                          <w:rPr>
                            <w:b/>
                            <w:sz w:val="16"/>
                          </w:rPr>
                        </w:pPr>
                      </w:p>
                      <w:p>
                        <w:pPr>
                          <w:pStyle w:val="TableParagraph"/>
                          <w:spacing w:before="1"/>
                          <w:ind w:left="855"/>
                          <w:rPr>
                            <w:sz w:val="21"/>
                          </w:rPr>
                        </w:pPr>
                        <w:r>
                          <w:rPr>
                            <w:sz w:val="21"/>
                          </w:rPr>
                          <w:t>外售综合利用</w:t>
                        </w:r>
                      </w:p>
                    </w:tc>
                  </w:tr>
                  <w:tr>
                    <w:tblPrEx>
                      <w:tblW w:w="0" w:type="auto"/>
                      <w:tblInd w:w="5" w:type="dxa"/>
                      <w:tblLayout w:type="fixed"/>
                      <w:tblCellMar>
                        <w:top w:w="0" w:type="dxa"/>
                        <w:left w:w="0" w:type="dxa"/>
                        <w:bottom w:w="0" w:type="dxa"/>
                        <w:right w:w="0" w:type="dxa"/>
                      </w:tblCellMar>
                    </w:tblPrEx>
                    <w:trPr>
                      <w:trHeight w:val="396"/>
                    </w:trPr>
                    <w:tc>
                      <w:tcPr>
                        <w:tcW w:w="768" w:type="dxa"/>
                        <w:vMerge/>
                        <w:tcBorders>
                          <w:top w:val="nil"/>
                        </w:tcBorders>
                      </w:tcPr>
                      <w:p>
                        <w:pPr>
                          <w:rPr>
                            <w:sz w:val="2"/>
                            <w:szCs w:val="2"/>
                          </w:rPr>
                        </w:pPr>
                      </w:p>
                    </w:tc>
                    <w:tc>
                      <w:tcPr>
                        <w:tcW w:w="1046" w:type="dxa"/>
                      </w:tcPr>
                      <w:p>
                        <w:pPr>
                          <w:pStyle w:val="TableParagraph"/>
                          <w:spacing w:before="73"/>
                          <w:ind w:left="391" w:right="382"/>
                          <w:jc w:val="center"/>
                          <w:rPr>
                            <w:rFonts w:ascii="Times New Roman"/>
                            <w:sz w:val="21"/>
                          </w:rPr>
                        </w:pPr>
                        <w:r>
                          <w:rPr>
                            <w:rFonts w:ascii="Times New Roman"/>
                            <w:position w:val="2"/>
                            <w:sz w:val="21"/>
                          </w:rPr>
                          <w:t>S</w:t>
                        </w:r>
                        <w:r>
                          <w:rPr>
                            <w:rFonts w:ascii="Times New Roman"/>
                            <w:position w:val="2"/>
                            <w:sz w:val="21"/>
                            <w:vertAlign w:val="subscript"/>
                          </w:rPr>
                          <w:t>2</w:t>
                        </w:r>
                      </w:p>
                    </w:tc>
                    <w:tc>
                      <w:tcPr>
                        <w:tcW w:w="1694" w:type="dxa"/>
                      </w:tcPr>
                      <w:p>
                        <w:pPr>
                          <w:pStyle w:val="TableParagraph"/>
                          <w:spacing w:before="62"/>
                          <w:ind w:left="403" w:right="397"/>
                          <w:jc w:val="center"/>
                          <w:rPr>
                            <w:sz w:val="21"/>
                          </w:rPr>
                        </w:pPr>
                        <w:r>
                          <w:rPr>
                            <w:sz w:val="21"/>
                          </w:rPr>
                          <w:t>裁板工序</w:t>
                        </w:r>
                      </w:p>
                    </w:tc>
                    <w:tc>
                      <w:tcPr>
                        <w:tcW w:w="1640" w:type="dxa"/>
                      </w:tcPr>
                      <w:p>
                        <w:pPr>
                          <w:pStyle w:val="TableParagraph"/>
                          <w:spacing w:before="62"/>
                          <w:ind w:left="168" w:right="162"/>
                          <w:jc w:val="center"/>
                          <w:rPr>
                            <w:sz w:val="21"/>
                          </w:rPr>
                        </w:pPr>
                        <w:r>
                          <w:rPr>
                            <w:sz w:val="21"/>
                          </w:rPr>
                          <w:t>下脚料及碎屑</w:t>
                        </w:r>
                      </w:p>
                    </w:tc>
                    <w:tc>
                      <w:tcPr>
                        <w:tcW w:w="297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397"/>
                    </w:trPr>
                    <w:tc>
                      <w:tcPr>
                        <w:tcW w:w="768" w:type="dxa"/>
                        <w:vMerge/>
                        <w:tcBorders>
                          <w:top w:val="nil"/>
                        </w:tcBorders>
                      </w:tcPr>
                      <w:p>
                        <w:pPr>
                          <w:rPr>
                            <w:sz w:val="2"/>
                            <w:szCs w:val="2"/>
                          </w:rPr>
                        </w:pPr>
                      </w:p>
                    </w:tc>
                    <w:tc>
                      <w:tcPr>
                        <w:tcW w:w="1046" w:type="dxa"/>
                      </w:tcPr>
                      <w:p>
                        <w:pPr>
                          <w:pStyle w:val="TableParagraph"/>
                          <w:spacing w:before="74"/>
                          <w:ind w:left="391" w:right="382"/>
                          <w:jc w:val="center"/>
                          <w:rPr>
                            <w:rFonts w:ascii="Times New Roman"/>
                            <w:sz w:val="21"/>
                          </w:rPr>
                        </w:pPr>
                        <w:r>
                          <w:rPr>
                            <w:rFonts w:ascii="Times New Roman"/>
                            <w:position w:val="2"/>
                            <w:sz w:val="21"/>
                          </w:rPr>
                          <w:t>S</w:t>
                        </w:r>
                        <w:r>
                          <w:rPr>
                            <w:rFonts w:ascii="Times New Roman"/>
                            <w:position w:val="2"/>
                            <w:sz w:val="21"/>
                            <w:vertAlign w:val="subscript"/>
                          </w:rPr>
                          <w:t>2</w:t>
                        </w:r>
                      </w:p>
                    </w:tc>
                    <w:tc>
                      <w:tcPr>
                        <w:tcW w:w="1694" w:type="dxa"/>
                      </w:tcPr>
                      <w:p>
                        <w:pPr>
                          <w:pStyle w:val="TableParagraph"/>
                          <w:spacing w:before="63"/>
                          <w:ind w:left="403" w:right="397"/>
                          <w:jc w:val="center"/>
                          <w:rPr>
                            <w:sz w:val="21"/>
                          </w:rPr>
                        </w:pPr>
                        <w:r>
                          <w:rPr>
                            <w:sz w:val="21"/>
                          </w:rPr>
                          <w:t>雕刻工序</w:t>
                        </w:r>
                      </w:p>
                    </w:tc>
                    <w:tc>
                      <w:tcPr>
                        <w:tcW w:w="1640" w:type="dxa"/>
                      </w:tcPr>
                      <w:p>
                        <w:pPr>
                          <w:pStyle w:val="TableParagraph"/>
                          <w:spacing w:before="63"/>
                          <w:ind w:left="168" w:right="162"/>
                          <w:jc w:val="center"/>
                          <w:rPr>
                            <w:sz w:val="21"/>
                          </w:rPr>
                        </w:pPr>
                        <w:r>
                          <w:rPr>
                            <w:sz w:val="21"/>
                          </w:rPr>
                          <w:t>下脚料及碎屑</w:t>
                        </w:r>
                      </w:p>
                    </w:tc>
                    <w:tc>
                      <w:tcPr>
                        <w:tcW w:w="297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396"/>
                    </w:trPr>
                    <w:tc>
                      <w:tcPr>
                        <w:tcW w:w="768" w:type="dxa"/>
                        <w:vMerge/>
                        <w:tcBorders>
                          <w:top w:val="nil"/>
                        </w:tcBorders>
                      </w:tcPr>
                      <w:p>
                        <w:pPr>
                          <w:rPr>
                            <w:sz w:val="2"/>
                            <w:szCs w:val="2"/>
                          </w:rPr>
                        </w:pPr>
                      </w:p>
                    </w:tc>
                    <w:tc>
                      <w:tcPr>
                        <w:tcW w:w="1046" w:type="dxa"/>
                      </w:tcPr>
                      <w:p>
                        <w:pPr>
                          <w:pStyle w:val="TableParagraph"/>
                          <w:spacing w:before="72"/>
                          <w:ind w:left="391" w:right="382"/>
                          <w:jc w:val="center"/>
                          <w:rPr>
                            <w:rFonts w:ascii="Times New Roman"/>
                            <w:sz w:val="21"/>
                          </w:rPr>
                        </w:pPr>
                        <w:r>
                          <w:rPr>
                            <w:rFonts w:ascii="Times New Roman"/>
                            <w:position w:val="2"/>
                            <w:sz w:val="21"/>
                          </w:rPr>
                          <w:t>S</w:t>
                        </w:r>
                        <w:r>
                          <w:rPr>
                            <w:rFonts w:ascii="Times New Roman"/>
                            <w:position w:val="2"/>
                            <w:sz w:val="21"/>
                            <w:vertAlign w:val="subscript"/>
                          </w:rPr>
                          <w:t>4</w:t>
                        </w:r>
                      </w:p>
                    </w:tc>
                    <w:tc>
                      <w:tcPr>
                        <w:tcW w:w="1694" w:type="dxa"/>
                      </w:tcPr>
                      <w:p>
                        <w:pPr>
                          <w:pStyle w:val="TableParagraph"/>
                          <w:spacing w:before="61"/>
                          <w:ind w:left="403" w:right="397"/>
                          <w:jc w:val="center"/>
                          <w:rPr>
                            <w:sz w:val="21"/>
                          </w:rPr>
                        </w:pPr>
                        <w:r>
                          <w:rPr>
                            <w:sz w:val="21"/>
                          </w:rPr>
                          <w:t>质检工序</w:t>
                        </w:r>
                      </w:p>
                    </w:tc>
                    <w:tc>
                      <w:tcPr>
                        <w:tcW w:w="1640" w:type="dxa"/>
                      </w:tcPr>
                      <w:p>
                        <w:pPr>
                          <w:pStyle w:val="TableParagraph"/>
                          <w:spacing w:before="61"/>
                          <w:ind w:left="168" w:right="160"/>
                          <w:jc w:val="center"/>
                          <w:rPr>
                            <w:sz w:val="21"/>
                          </w:rPr>
                        </w:pPr>
                        <w:r>
                          <w:rPr>
                            <w:sz w:val="21"/>
                          </w:rPr>
                          <w:t>不合格品</w:t>
                        </w:r>
                      </w:p>
                    </w:tc>
                    <w:tc>
                      <w:tcPr>
                        <w:tcW w:w="2970" w:type="dxa"/>
                      </w:tcPr>
                      <w:p>
                        <w:pPr>
                          <w:pStyle w:val="TableParagraph"/>
                          <w:spacing w:before="61"/>
                          <w:ind w:left="111" w:right="105"/>
                          <w:jc w:val="center"/>
                          <w:rPr>
                            <w:sz w:val="21"/>
                          </w:rPr>
                        </w:pPr>
                        <w:r>
                          <w:rPr>
                            <w:sz w:val="21"/>
                          </w:rPr>
                          <w:t>回用于生产</w:t>
                        </w:r>
                      </w:p>
                    </w:tc>
                  </w:tr>
                  <w:tr>
                    <w:tblPrEx>
                      <w:tblW w:w="0" w:type="auto"/>
                      <w:tblInd w:w="5" w:type="dxa"/>
                      <w:tblLayout w:type="fixed"/>
                      <w:tblCellMar>
                        <w:top w:w="0" w:type="dxa"/>
                        <w:left w:w="0" w:type="dxa"/>
                        <w:bottom w:w="0" w:type="dxa"/>
                        <w:right w:w="0" w:type="dxa"/>
                      </w:tblCellMar>
                    </w:tblPrEx>
                    <w:trPr>
                      <w:trHeight w:val="397"/>
                    </w:trPr>
                    <w:tc>
                      <w:tcPr>
                        <w:tcW w:w="768" w:type="dxa"/>
                        <w:vMerge/>
                        <w:tcBorders>
                          <w:top w:val="nil"/>
                        </w:tcBorders>
                      </w:tcPr>
                      <w:p>
                        <w:pPr>
                          <w:rPr>
                            <w:sz w:val="2"/>
                            <w:szCs w:val="2"/>
                          </w:rPr>
                        </w:pPr>
                      </w:p>
                    </w:tc>
                    <w:tc>
                      <w:tcPr>
                        <w:tcW w:w="1046" w:type="dxa"/>
                        <w:vMerge w:val="restart"/>
                      </w:tcPr>
                      <w:p>
                        <w:pPr>
                          <w:pStyle w:val="TableParagraph"/>
                          <w:spacing w:before="11"/>
                          <w:rPr>
                            <w:b/>
                            <w:sz w:val="21"/>
                          </w:rPr>
                        </w:pPr>
                      </w:p>
                      <w:p>
                        <w:pPr>
                          <w:pStyle w:val="TableParagraph"/>
                          <w:ind w:left="391" w:right="384"/>
                          <w:jc w:val="center"/>
                          <w:rPr>
                            <w:rFonts w:ascii="Times New Roman"/>
                            <w:sz w:val="21"/>
                          </w:rPr>
                        </w:pPr>
                        <w:r>
                          <w:rPr>
                            <w:rFonts w:ascii="Times New Roman"/>
                            <w:sz w:val="21"/>
                          </w:rPr>
                          <w:t>--</w:t>
                        </w:r>
                      </w:p>
                    </w:tc>
                    <w:tc>
                      <w:tcPr>
                        <w:tcW w:w="1694" w:type="dxa"/>
                        <w:vMerge w:val="restart"/>
                      </w:tcPr>
                      <w:p>
                        <w:pPr>
                          <w:pStyle w:val="TableParagraph"/>
                          <w:spacing w:before="8"/>
                          <w:rPr>
                            <w:b/>
                            <w:sz w:val="20"/>
                          </w:rPr>
                        </w:pPr>
                      </w:p>
                      <w:p>
                        <w:pPr>
                          <w:pStyle w:val="TableParagraph"/>
                          <w:ind w:left="217"/>
                          <w:rPr>
                            <w:sz w:val="21"/>
                          </w:rPr>
                        </w:pPr>
                        <w:r>
                          <w:rPr>
                            <w:sz w:val="21"/>
                          </w:rPr>
                          <w:t>废气治理设施</w:t>
                        </w:r>
                      </w:p>
                    </w:tc>
                    <w:tc>
                      <w:tcPr>
                        <w:tcW w:w="1640" w:type="dxa"/>
                      </w:tcPr>
                      <w:p>
                        <w:pPr>
                          <w:pStyle w:val="TableParagraph"/>
                          <w:spacing w:before="62"/>
                          <w:ind w:left="168" w:right="160"/>
                          <w:jc w:val="center"/>
                          <w:rPr>
                            <w:sz w:val="21"/>
                          </w:rPr>
                        </w:pPr>
                        <w:r>
                          <w:rPr>
                            <w:sz w:val="21"/>
                          </w:rPr>
                          <w:t>废过滤棉</w:t>
                        </w:r>
                      </w:p>
                    </w:tc>
                    <w:tc>
                      <w:tcPr>
                        <w:tcW w:w="2970" w:type="dxa"/>
                        <w:vMerge w:val="restart"/>
                      </w:tcPr>
                      <w:p>
                        <w:pPr>
                          <w:pStyle w:val="TableParagraph"/>
                          <w:rPr>
                            <w:b/>
                            <w:sz w:val="26"/>
                          </w:rPr>
                        </w:pPr>
                      </w:p>
                      <w:p>
                        <w:pPr>
                          <w:pStyle w:val="TableParagraph"/>
                          <w:spacing w:before="1" w:line="242" w:lineRule="auto"/>
                          <w:ind w:left="1169" w:right="110" w:hanging="1052"/>
                          <w:rPr>
                            <w:sz w:val="21"/>
                          </w:rPr>
                        </w:pPr>
                        <w:r>
                          <w:rPr>
                            <w:sz w:val="21"/>
                          </w:rPr>
                          <w:t>危废间暂存后，委托有资质单位处理</w:t>
                        </w:r>
                      </w:p>
                    </w:tc>
                  </w:tr>
                  <w:tr>
                    <w:tblPrEx>
                      <w:tblW w:w="0" w:type="auto"/>
                      <w:tblInd w:w="5" w:type="dxa"/>
                      <w:tblLayout w:type="fixed"/>
                      <w:tblCellMar>
                        <w:top w:w="0" w:type="dxa"/>
                        <w:left w:w="0" w:type="dxa"/>
                        <w:bottom w:w="0" w:type="dxa"/>
                        <w:right w:w="0" w:type="dxa"/>
                      </w:tblCellMar>
                    </w:tblPrEx>
                    <w:trPr>
                      <w:trHeight w:val="396"/>
                    </w:trPr>
                    <w:tc>
                      <w:tcPr>
                        <w:tcW w:w="768" w:type="dxa"/>
                        <w:vMerge/>
                        <w:tcBorders>
                          <w:top w:val="nil"/>
                        </w:tcBorders>
                      </w:tcPr>
                      <w:p>
                        <w:pPr>
                          <w:rPr>
                            <w:sz w:val="2"/>
                            <w:szCs w:val="2"/>
                          </w:rPr>
                        </w:pPr>
                      </w:p>
                    </w:tc>
                    <w:tc>
                      <w:tcPr>
                        <w:tcW w:w="1046" w:type="dxa"/>
                        <w:vMerge/>
                        <w:tcBorders>
                          <w:top w:val="nil"/>
                        </w:tcBorders>
                      </w:tcPr>
                      <w:p>
                        <w:pPr>
                          <w:rPr>
                            <w:sz w:val="2"/>
                            <w:szCs w:val="2"/>
                          </w:rPr>
                        </w:pPr>
                      </w:p>
                    </w:tc>
                    <w:tc>
                      <w:tcPr>
                        <w:tcW w:w="1694" w:type="dxa"/>
                        <w:vMerge/>
                        <w:tcBorders>
                          <w:top w:val="nil"/>
                        </w:tcBorders>
                      </w:tcPr>
                      <w:p>
                        <w:pPr>
                          <w:rPr>
                            <w:sz w:val="2"/>
                            <w:szCs w:val="2"/>
                          </w:rPr>
                        </w:pPr>
                      </w:p>
                    </w:tc>
                    <w:tc>
                      <w:tcPr>
                        <w:tcW w:w="1640" w:type="dxa"/>
                      </w:tcPr>
                      <w:p>
                        <w:pPr>
                          <w:pStyle w:val="TableParagraph"/>
                          <w:spacing w:before="61"/>
                          <w:ind w:left="168" w:right="160"/>
                          <w:jc w:val="center"/>
                          <w:rPr>
                            <w:sz w:val="21"/>
                          </w:rPr>
                        </w:pPr>
                        <w:r>
                          <w:rPr>
                            <w:sz w:val="21"/>
                          </w:rPr>
                          <w:t>废活性炭</w:t>
                        </w:r>
                      </w:p>
                    </w:tc>
                    <w:tc>
                      <w:tcPr>
                        <w:tcW w:w="297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397"/>
                    </w:trPr>
                    <w:tc>
                      <w:tcPr>
                        <w:tcW w:w="768" w:type="dxa"/>
                        <w:vMerge/>
                        <w:tcBorders>
                          <w:top w:val="nil"/>
                        </w:tcBorders>
                      </w:tcPr>
                      <w:p>
                        <w:pPr>
                          <w:rPr>
                            <w:sz w:val="2"/>
                            <w:szCs w:val="2"/>
                          </w:rPr>
                        </w:pPr>
                      </w:p>
                    </w:tc>
                    <w:tc>
                      <w:tcPr>
                        <w:tcW w:w="1046" w:type="dxa"/>
                      </w:tcPr>
                      <w:p>
                        <w:pPr>
                          <w:pStyle w:val="TableParagraph"/>
                          <w:spacing w:before="76"/>
                          <w:ind w:left="391" w:right="384"/>
                          <w:jc w:val="center"/>
                          <w:rPr>
                            <w:rFonts w:ascii="Times New Roman"/>
                            <w:sz w:val="21"/>
                          </w:rPr>
                        </w:pPr>
                        <w:r>
                          <w:rPr>
                            <w:rFonts w:ascii="Times New Roman"/>
                            <w:sz w:val="21"/>
                          </w:rPr>
                          <w:t>--</w:t>
                        </w:r>
                      </w:p>
                    </w:tc>
                    <w:tc>
                      <w:tcPr>
                        <w:tcW w:w="1694" w:type="dxa"/>
                      </w:tcPr>
                      <w:p>
                        <w:pPr>
                          <w:pStyle w:val="TableParagraph"/>
                          <w:spacing w:before="62"/>
                          <w:ind w:left="403" w:right="397"/>
                          <w:jc w:val="center"/>
                          <w:rPr>
                            <w:sz w:val="21"/>
                          </w:rPr>
                        </w:pPr>
                        <w:r>
                          <w:rPr>
                            <w:sz w:val="21"/>
                          </w:rPr>
                          <w:t>设备维护</w:t>
                        </w:r>
                      </w:p>
                    </w:tc>
                    <w:tc>
                      <w:tcPr>
                        <w:tcW w:w="1640" w:type="dxa"/>
                      </w:tcPr>
                      <w:p>
                        <w:pPr>
                          <w:pStyle w:val="TableParagraph"/>
                          <w:spacing w:before="62"/>
                          <w:ind w:left="168" w:right="160"/>
                          <w:jc w:val="center"/>
                          <w:rPr>
                            <w:sz w:val="21"/>
                          </w:rPr>
                        </w:pPr>
                        <w:r>
                          <w:rPr>
                            <w:sz w:val="21"/>
                          </w:rPr>
                          <w:t>废液压油桶</w:t>
                        </w:r>
                      </w:p>
                    </w:tc>
                    <w:tc>
                      <w:tcPr>
                        <w:tcW w:w="297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397"/>
                    </w:trPr>
                    <w:tc>
                      <w:tcPr>
                        <w:tcW w:w="768" w:type="dxa"/>
                        <w:vMerge/>
                        <w:tcBorders>
                          <w:top w:val="nil"/>
                        </w:tcBorders>
                      </w:tcPr>
                      <w:p>
                        <w:pPr>
                          <w:rPr>
                            <w:sz w:val="2"/>
                            <w:szCs w:val="2"/>
                          </w:rPr>
                        </w:pPr>
                      </w:p>
                    </w:tc>
                    <w:tc>
                      <w:tcPr>
                        <w:tcW w:w="1046" w:type="dxa"/>
                      </w:tcPr>
                      <w:p>
                        <w:pPr>
                          <w:pStyle w:val="TableParagraph"/>
                          <w:spacing w:before="75"/>
                          <w:ind w:left="391" w:right="384"/>
                          <w:jc w:val="center"/>
                          <w:rPr>
                            <w:rFonts w:ascii="Times New Roman"/>
                            <w:sz w:val="21"/>
                          </w:rPr>
                        </w:pPr>
                        <w:r>
                          <w:rPr>
                            <w:rFonts w:ascii="Times New Roman"/>
                            <w:sz w:val="21"/>
                          </w:rPr>
                          <w:t>--</w:t>
                        </w:r>
                      </w:p>
                    </w:tc>
                    <w:tc>
                      <w:tcPr>
                        <w:tcW w:w="1694" w:type="dxa"/>
                      </w:tcPr>
                      <w:p>
                        <w:pPr>
                          <w:pStyle w:val="TableParagraph"/>
                          <w:spacing w:before="61"/>
                          <w:ind w:left="403" w:right="397"/>
                          <w:jc w:val="center"/>
                          <w:rPr>
                            <w:sz w:val="21"/>
                          </w:rPr>
                        </w:pPr>
                        <w:r>
                          <w:rPr>
                            <w:sz w:val="21"/>
                          </w:rPr>
                          <w:t>办公生活</w:t>
                        </w:r>
                      </w:p>
                    </w:tc>
                    <w:tc>
                      <w:tcPr>
                        <w:tcW w:w="1640" w:type="dxa"/>
                      </w:tcPr>
                      <w:p>
                        <w:pPr>
                          <w:pStyle w:val="TableParagraph"/>
                          <w:spacing w:before="61"/>
                          <w:ind w:left="168" w:right="160"/>
                          <w:jc w:val="center"/>
                          <w:rPr>
                            <w:sz w:val="21"/>
                          </w:rPr>
                        </w:pPr>
                        <w:r>
                          <w:rPr>
                            <w:sz w:val="21"/>
                          </w:rPr>
                          <w:t>生活垃圾</w:t>
                        </w:r>
                      </w:p>
                    </w:tc>
                    <w:tc>
                      <w:tcPr>
                        <w:tcW w:w="2970" w:type="dxa"/>
                      </w:tcPr>
                      <w:p>
                        <w:pPr>
                          <w:pStyle w:val="TableParagraph"/>
                          <w:spacing w:before="61"/>
                          <w:ind w:left="111" w:right="105"/>
                          <w:jc w:val="center"/>
                          <w:rPr>
                            <w:sz w:val="21"/>
                          </w:rPr>
                        </w:pPr>
                        <w:r>
                          <w:rPr>
                            <w:sz w:val="21"/>
                          </w:rPr>
                          <w:t>环卫部门定期清运</w:t>
                        </w:r>
                      </w:p>
                    </w:tc>
                  </w:tr>
                </w:tbl>
                <w:p>
                  <w:pPr>
                    <w:pStyle w:val="BodyText"/>
                  </w:pPr>
                </w:p>
              </w:txbxContent>
            </v:textbox>
          </v:shape>
        </w:pict>
      </w:r>
    </w:p>
    <w:p>
      <w:pPr>
        <w:spacing w:after="0"/>
        <w:rPr>
          <w:sz w:val="2"/>
          <w:szCs w:val="2"/>
        </w:rPr>
        <w:sectPr>
          <w:footerReference w:type="default" r:id="rId27"/>
          <w:pgSz w:w="11910" w:h="16840"/>
          <w:pgMar w:top="1420" w:right="1119" w:bottom="900" w:left="1120" w:header="0" w:footer="713" w:gutter="0"/>
          <w:pgNumType w:start="21"/>
          <w:cols w:num="1" w:space="720"/>
        </w:sectPr>
      </w:pPr>
    </w:p>
    <w:p>
      <w:pPr>
        <w:pStyle w:val="Heading1"/>
        <w:spacing w:before="42"/>
        <w:ind w:left="509" w:right="510"/>
      </w:pPr>
      <w:r>
        <w:pict>
          <v:shape id="_x0000_s1035" o:spid="_x0000_s1034" type="#_x0000_t202" style="width:410.45pt;height:231.7pt;margin-top:208.35pt;margin-left:113.15pt;mso-height-relative:page;mso-position-horizontal-relative:page;mso-position-vertical-relative:page;mso-width-relative:page;position:absolute;z-index:25166848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39"/>
                    <w:gridCol w:w="2230"/>
                    <w:gridCol w:w="1336"/>
                    <w:gridCol w:w="1328"/>
                    <w:gridCol w:w="982"/>
                    <w:gridCol w:w="979"/>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7"/>
                    </w:trPr>
                    <w:tc>
                      <w:tcPr>
                        <w:tcW w:w="1339" w:type="dxa"/>
                      </w:tcPr>
                      <w:p>
                        <w:pPr>
                          <w:pStyle w:val="TableParagraph"/>
                          <w:spacing w:before="63"/>
                          <w:ind w:left="14"/>
                          <w:jc w:val="center"/>
                          <w:rPr>
                            <w:b/>
                            <w:sz w:val="21"/>
                          </w:rPr>
                        </w:pPr>
                        <w:r>
                          <w:rPr>
                            <w:b/>
                            <w:sz w:val="21"/>
                          </w:rPr>
                          <w:t>污染物</w:t>
                        </w:r>
                      </w:p>
                    </w:tc>
                    <w:tc>
                      <w:tcPr>
                        <w:tcW w:w="2230" w:type="dxa"/>
                      </w:tcPr>
                      <w:p>
                        <w:pPr>
                          <w:pStyle w:val="TableParagraph"/>
                          <w:spacing w:before="63"/>
                          <w:ind w:left="96" w:right="84"/>
                          <w:jc w:val="center"/>
                          <w:rPr>
                            <w:b/>
                            <w:sz w:val="21"/>
                          </w:rPr>
                        </w:pPr>
                        <w:r>
                          <w:rPr>
                            <w:b/>
                            <w:sz w:val="21"/>
                          </w:rPr>
                          <w:t>年评价指标</w:t>
                        </w:r>
                      </w:p>
                    </w:tc>
                    <w:tc>
                      <w:tcPr>
                        <w:tcW w:w="1336" w:type="dxa"/>
                      </w:tcPr>
                      <w:p>
                        <w:pPr>
                          <w:pStyle w:val="TableParagraph"/>
                          <w:spacing w:before="63"/>
                          <w:ind w:left="227" w:right="215"/>
                          <w:jc w:val="center"/>
                          <w:rPr>
                            <w:b/>
                            <w:sz w:val="21"/>
                          </w:rPr>
                        </w:pPr>
                        <w:r>
                          <w:rPr>
                            <w:b/>
                            <w:sz w:val="21"/>
                          </w:rPr>
                          <w:t>现状浓度</w:t>
                        </w:r>
                      </w:p>
                    </w:tc>
                    <w:tc>
                      <w:tcPr>
                        <w:tcW w:w="1328" w:type="dxa"/>
                      </w:tcPr>
                      <w:p>
                        <w:pPr>
                          <w:pStyle w:val="TableParagraph"/>
                          <w:spacing w:before="63"/>
                          <w:ind w:left="329" w:right="315"/>
                          <w:jc w:val="center"/>
                          <w:rPr>
                            <w:b/>
                            <w:sz w:val="21"/>
                          </w:rPr>
                        </w:pPr>
                        <w:r>
                          <w:rPr>
                            <w:b/>
                            <w:sz w:val="21"/>
                          </w:rPr>
                          <w:t>标准值</w:t>
                        </w:r>
                      </w:p>
                    </w:tc>
                    <w:tc>
                      <w:tcPr>
                        <w:tcW w:w="982" w:type="dxa"/>
                      </w:tcPr>
                      <w:p>
                        <w:pPr>
                          <w:pStyle w:val="TableParagraph"/>
                          <w:spacing w:before="63"/>
                          <w:ind w:left="22" w:right="9"/>
                          <w:jc w:val="center"/>
                          <w:rPr>
                            <w:rFonts w:ascii="Times New Roman" w:eastAsia="Times New Roman"/>
                            <w:b/>
                            <w:sz w:val="21"/>
                          </w:rPr>
                        </w:pPr>
                        <w:r>
                          <w:rPr>
                            <w:b/>
                            <w:sz w:val="21"/>
                          </w:rPr>
                          <w:t>占标率</w:t>
                        </w:r>
                        <w:r>
                          <w:rPr>
                            <w:rFonts w:ascii="Times New Roman" w:eastAsia="Times New Roman"/>
                            <w:b/>
                            <w:sz w:val="21"/>
                          </w:rPr>
                          <w:t>/%</w:t>
                        </w:r>
                      </w:p>
                    </w:tc>
                    <w:tc>
                      <w:tcPr>
                        <w:tcW w:w="979" w:type="dxa"/>
                      </w:tcPr>
                      <w:p>
                        <w:pPr>
                          <w:pStyle w:val="TableParagraph"/>
                          <w:spacing w:before="63"/>
                          <w:ind w:left="48" w:right="37"/>
                          <w:jc w:val="center"/>
                          <w:rPr>
                            <w:b/>
                            <w:sz w:val="21"/>
                          </w:rPr>
                        </w:pPr>
                        <w:r>
                          <w:rPr>
                            <w:b/>
                            <w:sz w:val="21"/>
                          </w:rPr>
                          <w:t>达标情况</w:t>
                        </w:r>
                      </w:p>
                    </w:tc>
                  </w:tr>
                  <w:tr>
                    <w:tblPrEx>
                      <w:tblW w:w="0" w:type="auto"/>
                      <w:tblInd w:w="5" w:type="dxa"/>
                      <w:tblLayout w:type="fixed"/>
                      <w:tblCellMar>
                        <w:top w:w="0" w:type="dxa"/>
                        <w:left w:w="0" w:type="dxa"/>
                        <w:bottom w:w="0" w:type="dxa"/>
                        <w:right w:w="0" w:type="dxa"/>
                      </w:tblCellMar>
                    </w:tblPrEx>
                    <w:trPr>
                      <w:trHeight w:val="397"/>
                    </w:trPr>
                    <w:tc>
                      <w:tcPr>
                        <w:tcW w:w="1339" w:type="dxa"/>
                        <w:vMerge w:val="restart"/>
                      </w:tcPr>
                      <w:p>
                        <w:pPr>
                          <w:pStyle w:val="TableParagraph"/>
                          <w:spacing w:before="7"/>
                          <w:rPr>
                            <w:b/>
                            <w:sz w:val="21"/>
                          </w:rPr>
                        </w:pPr>
                      </w:p>
                      <w:p>
                        <w:pPr>
                          <w:pStyle w:val="TableParagraph"/>
                          <w:ind w:left="14" w:right="1"/>
                          <w:jc w:val="center"/>
                          <w:rPr>
                            <w:rFonts w:ascii="Times New Roman"/>
                            <w:sz w:val="21"/>
                          </w:rPr>
                        </w:pPr>
                        <w:r>
                          <w:rPr>
                            <w:rFonts w:ascii="Times New Roman"/>
                            <w:position w:val="2"/>
                            <w:sz w:val="21"/>
                          </w:rPr>
                          <w:t>SO</w:t>
                        </w:r>
                        <w:r>
                          <w:rPr>
                            <w:rFonts w:ascii="Times New Roman"/>
                            <w:position w:val="2"/>
                            <w:sz w:val="21"/>
                            <w:vertAlign w:val="subscript"/>
                          </w:rPr>
                          <w:t>2</w:t>
                        </w:r>
                      </w:p>
                    </w:tc>
                    <w:tc>
                      <w:tcPr>
                        <w:tcW w:w="2230" w:type="dxa"/>
                      </w:tcPr>
                      <w:p>
                        <w:pPr>
                          <w:pStyle w:val="TableParagraph"/>
                          <w:spacing w:before="61"/>
                          <w:ind w:left="93" w:right="89"/>
                          <w:jc w:val="center"/>
                          <w:rPr>
                            <w:sz w:val="21"/>
                          </w:rPr>
                        </w:pPr>
                        <w:r>
                          <w:rPr>
                            <w:sz w:val="21"/>
                          </w:rPr>
                          <w:t>年平均质量浓度</w:t>
                        </w:r>
                      </w:p>
                    </w:tc>
                    <w:tc>
                      <w:tcPr>
                        <w:tcW w:w="1336" w:type="dxa"/>
                      </w:tcPr>
                      <w:p>
                        <w:pPr>
                          <w:pStyle w:val="TableParagraph"/>
                          <w:spacing w:before="75"/>
                          <w:ind w:left="226" w:right="215"/>
                          <w:jc w:val="center"/>
                          <w:rPr>
                            <w:rFonts w:ascii="Times New Roman"/>
                            <w:sz w:val="21"/>
                          </w:rPr>
                        </w:pPr>
                        <w:r>
                          <w:rPr>
                            <w:rFonts w:ascii="Times New Roman"/>
                            <w:sz w:val="21"/>
                          </w:rPr>
                          <w:t>12.9</w:t>
                        </w:r>
                      </w:p>
                    </w:tc>
                    <w:tc>
                      <w:tcPr>
                        <w:tcW w:w="1328" w:type="dxa"/>
                      </w:tcPr>
                      <w:p>
                        <w:pPr>
                          <w:pStyle w:val="TableParagraph"/>
                          <w:spacing w:before="75"/>
                          <w:ind w:left="328" w:right="315"/>
                          <w:jc w:val="center"/>
                          <w:rPr>
                            <w:rFonts w:ascii="Times New Roman"/>
                            <w:sz w:val="21"/>
                          </w:rPr>
                        </w:pPr>
                        <w:r>
                          <w:rPr>
                            <w:rFonts w:ascii="Times New Roman"/>
                            <w:sz w:val="21"/>
                          </w:rPr>
                          <w:t>60</w:t>
                        </w:r>
                      </w:p>
                    </w:tc>
                    <w:tc>
                      <w:tcPr>
                        <w:tcW w:w="982" w:type="dxa"/>
                      </w:tcPr>
                      <w:p>
                        <w:pPr>
                          <w:pStyle w:val="TableParagraph"/>
                          <w:spacing w:before="75"/>
                          <w:ind w:left="19" w:right="9"/>
                          <w:jc w:val="center"/>
                          <w:rPr>
                            <w:rFonts w:ascii="Times New Roman"/>
                            <w:sz w:val="21"/>
                          </w:rPr>
                        </w:pPr>
                        <w:r>
                          <w:rPr>
                            <w:rFonts w:ascii="Times New Roman"/>
                            <w:sz w:val="21"/>
                          </w:rPr>
                          <w:t>21.5</w:t>
                        </w:r>
                      </w:p>
                    </w:tc>
                    <w:tc>
                      <w:tcPr>
                        <w:tcW w:w="979" w:type="dxa"/>
                      </w:tcPr>
                      <w:p>
                        <w:pPr>
                          <w:pStyle w:val="TableParagraph"/>
                          <w:spacing w:before="61"/>
                          <w:ind w:left="40" w:right="37"/>
                          <w:jc w:val="center"/>
                          <w:rPr>
                            <w:sz w:val="21"/>
                          </w:rPr>
                        </w:pPr>
                        <w:r>
                          <w:rPr>
                            <w:sz w:val="21"/>
                          </w:rPr>
                          <w:t>达标</w:t>
                        </w:r>
                      </w:p>
                    </w:tc>
                  </w:tr>
                  <w:tr>
                    <w:tblPrEx>
                      <w:tblW w:w="0" w:type="auto"/>
                      <w:tblInd w:w="5" w:type="dxa"/>
                      <w:tblLayout w:type="fixed"/>
                      <w:tblCellMar>
                        <w:top w:w="0" w:type="dxa"/>
                        <w:left w:w="0" w:type="dxa"/>
                        <w:bottom w:w="0" w:type="dxa"/>
                        <w:right w:w="0" w:type="dxa"/>
                      </w:tblCellMar>
                    </w:tblPrEx>
                    <w:trPr>
                      <w:trHeight w:val="397"/>
                    </w:trPr>
                    <w:tc>
                      <w:tcPr>
                        <w:tcW w:w="1339" w:type="dxa"/>
                        <w:vMerge/>
                        <w:tcBorders>
                          <w:top w:val="nil"/>
                        </w:tcBorders>
                      </w:tcPr>
                      <w:p>
                        <w:pPr>
                          <w:rPr>
                            <w:sz w:val="2"/>
                            <w:szCs w:val="2"/>
                          </w:rPr>
                        </w:pPr>
                      </w:p>
                    </w:tc>
                    <w:tc>
                      <w:tcPr>
                        <w:tcW w:w="2230" w:type="dxa"/>
                      </w:tcPr>
                      <w:p>
                        <w:pPr>
                          <w:pStyle w:val="TableParagraph"/>
                          <w:spacing w:before="62"/>
                          <w:ind w:left="96" w:right="89"/>
                          <w:jc w:val="center"/>
                          <w:rPr>
                            <w:sz w:val="21"/>
                          </w:rPr>
                        </w:pPr>
                        <w:r>
                          <w:rPr>
                            <w:rFonts w:ascii="Times New Roman" w:eastAsia="Times New Roman"/>
                            <w:sz w:val="21"/>
                          </w:rPr>
                          <w:t>24h</w:t>
                        </w:r>
                        <w:r>
                          <w:rPr>
                            <w:sz w:val="21"/>
                          </w:rPr>
                          <w:t>平均第</w:t>
                        </w:r>
                        <w:r>
                          <w:rPr>
                            <w:rFonts w:ascii="Times New Roman" w:eastAsia="Times New Roman"/>
                            <w:sz w:val="21"/>
                          </w:rPr>
                          <w:t>98</w:t>
                        </w:r>
                        <w:r>
                          <w:rPr>
                            <w:sz w:val="21"/>
                          </w:rPr>
                          <w:t>百分位数</w:t>
                        </w:r>
                      </w:p>
                    </w:tc>
                    <w:tc>
                      <w:tcPr>
                        <w:tcW w:w="1336" w:type="dxa"/>
                      </w:tcPr>
                      <w:p>
                        <w:pPr>
                          <w:pStyle w:val="TableParagraph"/>
                          <w:spacing w:before="76"/>
                          <w:ind w:left="226" w:right="215"/>
                          <w:jc w:val="center"/>
                          <w:rPr>
                            <w:rFonts w:ascii="Times New Roman"/>
                            <w:sz w:val="21"/>
                          </w:rPr>
                        </w:pPr>
                        <w:r>
                          <w:rPr>
                            <w:rFonts w:ascii="Times New Roman"/>
                            <w:sz w:val="21"/>
                          </w:rPr>
                          <w:t>33.5</w:t>
                        </w:r>
                      </w:p>
                    </w:tc>
                    <w:tc>
                      <w:tcPr>
                        <w:tcW w:w="1328" w:type="dxa"/>
                      </w:tcPr>
                      <w:p>
                        <w:pPr>
                          <w:pStyle w:val="TableParagraph"/>
                          <w:spacing w:before="76"/>
                          <w:ind w:left="329" w:right="313"/>
                          <w:jc w:val="center"/>
                          <w:rPr>
                            <w:rFonts w:ascii="Times New Roman"/>
                            <w:sz w:val="21"/>
                          </w:rPr>
                        </w:pPr>
                        <w:r>
                          <w:rPr>
                            <w:rFonts w:ascii="Times New Roman"/>
                            <w:sz w:val="21"/>
                          </w:rPr>
                          <w:t>150</w:t>
                        </w:r>
                      </w:p>
                    </w:tc>
                    <w:tc>
                      <w:tcPr>
                        <w:tcW w:w="982" w:type="dxa"/>
                      </w:tcPr>
                      <w:p>
                        <w:pPr>
                          <w:pStyle w:val="TableParagraph"/>
                          <w:spacing w:before="76"/>
                          <w:ind w:left="19" w:right="9"/>
                          <w:jc w:val="center"/>
                          <w:rPr>
                            <w:rFonts w:ascii="Times New Roman"/>
                            <w:sz w:val="21"/>
                          </w:rPr>
                        </w:pPr>
                        <w:r>
                          <w:rPr>
                            <w:rFonts w:ascii="Times New Roman"/>
                            <w:sz w:val="21"/>
                          </w:rPr>
                          <w:t>23.7</w:t>
                        </w:r>
                      </w:p>
                    </w:tc>
                    <w:tc>
                      <w:tcPr>
                        <w:tcW w:w="979" w:type="dxa"/>
                      </w:tcPr>
                      <w:p>
                        <w:pPr>
                          <w:pStyle w:val="TableParagraph"/>
                          <w:spacing w:before="62"/>
                          <w:ind w:left="40" w:right="37"/>
                          <w:jc w:val="center"/>
                          <w:rPr>
                            <w:sz w:val="21"/>
                          </w:rPr>
                        </w:pPr>
                        <w:r>
                          <w:rPr>
                            <w:sz w:val="21"/>
                          </w:rPr>
                          <w:t>达标</w:t>
                        </w:r>
                      </w:p>
                    </w:tc>
                  </w:tr>
                  <w:tr>
                    <w:tblPrEx>
                      <w:tblW w:w="0" w:type="auto"/>
                      <w:tblInd w:w="5" w:type="dxa"/>
                      <w:tblLayout w:type="fixed"/>
                      <w:tblCellMar>
                        <w:top w:w="0" w:type="dxa"/>
                        <w:left w:w="0" w:type="dxa"/>
                        <w:bottom w:w="0" w:type="dxa"/>
                        <w:right w:w="0" w:type="dxa"/>
                      </w:tblCellMar>
                    </w:tblPrEx>
                    <w:trPr>
                      <w:trHeight w:val="396"/>
                    </w:trPr>
                    <w:tc>
                      <w:tcPr>
                        <w:tcW w:w="1339" w:type="dxa"/>
                        <w:vMerge w:val="restart"/>
                      </w:tcPr>
                      <w:p>
                        <w:pPr>
                          <w:pStyle w:val="TableParagraph"/>
                          <w:spacing w:before="9"/>
                          <w:rPr>
                            <w:b/>
                            <w:sz w:val="21"/>
                          </w:rPr>
                        </w:pPr>
                      </w:p>
                      <w:p>
                        <w:pPr>
                          <w:pStyle w:val="TableParagraph"/>
                          <w:ind w:left="14" w:right="3"/>
                          <w:jc w:val="center"/>
                          <w:rPr>
                            <w:rFonts w:ascii="Times New Roman"/>
                            <w:sz w:val="21"/>
                          </w:rPr>
                        </w:pPr>
                        <w:r>
                          <w:rPr>
                            <w:rFonts w:ascii="Times New Roman"/>
                            <w:position w:val="2"/>
                            <w:sz w:val="21"/>
                          </w:rPr>
                          <w:t>NO</w:t>
                        </w:r>
                        <w:r>
                          <w:rPr>
                            <w:rFonts w:ascii="Times New Roman"/>
                            <w:position w:val="2"/>
                            <w:sz w:val="21"/>
                            <w:vertAlign w:val="subscript"/>
                          </w:rPr>
                          <w:t>2</w:t>
                        </w:r>
                      </w:p>
                    </w:tc>
                    <w:tc>
                      <w:tcPr>
                        <w:tcW w:w="2230" w:type="dxa"/>
                      </w:tcPr>
                      <w:p>
                        <w:pPr>
                          <w:pStyle w:val="TableParagraph"/>
                          <w:spacing w:before="61"/>
                          <w:ind w:left="93" w:right="89"/>
                          <w:jc w:val="center"/>
                          <w:rPr>
                            <w:sz w:val="21"/>
                          </w:rPr>
                        </w:pPr>
                        <w:r>
                          <w:rPr>
                            <w:sz w:val="21"/>
                          </w:rPr>
                          <w:t>年平均质量浓度</w:t>
                        </w:r>
                      </w:p>
                    </w:tc>
                    <w:tc>
                      <w:tcPr>
                        <w:tcW w:w="1336" w:type="dxa"/>
                      </w:tcPr>
                      <w:p>
                        <w:pPr>
                          <w:pStyle w:val="TableParagraph"/>
                          <w:spacing w:before="75"/>
                          <w:ind w:left="226" w:right="215"/>
                          <w:jc w:val="center"/>
                          <w:rPr>
                            <w:rFonts w:ascii="Times New Roman"/>
                            <w:sz w:val="21"/>
                          </w:rPr>
                        </w:pPr>
                        <w:r>
                          <w:rPr>
                            <w:rFonts w:ascii="Times New Roman"/>
                            <w:sz w:val="21"/>
                          </w:rPr>
                          <w:t>35.2</w:t>
                        </w:r>
                      </w:p>
                    </w:tc>
                    <w:tc>
                      <w:tcPr>
                        <w:tcW w:w="1328" w:type="dxa"/>
                      </w:tcPr>
                      <w:p>
                        <w:pPr>
                          <w:pStyle w:val="TableParagraph"/>
                          <w:spacing w:before="75"/>
                          <w:ind w:left="323" w:right="315"/>
                          <w:jc w:val="center"/>
                          <w:rPr>
                            <w:rFonts w:ascii="Times New Roman"/>
                            <w:sz w:val="21"/>
                          </w:rPr>
                        </w:pPr>
                        <w:r>
                          <w:rPr>
                            <w:rFonts w:ascii="Times New Roman"/>
                            <w:sz w:val="21"/>
                          </w:rPr>
                          <w:t>40</w:t>
                        </w:r>
                      </w:p>
                    </w:tc>
                    <w:tc>
                      <w:tcPr>
                        <w:tcW w:w="982" w:type="dxa"/>
                      </w:tcPr>
                      <w:p>
                        <w:pPr>
                          <w:pStyle w:val="TableParagraph"/>
                          <w:spacing w:before="75"/>
                          <w:ind w:left="19" w:right="9"/>
                          <w:jc w:val="center"/>
                          <w:rPr>
                            <w:rFonts w:ascii="Times New Roman"/>
                            <w:sz w:val="21"/>
                          </w:rPr>
                        </w:pPr>
                        <w:r>
                          <w:rPr>
                            <w:rFonts w:ascii="Times New Roman"/>
                            <w:sz w:val="21"/>
                          </w:rPr>
                          <w:t>88</w:t>
                        </w:r>
                      </w:p>
                    </w:tc>
                    <w:tc>
                      <w:tcPr>
                        <w:tcW w:w="979" w:type="dxa"/>
                      </w:tcPr>
                      <w:p>
                        <w:pPr>
                          <w:pStyle w:val="TableParagraph"/>
                          <w:spacing w:before="61"/>
                          <w:ind w:left="40" w:right="37"/>
                          <w:jc w:val="center"/>
                          <w:rPr>
                            <w:sz w:val="21"/>
                          </w:rPr>
                        </w:pPr>
                        <w:r>
                          <w:rPr>
                            <w:sz w:val="21"/>
                          </w:rPr>
                          <w:t>达标</w:t>
                        </w:r>
                      </w:p>
                    </w:tc>
                  </w:tr>
                  <w:tr>
                    <w:tblPrEx>
                      <w:tblW w:w="0" w:type="auto"/>
                      <w:tblInd w:w="5" w:type="dxa"/>
                      <w:tblLayout w:type="fixed"/>
                      <w:tblCellMar>
                        <w:top w:w="0" w:type="dxa"/>
                        <w:left w:w="0" w:type="dxa"/>
                        <w:bottom w:w="0" w:type="dxa"/>
                        <w:right w:w="0" w:type="dxa"/>
                      </w:tblCellMar>
                    </w:tblPrEx>
                    <w:trPr>
                      <w:trHeight w:val="397"/>
                    </w:trPr>
                    <w:tc>
                      <w:tcPr>
                        <w:tcW w:w="1339" w:type="dxa"/>
                        <w:vMerge/>
                        <w:tcBorders>
                          <w:top w:val="nil"/>
                        </w:tcBorders>
                      </w:tcPr>
                      <w:p>
                        <w:pPr>
                          <w:rPr>
                            <w:sz w:val="2"/>
                            <w:szCs w:val="2"/>
                          </w:rPr>
                        </w:pPr>
                      </w:p>
                    </w:tc>
                    <w:tc>
                      <w:tcPr>
                        <w:tcW w:w="2230" w:type="dxa"/>
                      </w:tcPr>
                      <w:p>
                        <w:pPr>
                          <w:pStyle w:val="TableParagraph"/>
                          <w:spacing w:before="62"/>
                          <w:ind w:left="96" w:right="89"/>
                          <w:jc w:val="center"/>
                          <w:rPr>
                            <w:sz w:val="21"/>
                          </w:rPr>
                        </w:pPr>
                        <w:r>
                          <w:rPr>
                            <w:rFonts w:ascii="Times New Roman" w:eastAsia="Times New Roman"/>
                            <w:sz w:val="21"/>
                          </w:rPr>
                          <w:t>24h</w:t>
                        </w:r>
                        <w:r>
                          <w:rPr>
                            <w:sz w:val="21"/>
                          </w:rPr>
                          <w:t>平均第</w:t>
                        </w:r>
                        <w:r>
                          <w:rPr>
                            <w:rFonts w:ascii="Times New Roman" w:eastAsia="Times New Roman"/>
                            <w:sz w:val="21"/>
                          </w:rPr>
                          <w:t>98</w:t>
                        </w:r>
                        <w:r>
                          <w:rPr>
                            <w:sz w:val="21"/>
                          </w:rPr>
                          <w:t>百分位数</w:t>
                        </w:r>
                      </w:p>
                    </w:tc>
                    <w:tc>
                      <w:tcPr>
                        <w:tcW w:w="1336" w:type="dxa"/>
                      </w:tcPr>
                      <w:p>
                        <w:pPr>
                          <w:pStyle w:val="TableParagraph"/>
                          <w:spacing w:before="76"/>
                          <w:ind w:left="226" w:right="215"/>
                          <w:jc w:val="center"/>
                          <w:rPr>
                            <w:rFonts w:ascii="Times New Roman"/>
                            <w:sz w:val="21"/>
                          </w:rPr>
                        </w:pPr>
                        <w:r>
                          <w:rPr>
                            <w:rFonts w:ascii="Times New Roman"/>
                            <w:sz w:val="21"/>
                          </w:rPr>
                          <w:t>69.6</w:t>
                        </w:r>
                      </w:p>
                    </w:tc>
                    <w:tc>
                      <w:tcPr>
                        <w:tcW w:w="1328" w:type="dxa"/>
                      </w:tcPr>
                      <w:p>
                        <w:pPr>
                          <w:pStyle w:val="TableParagraph"/>
                          <w:spacing w:before="76"/>
                          <w:ind w:left="328" w:right="315"/>
                          <w:jc w:val="center"/>
                          <w:rPr>
                            <w:rFonts w:ascii="Times New Roman"/>
                            <w:sz w:val="21"/>
                          </w:rPr>
                        </w:pPr>
                        <w:r>
                          <w:rPr>
                            <w:rFonts w:ascii="Times New Roman"/>
                            <w:sz w:val="21"/>
                          </w:rPr>
                          <w:t>80</w:t>
                        </w:r>
                      </w:p>
                    </w:tc>
                    <w:tc>
                      <w:tcPr>
                        <w:tcW w:w="982" w:type="dxa"/>
                      </w:tcPr>
                      <w:p>
                        <w:pPr>
                          <w:pStyle w:val="TableParagraph"/>
                          <w:spacing w:before="76"/>
                          <w:ind w:left="19" w:right="9"/>
                          <w:jc w:val="center"/>
                          <w:rPr>
                            <w:rFonts w:ascii="Times New Roman"/>
                            <w:sz w:val="21"/>
                          </w:rPr>
                        </w:pPr>
                        <w:r>
                          <w:rPr>
                            <w:rFonts w:ascii="Times New Roman"/>
                            <w:sz w:val="21"/>
                          </w:rPr>
                          <w:t>87</w:t>
                        </w:r>
                      </w:p>
                    </w:tc>
                    <w:tc>
                      <w:tcPr>
                        <w:tcW w:w="979" w:type="dxa"/>
                      </w:tcPr>
                      <w:p>
                        <w:pPr>
                          <w:pStyle w:val="TableParagraph"/>
                          <w:spacing w:before="62"/>
                          <w:ind w:left="40" w:right="37"/>
                          <w:jc w:val="center"/>
                          <w:rPr>
                            <w:sz w:val="21"/>
                          </w:rPr>
                        </w:pPr>
                        <w:r>
                          <w:rPr>
                            <w:sz w:val="21"/>
                          </w:rPr>
                          <w:t>达标</w:t>
                        </w:r>
                      </w:p>
                    </w:tc>
                  </w:tr>
                  <w:tr>
                    <w:tblPrEx>
                      <w:tblW w:w="0" w:type="auto"/>
                      <w:tblInd w:w="5" w:type="dxa"/>
                      <w:tblLayout w:type="fixed"/>
                      <w:tblCellMar>
                        <w:top w:w="0" w:type="dxa"/>
                        <w:left w:w="0" w:type="dxa"/>
                        <w:bottom w:w="0" w:type="dxa"/>
                        <w:right w:w="0" w:type="dxa"/>
                      </w:tblCellMar>
                    </w:tblPrEx>
                    <w:trPr>
                      <w:trHeight w:val="397"/>
                    </w:trPr>
                    <w:tc>
                      <w:tcPr>
                        <w:tcW w:w="1339" w:type="dxa"/>
                        <w:vMerge w:val="restart"/>
                      </w:tcPr>
                      <w:p>
                        <w:pPr>
                          <w:pStyle w:val="TableParagraph"/>
                          <w:spacing w:before="8"/>
                          <w:rPr>
                            <w:b/>
                            <w:sz w:val="21"/>
                          </w:rPr>
                        </w:pPr>
                      </w:p>
                      <w:p>
                        <w:pPr>
                          <w:pStyle w:val="TableParagraph"/>
                          <w:ind w:left="455"/>
                          <w:rPr>
                            <w:rFonts w:ascii="Times New Roman"/>
                            <w:sz w:val="21"/>
                          </w:rPr>
                        </w:pPr>
                        <w:r>
                          <w:rPr>
                            <w:rFonts w:ascii="Times New Roman"/>
                            <w:position w:val="2"/>
                            <w:sz w:val="21"/>
                          </w:rPr>
                          <w:t>PM</w:t>
                        </w:r>
                        <w:r>
                          <w:rPr>
                            <w:rFonts w:ascii="Times New Roman"/>
                            <w:position w:val="2"/>
                            <w:sz w:val="21"/>
                            <w:vertAlign w:val="subscript"/>
                          </w:rPr>
                          <w:t>10</w:t>
                        </w:r>
                      </w:p>
                    </w:tc>
                    <w:tc>
                      <w:tcPr>
                        <w:tcW w:w="2230" w:type="dxa"/>
                      </w:tcPr>
                      <w:p>
                        <w:pPr>
                          <w:pStyle w:val="TableParagraph"/>
                          <w:spacing w:before="63"/>
                          <w:ind w:left="93" w:right="89"/>
                          <w:jc w:val="center"/>
                          <w:rPr>
                            <w:sz w:val="21"/>
                          </w:rPr>
                        </w:pPr>
                        <w:r>
                          <w:rPr>
                            <w:sz w:val="21"/>
                          </w:rPr>
                          <w:t>年平均质量浓度</w:t>
                        </w:r>
                      </w:p>
                    </w:tc>
                    <w:tc>
                      <w:tcPr>
                        <w:tcW w:w="1336" w:type="dxa"/>
                      </w:tcPr>
                      <w:p>
                        <w:pPr>
                          <w:pStyle w:val="TableParagraph"/>
                          <w:spacing w:before="77"/>
                          <w:ind w:left="223" w:right="215"/>
                          <w:jc w:val="center"/>
                          <w:rPr>
                            <w:rFonts w:ascii="Times New Roman"/>
                            <w:sz w:val="21"/>
                          </w:rPr>
                        </w:pPr>
                        <w:r>
                          <w:rPr>
                            <w:rFonts w:ascii="Times New Roman"/>
                            <w:sz w:val="21"/>
                          </w:rPr>
                          <w:t>114</w:t>
                        </w:r>
                      </w:p>
                    </w:tc>
                    <w:tc>
                      <w:tcPr>
                        <w:tcW w:w="1328" w:type="dxa"/>
                      </w:tcPr>
                      <w:p>
                        <w:pPr>
                          <w:pStyle w:val="TableParagraph"/>
                          <w:spacing w:before="77"/>
                          <w:ind w:left="328" w:right="315"/>
                          <w:jc w:val="center"/>
                          <w:rPr>
                            <w:rFonts w:ascii="Times New Roman"/>
                            <w:sz w:val="21"/>
                          </w:rPr>
                        </w:pPr>
                        <w:r>
                          <w:rPr>
                            <w:rFonts w:ascii="Times New Roman"/>
                            <w:sz w:val="21"/>
                          </w:rPr>
                          <w:t>70</w:t>
                        </w:r>
                      </w:p>
                    </w:tc>
                    <w:tc>
                      <w:tcPr>
                        <w:tcW w:w="982" w:type="dxa"/>
                      </w:tcPr>
                      <w:p>
                        <w:pPr>
                          <w:pStyle w:val="TableParagraph"/>
                          <w:spacing w:before="77"/>
                          <w:ind w:left="19" w:right="9"/>
                          <w:jc w:val="center"/>
                          <w:rPr>
                            <w:rFonts w:ascii="Times New Roman"/>
                            <w:sz w:val="21"/>
                          </w:rPr>
                        </w:pPr>
                        <w:r>
                          <w:rPr>
                            <w:rFonts w:ascii="Times New Roman"/>
                            <w:sz w:val="21"/>
                          </w:rPr>
                          <w:t>162.8</w:t>
                        </w:r>
                      </w:p>
                    </w:tc>
                    <w:tc>
                      <w:tcPr>
                        <w:tcW w:w="979" w:type="dxa"/>
                      </w:tcPr>
                      <w:p>
                        <w:pPr>
                          <w:pStyle w:val="TableParagraph"/>
                          <w:spacing w:before="63"/>
                          <w:ind w:left="45" w:right="37"/>
                          <w:jc w:val="center"/>
                          <w:rPr>
                            <w:sz w:val="21"/>
                          </w:rPr>
                        </w:pPr>
                        <w:r>
                          <w:rPr>
                            <w:sz w:val="21"/>
                          </w:rPr>
                          <w:t>不达标</w:t>
                        </w:r>
                      </w:p>
                    </w:tc>
                  </w:tr>
                  <w:tr>
                    <w:tblPrEx>
                      <w:tblW w:w="0" w:type="auto"/>
                      <w:tblInd w:w="5" w:type="dxa"/>
                      <w:tblLayout w:type="fixed"/>
                      <w:tblCellMar>
                        <w:top w:w="0" w:type="dxa"/>
                        <w:left w:w="0" w:type="dxa"/>
                        <w:bottom w:w="0" w:type="dxa"/>
                        <w:right w:w="0" w:type="dxa"/>
                      </w:tblCellMar>
                    </w:tblPrEx>
                    <w:trPr>
                      <w:trHeight w:val="396"/>
                    </w:trPr>
                    <w:tc>
                      <w:tcPr>
                        <w:tcW w:w="1339" w:type="dxa"/>
                        <w:vMerge/>
                        <w:tcBorders>
                          <w:top w:val="nil"/>
                        </w:tcBorders>
                      </w:tcPr>
                      <w:p>
                        <w:pPr>
                          <w:rPr>
                            <w:sz w:val="2"/>
                            <w:szCs w:val="2"/>
                          </w:rPr>
                        </w:pPr>
                      </w:p>
                    </w:tc>
                    <w:tc>
                      <w:tcPr>
                        <w:tcW w:w="2230" w:type="dxa"/>
                      </w:tcPr>
                      <w:p>
                        <w:pPr>
                          <w:pStyle w:val="TableParagraph"/>
                          <w:spacing w:before="61"/>
                          <w:ind w:left="96" w:right="89"/>
                          <w:jc w:val="center"/>
                          <w:rPr>
                            <w:sz w:val="21"/>
                          </w:rPr>
                        </w:pPr>
                        <w:r>
                          <w:rPr>
                            <w:rFonts w:ascii="Times New Roman" w:eastAsia="Times New Roman"/>
                            <w:sz w:val="21"/>
                          </w:rPr>
                          <w:t>24h</w:t>
                        </w:r>
                        <w:r>
                          <w:rPr>
                            <w:sz w:val="21"/>
                          </w:rPr>
                          <w:t>平均第</w:t>
                        </w:r>
                        <w:r>
                          <w:rPr>
                            <w:rFonts w:ascii="Times New Roman" w:eastAsia="Times New Roman"/>
                            <w:sz w:val="21"/>
                          </w:rPr>
                          <w:t>95</w:t>
                        </w:r>
                        <w:r>
                          <w:rPr>
                            <w:sz w:val="21"/>
                          </w:rPr>
                          <w:t>百分位数</w:t>
                        </w:r>
                      </w:p>
                    </w:tc>
                    <w:tc>
                      <w:tcPr>
                        <w:tcW w:w="1336" w:type="dxa"/>
                      </w:tcPr>
                      <w:p>
                        <w:pPr>
                          <w:pStyle w:val="TableParagraph"/>
                          <w:spacing w:before="75"/>
                          <w:ind w:left="226" w:right="215"/>
                          <w:jc w:val="center"/>
                          <w:rPr>
                            <w:rFonts w:ascii="Times New Roman"/>
                            <w:sz w:val="21"/>
                          </w:rPr>
                        </w:pPr>
                        <w:r>
                          <w:rPr>
                            <w:rFonts w:ascii="Times New Roman"/>
                            <w:sz w:val="21"/>
                          </w:rPr>
                          <w:t>355</w:t>
                        </w:r>
                      </w:p>
                    </w:tc>
                    <w:tc>
                      <w:tcPr>
                        <w:tcW w:w="1328" w:type="dxa"/>
                      </w:tcPr>
                      <w:p>
                        <w:pPr>
                          <w:pStyle w:val="TableParagraph"/>
                          <w:spacing w:before="75"/>
                          <w:ind w:left="329" w:right="313"/>
                          <w:jc w:val="center"/>
                          <w:rPr>
                            <w:rFonts w:ascii="Times New Roman"/>
                            <w:sz w:val="21"/>
                          </w:rPr>
                        </w:pPr>
                        <w:r>
                          <w:rPr>
                            <w:rFonts w:ascii="Times New Roman"/>
                            <w:sz w:val="21"/>
                          </w:rPr>
                          <w:t>150</w:t>
                        </w:r>
                      </w:p>
                    </w:tc>
                    <w:tc>
                      <w:tcPr>
                        <w:tcW w:w="982" w:type="dxa"/>
                      </w:tcPr>
                      <w:p>
                        <w:pPr>
                          <w:pStyle w:val="TableParagraph"/>
                          <w:spacing w:before="75"/>
                          <w:ind w:left="19" w:right="9"/>
                          <w:jc w:val="center"/>
                          <w:rPr>
                            <w:rFonts w:ascii="Times New Roman"/>
                            <w:sz w:val="21"/>
                          </w:rPr>
                        </w:pPr>
                        <w:r>
                          <w:rPr>
                            <w:rFonts w:ascii="Times New Roman"/>
                            <w:sz w:val="21"/>
                          </w:rPr>
                          <w:t>220</w:t>
                        </w:r>
                      </w:p>
                    </w:tc>
                    <w:tc>
                      <w:tcPr>
                        <w:tcW w:w="979" w:type="dxa"/>
                      </w:tcPr>
                      <w:p>
                        <w:pPr>
                          <w:pStyle w:val="TableParagraph"/>
                          <w:spacing w:before="61"/>
                          <w:ind w:left="45" w:right="37"/>
                          <w:jc w:val="center"/>
                          <w:rPr>
                            <w:sz w:val="21"/>
                          </w:rPr>
                        </w:pPr>
                        <w:r>
                          <w:rPr>
                            <w:sz w:val="21"/>
                          </w:rPr>
                          <w:t>不达标</w:t>
                        </w:r>
                      </w:p>
                    </w:tc>
                  </w:tr>
                  <w:tr>
                    <w:tblPrEx>
                      <w:tblW w:w="0" w:type="auto"/>
                      <w:tblInd w:w="5" w:type="dxa"/>
                      <w:tblLayout w:type="fixed"/>
                      <w:tblCellMar>
                        <w:top w:w="0" w:type="dxa"/>
                        <w:left w:w="0" w:type="dxa"/>
                        <w:bottom w:w="0" w:type="dxa"/>
                        <w:right w:w="0" w:type="dxa"/>
                      </w:tblCellMar>
                    </w:tblPrEx>
                    <w:trPr>
                      <w:trHeight w:val="397"/>
                    </w:trPr>
                    <w:tc>
                      <w:tcPr>
                        <w:tcW w:w="1339" w:type="dxa"/>
                        <w:vMerge w:val="restart"/>
                      </w:tcPr>
                      <w:p>
                        <w:pPr>
                          <w:pStyle w:val="TableParagraph"/>
                          <w:spacing w:before="8"/>
                          <w:rPr>
                            <w:b/>
                            <w:sz w:val="21"/>
                          </w:rPr>
                        </w:pPr>
                      </w:p>
                      <w:p>
                        <w:pPr>
                          <w:pStyle w:val="TableParagraph"/>
                          <w:ind w:left="438"/>
                          <w:rPr>
                            <w:rFonts w:ascii="Times New Roman"/>
                            <w:sz w:val="13"/>
                          </w:rPr>
                        </w:pPr>
                        <w:r>
                          <w:rPr>
                            <w:rFonts w:ascii="Times New Roman"/>
                            <w:w w:val="105"/>
                            <w:position w:val="2"/>
                            <w:sz w:val="21"/>
                          </w:rPr>
                          <w:t>PM</w:t>
                        </w:r>
                        <w:r>
                          <w:rPr>
                            <w:rFonts w:ascii="Times New Roman"/>
                            <w:w w:val="105"/>
                            <w:sz w:val="13"/>
                          </w:rPr>
                          <w:t>2.5</w:t>
                        </w:r>
                      </w:p>
                    </w:tc>
                    <w:tc>
                      <w:tcPr>
                        <w:tcW w:w="2230" w:type="dxa"/>
                      </w:tcPr>
                      <w:p>
                        <w:pPr>
                          <w:pStyle w:val="TableParagraph"/>
                          <w:spacing w:before="62"/>
                          <w:ind w:left="93" w:right="89"/>
                          <w:jc w:val="center"/>
                          <w:rPr>
                            <w:sz w:val="21"/>
                          </w:rPr>
                        </w:pPr>
                        <w:r>
                          <w:rPr>
                            <w:sz w:val="21"/>
                          </w:rPr>
                          <w:t>年平均质量浓度</w:t>
                        </w:r>
                      </w:p>
                    </w:tc>
                    <w:tc>
                      <w:tcPr>
                        <w:tcW w:w="1336" w:type="dxa"/>
                      </w:tcPr>
                      <w:p>
                        <w:pPr>
                          <w:pStyle w:val="TableParagraph"/>
                          <w:spacing w:before="76"/>
                          <w:ind w:left="226" w:right="215"/>
                          <w:jc w:val="center"/>
                          <w:rPr>
                            <w:rFonts w:ascii="Times New Roman"/>
                            <w:sz w:val="21"/>
                          </w:rPr>
                        </w:pPr>
                        <w:r>
                          <w:rPr>
                            <w:rFonts w:ascii="Times New Roman"/>
                            <w:sz w:val="21"/>
                          </w:rPr>
                          <w:t>84.9</w:t>
                        </w:r>
                      </w:p>
                    </w:tc>
                    <w:tc>
                      <w:tcPr>
                        <w:tcW w:w="1328" w:type="dxa"/>
                      </w:tcPr>
                      <w:p>
                        <w:pPr>
                          <w:pStyle w:val="TableParagraph"/>
                          <w:spacing w:before="76"/>
                          <w:ind w:left="323" w:right="315"/>
                          <w:jc w:val="center"/>
                          <w:rPr>
                            <w:rFonts w:ascii="Times New Roman"/>
                            <w:sz w:val="21"/>
                          </w:rPr>
                        </w:pPr>
                        <w:r>
                          <w:rPr>
                            <w:rFonts w:ascii="Times New Roman"/>
                            <w:sz w:val="21"/>
                          </w:rPr>
                          <w:t>35</w:t>
                        </w:r>
                      </w:p>
                    </w:tc>
                    <w:tc>
                      <w:tcPr>
                        <w:tcW w:w="982" w:type="dxa"/>
                      </w:tcPr>
                      <w:p>
                        <w:pPr>
                          <w:pStyle w:val="TableParagraph"/>
                          <w:spacing w:before="76"/>
                          <w:ind w:left="19" w:right="9"/>
                          <w:jc w:val="center"/>
                          <w:rPr>
                            <w:rFonts w:ascii="Times New Roman"/>
                            <w:sz w:val="21"/>
                          </w:rPr>
                        </w:pPr>
                        <w:r>
                          <w:rPr>
                            <w:rFonts w:ascii="Times New Roman"/>
                            <w:sz w:val="21"/>
                          </w:rPr>
                          <w:t>240</w:t>
                        </w:r>
                      </w:p>
                    </w:tc>
                    <w:tc>
                      <w:tcPr>
                        <w:tcW w:w="979" w:type="dxa"/>
                      </w:tcPr>
                      <w:p>
                        <w:pPr>
                          <w:pStyle w:val="TableParagraph"/>
                          <w:spacing w:before="62"/>
                          <w:ind w:left="45" w:right="37"/>
                          <w:jc w:val="center"/>
                          <w:rPr>
                            <w:sz w:val="21"/>
                          </w:rPr>
                        </w:pPr>
                        <w:r>
                          <w:rPr>
                            <w:sz w:val="21"/>
                          </w:rPr>
                          <w:t>不达标</w:t>
                        </w:r>
                      </w:p>
                    </w:tc>
                  </w:tr>
                  <w:tr>
                    <w:tblPrEx>
                      <w:tblW w:w="0" w:type="auto"/>
                      <w:tblInd w:w="5" w:type="dxa"/>
                      <w:tblLayout w:type="fixed"/>
                      <w:tblCellMar>
                        <w:top w:w="0" w:type="dxa"/>
                        <w:left w:w="0" w:type="dxa"/>
                        <w:bottom w:w="0" w:type="dxa"/>
                        <w:right w:w="0" w:type="dxa"/>
                      </w:tblCellMar>
                    </w:tblPrEx>
                    <w:trPr>
                      <w:trHeight w:val="397"/>
                    </w:trPr>
                    <w:tc>
                      <w:tcPr>
                        <w:tcW w:w="1339" w:type="dxa"/>
                        <w:vMerge/>
                        <w:tcBorders>
                          <w:top w:val="nil"/>
                        </w:tcBorders>
                      </w:tcPr>
                      <w:p>
                        <w:pPr>
                          <w:rPr>
                            <w:sz w:val="2"/>
                            <w:szCs w:val="2"/>
                          </w:rPr>
                        </w:pPr>
                      </w:p>
                    </w:tc>
                    <w:tc>
                      <w:tcPr>
                        <w:tcW w:w="2230" w:type="dxa"/>
                      </w:tcPr>
                      <w:p>
                        <w:pPr>
                          <w:pStyle w:val="TableParagraph"/>
                          <w:spacing w:before="61"/>
                          <w:ind w:left="96" w:right="89"/>
                          <w:jc w:val="center"/>
                          <w:rPr>
                            <w:sz w:val="21"/>
                          </w:rPr>
                        </w:pPr>
                        <w:r>
                          <w:rPr>
                            <w:rFonts w:ascii="Times New Roman" w:eastAsia="Times New Roman"/>
                            <w:sz w:val="21"/>
                          </w:rPr>
                          <w:t>24h</w:t>
                        </w:r>
                        <w:r>
                          <w:rPr>
                            <w:sz w:val="21"/>
                          </w:rPr>
                          <w:t>平均第</w:t>
                        </w:r>
                        <w:r>
                          <w:rPr>
                            <w:rFonts w:ascii="Times New Roman" w:eastAsia="Times New Roman"/>
                            <w:sz w:val="21"/>
                          </w:rPr>
                          <w:t>95</w:t>
                        </w:r>
                        <w:r>
                          <w:rPr>
                            <w:sz w:val="21"/>
                          </w:rPr>
                          <w:t>百分位数</w:t>
                        </w:r>
                      </w:p>
                    </w:tc>
                    <w:tc>
                      <w:tcPr>
                        <w:tcW w:w="1336" w:type="dxa"/>
                      </w:tcPr>
                      <w:p>
                        <w:pPr>
                          <w:pStyle w:val="TableParagraph"/>
                          <w:spacing w:before="75"/>
                          <w:ind w:left="226" w:right="215"/>
                          <w:jc w:val="center"/>
                          <w:rPr>
                            <w:rFonts w:ascii="Times New Roman"/>
                            <w:sz w:val="21"/>
                          </w:rPr>
                        </w:pPr>
                        <w:r>
                          <w:rPr>
                            <w:rFonts w:ascii="Times New Roman"/>
                            <w:sz w:val="21"/>
                          </w:rPr>
                          <w:t>269</w:t>
                        </w:r>
                      </w:p>
                    </w:tc>
                    <w:tc>
                      <w:tcPr>
                        <w:tcW w:w="1328" w:type="dxa"/>
                      </w:tcPr>
                      <w:p>
                        <w:pPr>
                          <w:pStyle w:val="TableParagraph"/>
                          <w:spacing w:before="75"/>
                          <w:ind w:left="328" w:right="315"/>
                          <w:jc w:val="center"/>
                          <w:rPr>
                            <w:rFonts w:ascii="Times New Roman"/>
                            <w:sz w:val="21"/>
                          </w:rPr>
                        </w:pPr>
                        <w:r>
                          <w:rPr>
                            <w:rFonts w:ascii="Times New Roman"/>
                            <w:sz w:val="21"/>
                          </w:rPr>
                          <w:t>75</w:t>
                        </w:r>
                      </w:p>
                    </w:tc>
                    <w:tc>
                      <w:tcPr>
                        <w:tcW w:w="982" w:type="dxa"/>
                      </w:tcPr>
                      <w:p>
                        <w:pPr>
                          <w:pStyle w:val="TableParagraph"/>
                          <w:spacing w:before="75"/>
                          <w:ind w:left="19" w:right="9"/>
                          <w:jc w:val="center"/>
                          <w:rPr>
                            <w:rFonts w:ascii="Times New Roman"/>
                            <w:sz w:val="21"/>
                          </w:rPr>
                        </w:pPr>
                        <w:r>
                          <w:rPr>
                            <w:rFonts w:ascii="Times New Roman"/>
                            <w:sz w:val="21"/>
                          </w:rPr>
                          <w:t>360</w:t>
                        </w:r>
                      </w:p>
                    </w:tc>
                    <w:tc>
                      <w:tcPr>
                        <w:tcW w:w="979" w:type="dxa"/>
                      </w:tcPr>
                      <w:p>
                        <w:pPr>
                          <w:pStyle w:val="TableParagraph"/>
                          <w:spacing w:before="61"/>
                          <w:ind w:left="45" w:right="37"/>
                          <w:jc w:val="center"/>
                          <w:rPr>
                            <w:sz w:val="21"/>
                          </w:rPr>
                        </w:pPr>
                        <w:r>
                          <w:rPr>
                            <w:sz w:val="21"/>
                          </w:rPr>
                          <w:t>不达标</w:t>
                        </w:r>
                      </w:p>
                    </w:tc>
                  </w:tr>
                  <w:tr>
                    <w:tblPrEx>
                      <w:tblW w:w="0" w:type="auto"/>
                      <w:tblInd w:w="5" w:type="dxa"/>
                      <w:tblLayout w:type="fixed"/>
                      <w:tblCellMar>
                        <w:top w:w="0" w:type="dxa"/>
                        <w:left w:w="0" w:type="dxa"/>
                        <w:bottom w:w="0" w:type="dxa"/>
                        <w:right w:w="0" w:type="dxa"/>
                      </w:tblCellMar>
                    </w:tblPrEx>
                    <w:trPr>
                      <w:trHeight w:val="396"/>
                    </w:trPr>
                    <w:tc>
                      <w:tcPr>
                        <w:tcW w:w="1339" w:type="dxa"/>
                      </w:tcPr>
                      <w:p>
                        <w:pPr>
                          <w:pStyle w:val="TableParagraph"/>
                          <w:spacing w:before="62"/>
                          <w:ind w:left="14" w:right="7"/>
                          <w:jc w:val="center"/>
                          <w:rPr>
                            <w:sz w:val="21"/>
                          </w:rPr>
                        </w:pPr>
                        <w:r>
                          <w:rPr>
                            <w:rFonts w:ascii="Times New Roman" w:eastAsia="Times New Roman"/>
                            <w:sz w:val="21"/>
                          </w:rPr>
                          <w:t>CO</w:t>
                        </w:r>
                        <w:r>
                          <w:rPr>
                            <w:sz w:val="21"/>
                          </w:rPr>
                          <w:t>（</w:t>
                        </w:r>
                        <w:r>
                          <w:rPr>
                            <w:rFonts w:ascii="Times New Roman" w:eastAsia="Times New Roman"/>
                            <w:sz w:val="21"/>
                          </w:rPr>
                          <w:t>mg/m</w:t>
                        </w:r>
                        <w:r>
                          <w:rPr>
                            <w:rFonts w:ascii="Times New Roman" w:eastAsia="Times New Roman"/>
                            <w:position w:val="7"/>
                            <w:sz w:val="13"/>
                          </w:rPr>
                          <w:t>3</w:t>
                        </w:r>
                        <w:r>
                          <w:rPr>
                            <w:sz w:val="21"/>
                          </w:rPr>
                          <w:t>）</w:t>
                        </w:r>
                      </w:p>
                    </w:tc>
                    <w:tc>
                      <w:tcPr>
                        <w:tcW w:w="2230" w:type="dxa"/>
                      </w:tcPr>
                      <w:p>
                        <w:pPr>
                          <w:pStyle w:val="TableParagraph"/>
                          <w:spacing w:before="62"/>
                          <w:ind w:left="96" w:right="87"/>
                          <w:jc w:val="center"/>
                          <w:rPr>
                            <w:sz w:val="21"/>
                          </w:rPr>
                        </w:pPr>
                        <w:r>
                          <w:rPr>
                            <w:sz w:val="21"/>
                          </w:rPr>
                          <w:t>日均值第</w:t>
                        </w:r>
                        <w:r>
                          <w:rPr>
                            <w:rFonts w:ascii="Times New Roman" w:eastAsia="Times New Roman"/>
                            <w:sz w:val="21"/>
                          </w:rPr>
                          <w:t>95</w:t>
                        </w:r>
                        <w:r>
                          <w:rPr>
                            <w:sz w:val="21"/>
                          </w:rPr>
                          <w:t>百分位数</w:t>
                        </w:r>
                      </w:p>
                    </w:tc>
                    <w:tc>
                      <w:tcPr>
                        <w:tcW w:w="1336" w:type="dxa"/>
                      </w:tcPr>
                      <w:p>
                        <w:pPr>
                          <w:pStyle w:val="TableParagraph"/>
                          <w:spacing w:before="76"/>
                          <w:ind w:left="221" w:right="215"/>
                          <w:jc w:val="center"/>
                          <w:rPr>
                            <w:rFonts w:ascii="Times New Roman"/>
                            <w:sz w:val="21"/>
                          </w:rPr>
                        </w:pPr>
                        <w:r>
                          <w:rPr>
                            <w:rFonts w:ascii="Times New Roman"/>
                            <w:sz w:val="21"/>
                          </w:rPr>
                          <w:t>1.2</w:t>
                        </w:r>
                      </w:p>
                    </w:tc>
                    <w:tc>
                      <w:tcPr>
                        <w:tcW w:w="1328" w:type="dxa"/>
                      </w:tcPr>
                      <w:p>
                        <w:pPr>
                          <w:pStyle w:val="TableParagraph"/>
                          <w:spacing w:before="76"/>
                          <w:ind w:left="11"/>
                          <w:jc w:val="center"/>
                          <w:rPr>
                            <w:rFonts w:ascii="Times New Roman"/>
                            <w:sz w:val="21"/>
                          </w:rPr>
                        </w:pPr>
                        <w:r>
                          <w:rPr>
                            <w:rFonts w:ascii="Times New Roman"/>
                            <w:w w:val="99"/>
                            <w:sz w:val="21"/>
                          </w:rPr>
                          <w:t>4</w:t>
                        </w:r>
                      </w:p>
                    </w:tc>
                    <w:tc>
                      <w:tcPr>
                        <w:tcW w:w="982" w:type="dxa"/>
                      </w:tcPr>
                      <w:p>
                        <w:pPr>
                          <w:pStyle w:val="TableParagraph"/>
                          <w:spacing w:before="76"/>
                          <w:ind w:left="19" w:right="9"/>
                          <w:jc w:val="center"/>
                          <w:rPr>
                            <w:rFonts w:ascii="Times New Roman"/>
                            <w:sz w:val="21"/>
                          </w:rPr>
                        </w:pPr>
                        <w:r>
                          <w:rPr>
                            <w:rFonts w:ascii="Times New Roman"/>
                            <w:sz w:val="21"/>
                          </w:rPr>
                          <w:t>30</w:t>
                        </w:r>
                      </w:p>
                    </w:tc>
                    <w:tc>
                      <w:tcPr>
                        <w:tcW w:w="979" w:type="dxa"/>
                      </w:tcPr>
                      <w:p>
                        <w:pPr>
                          <w:pStyle w:val="TableParagraph"/>
                          <w:spacing w:before="62"/>
                          <w:ind w:left="40" w:right="37"/>
                          <w:jc w:val="center"/>
                          <w:rPr>
                            <w:sz w:val="21"/>
                          </w:rPr>
                        </w:pPr>
                        <w:r>
                          <w:rPr>
                            <w:sz w:val="21"/>
                          </w:rPr>
                          <w:t>达标</w:t>
                        </w:r>
                      </w:p>
                    </w:tc>
                  </w:tr>
                  <w:tr>
                    <w:tblPrEx>
                      <w:tblW w:w="0" w:type="auto"/>
                      <w:tblInd w:w="5" w:type="dxa"/>
                      <w:tblLayout w:type="fixed"/>
                      <w:tblCellMar>
                        <w:top w:w="0" w:type="dxa"/>
                        <w:left w:w="0" w:type="dxa"/>
                        <w:bottom w:w="0" w:type="dxa"/>
                        <w:right w:w="0" w:type="dxa"/>
                      </w:tblCellMar>
                    </w:tblPrEx>
                    <w:trPr>
                      <w:trHeight w:val="543"/>
                    </w:trPr>
                    <w:tc>
                      <w:tcPr>
                        <w:tcW w:w="1339" w:type="dxa"/>
                      </w:tcPr>
                      <w:p>
                        <w:pPr>
                          <w:pStyle w:val="TableParagraph"/>
                          <w:spacing w:before="146"/>
                          <w:ind w:left="14" w:right="6"/>
                          <w:jc w:val="center"/>
                          <w:rPr>
                            <w:rFonts w:ascii="Times New Roman"/>
                            <w:sz w:val="21"/>
                          </w:rPr>
                        </w:pPr>
                        <w:r>
                          <w:rPr>
                            <w:rFonts w:ascii="Times New Roman"/>
                            <w:position w:val="2"/>
                            <w:sz w:val="21"/>
                          </w:rPr>
                          <w:t>O</w:t>
                        </w:r>
                        <w:r>
                          <w:rPr>
                            <w:rFonts w:ascii="Times New Roman"/>
                            <w:position w:val="2"/>
                            <w:sz w:val="21"/>
                            <w:vertAlign w:val="subscript"/>
                          </w:rPr>
                          <w:t>3</w:t>
                        </w:r>
                      </w:p>
                    </w:tc>
                    <w:tc>
                      <w:tcPr>
                        <w:tcW w:w="2230" w:type="dxa"/>
                      </w:tcPr>
                      <w:p>
                        <w:pPr>
                          <w:pStyle w:val="TableParagraph"/>
                          <w:ind w:left="4" w:right="-15"/>
                          <w:jc w:val="center"/>
                          <w:rPr>
                            <w:rFonts w:ascii="Times New Roman" w:eastAsia="Times New Roman"/>
                            <w:sz w:val="21"/>
                          </w:rPr>
                        </w:pPr>
                        <w:r>
                          <w:rPr>
                            <w:sz w:val="21"/>
                          </w:rPr>
                          <w:t>日最大</w:t>
                        </w:r>
                        <w:r>
                          <w:rPr>
                            <w:rFonts w:ascii="Times New Roman" w:eastAsia="Times New Roman"/>
                            <w:sz w:val="21"/>
                          </w:rPr>
                          <w:t>8</w:t>
                        </w:r>
                        <w:r>
                          <w:rPr>
                            <w:sz w:val="21"/>
                          </w:rPr>
                          <w:t>小时平均值第</w:t>
                        </w:r>
                        <w:r>
                          <w:rPr>
                            <w:rFonts w:ascii="Times New Roman" w:eastAsia="Times New Roman"/>
                            <w:sz w:val="21"/>
                          </w:rPr>
                          <w:t>90</w:t>
                        </w:r>
                      </w:p>
                      <w:p>
                        <w:pPr>
                          <w:pStyle w:val="TableParagraph"/>
                          <w:spacing w:before="3" w:line="252" w:lineRule="exact"/>
                          <w:ind w:left="96" w:right="89"/>
                          <w:jc w:val="center"/>
                          <w:rPr>
                            <w:sz w:val="21"/>
                          </w:rPr>
                        </w:pPr>
                        <w:r>
                          <w:rPr>
                            <w:sz w:val="21"/>
                          </w:rPr>
                          <w:t>百分位数</w:t>
                        </w:r>
                      </w:p>
                    </w:tc>
                    <w:tc>
                      <w:tcPr>
                        <w:tcW w:w="1336" w:type="dxa"/>
                      </w:tcPr>
                      <w:p>
                        <w:pPr>
                          <w:pStyle w:val="TableParagraph"/>
                          <w:spacing w:before="149"/>
                          <w:ind w:left="226" w:right="215"/>
                          <w:jc w:val="center"/>
                          <w:rPr>
                            <w:rFonts w:ascii="Times New Roman"/>
                            <w:sz w:val="21"/>
                          </w:rPr>
                        </w:pPr>
                        <w:r>
                          <w:rPr>
                            <w:rFonts w:ascii="Times New Roman"/>
                            <w:sz w:val="21"/>
                          </w:rPr>
                          <w:t>160</w:t>
                        </w:r>
                      </w:p>
                    </w:tc>
                    <w:tc>
                      <w:tcPr>
                        <w:tcW w:w="1328" w:type="dxa"/>
                      </w:tcPr>
                      <w:p>
                        <w:pPr>
                          <w:pStyle w:val="TableParagraph"/>
                          <w:spacing w:before="149"/>
                          <w:ind w:left="329" w:right="313"/>
                          <w:jc w:val="center"/>
                          <w:rPr>
                            <w:rFonts w:ascii="Times New Roman"/>
                            <w:sz w:val="21"/>
                          </w:rPr>
                        </w:pPr>
                        <w:r>
                          <w:rPr>
                            <w:rFonts w:ascii="Times New Roman"/>
                            <w:sz w:val="21"/>
                          </w:rPr>
                          <w:t>160</w:t>
                        </w:r>
                      </w:p>
                    </w:tc>
                    <w:tc>
                      <w:tcPr>
                        <w:tcW w:w="982" w:type="dxa"/>
                      </w:tcPr>
                      <w:p>
                        <w:pPr>
                          <w:pStyle w:val="TableParagraph"/>
                          <w:spacing w:before="149"/>
                          <w:ind w:left="19" w:right="9"/>
                          <w:jc w:val="center"/>
                          <w:rPr>
                            <w:rFonts w:ascii="Times New Roman"/>
                            <w:sz w:val="21"/>
                          </w:rPr>
                        </w:pPr>
                        <w:r>
                          <w:rPr>
                            <w:rFonts w:ascii="Times New Roman"/>
                            <w:sz w:val="21"/>
                          </w:rPr>
                          <w:t>100</w:t>
                        </w:r>
                      </w:p>
                    </w:tc>
                    <w:tc>
                      <w:tcPr>
                        <w:tcW w:w="979" w:type="dxa"/>
                      </w:tcPr>
                      <w:p>
                        <w:pPr>
                          <w:pStyle w:val="TableParagraph"/>
                          <w:spacing w:before="135"/>
                          <w:ind w:left="40" w:right="37"/>
                          <w:jc w:val="center"/>
                          <w:rPr>
                            <w:sz w:val="21"/>
                          </w:rPr>
                        </w:pPr>
                        <w:r>
                          <w:rPr>
                            <w:sz w:val="21"/>
                          </w:rPr>
                          <w:t>达标</w:t>
                        </w:r>
                      </w:p>
                    </w:tc>
                  </w:tr>
                </w:tbl>
                <w:p>
                  <w:pPr>
                    <w:pStyle w:val="BodyText"/>
                  </w:pPr>
                </w:p>
              </w:txbxContent>
            </v:textbox>
          </v:shape>
        </w:pict>
      </w:r>
      <w:bookmarkStart w:id="3" w:name="_TOC_250003"/>
      <w:bookmarkEnd w:id="3"/>
      <w:r>
        <w:t>三、区域环境质量现状、环境保护目标及评价标准</w:t>
      </w:r>
    </w:p>
    <w:p>
      <w:pPr>
        <w:pStyle w:val="BodyText"/>
        <w:spacing w:before="7"/>
        <w:rPr>
          <w:b/>
          <w:sz w:val="9"/>
        </w:rPr>
      </w:pPr>
    </w:p>
    <w:tbl>
      <w:tblPr>
        <w:tblStyle w:val="TableNormal"/>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23"/>
        <w:gridCol w:w="8420"/>
      </w:tblGrid>
      <w:tr>
        <w:tblPrEx>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93"/>
        </w:trPr>
        <w:tc>
          <w:tcPr>
            <w:tcW w:w="823" w:type="dxa"/>
            <w:tcBorders>
              <w:bottom w:val="nil"/>
              <w:right w:val="single" w:sz="4" w:space="0" w:color="000000"/>
            </w:tcBorders>
          </w:tcPr>
          <w:p>
            <w:pPr>
              <w:pStyle w:val="TableParagraph"/>
              <w:rPr>
                <w:rFonts w:ascii="Times New Roman"/>
                <w:sz w:val="22"/>
              </w:rPr>
            </w:pPr>
          </w:p>
        </w:tc>
        <w:tc>
          <w:tcPr>
            <w:tcW w:w="8420" w:type="dxa"/>
            <w:tcBorders>
              <w:left w:val="single" w:sz="4" w:space="0" w:color="000000"/>
              <w:bottom w:val="nil"/>
            </w:tcBorders>
          </w:tcPr>
          <w:p>
            <w:pPr>
              <w:pStyle w:val="TableParagraph"/>
              <w:spacing w:before="2"/>
              <w:ind w:left="112"/>
              <w:rPr>
                <w:b/>
                <w:sz w:val="24"/>
              </w:rPr>
            </w:pPr>
            <w:r>
              <w:rPr>
                <w:rFonts w:ascii="Times New Roman" w:eastAsia="Times New Roman"/>
                <w:b/>
                <w:sz w:val="24"/>
              </w:rPr>
              <w:t>1</w:t>
            </w:r>
            <w:r>
              <w:rPr>
                <w:b/>
                <w:sz w:val="24"/>
              </w:rPr>
              <w:t>、大气环境</w:t>
            </w:r>
          </w:p>
        </w:tc>
      </w:tr>
      <w:tr>
        <w:tblPrEx>
          <w:tblW w:w="0" w:type="auto"/>
          <w:tblInd w:w="222" w:type="dxa"/>
          <w:tblLayout w:type="fixed"/>
          <w:tblCellMar>
            <w:top w:w="0" w:type="dxa"/>
            <w:left w:w="0" w:type="dxa"/>
            <w:bottom w:w="0" w:type="dxa"/>
            <w:right w:w="0" w:type="dxa"/>
          </w:tblCellMar>
        </w:tblPrEx>
        <w:trPr>
          <w:trHeight w:val="465"/>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3"/>
              <w:ind w:left="592"/>
              <w:rPr>
                <w:b/>
                <w:sz w:val="24"/>
              </w:rPr>
            </w:pPr>
            <w:r>
              <w:rPr>
                <w:b/>
                <w:sz w:val="24"/>
              </w:rPr>
              <w:t>（</w:t>
            </w:r>
            <w:r>
              <w:rPr>
                <w:rFonts w:ascii="Times New Roman" w:eastAsia="Times New Roman"/>
                <w:b/>
                <w:sz w:val="24"/>
              </w:rPr>
              <w:t>1</w:t>
            </w:r>
            <w:r>
              <w:rPr>
                <w:b/>
                <w:sz w:val="24"/>
              </w:rPr>
              <w:t>）区域基准污染物环境质量达标情况</w:t>
            </w:r>
          </w:p>
        </w:tc>
      </w:tr>
      <w:tr>
        <w:tblPrEx>
          <w:tblW w:w="0" w:type="auto"/>
          <w:tblInd w:w="222" w:type="dxa"/>
          <w:tblLayout w:type="fixed"/>
          <w:tblCellMar>
            <w:top w:w="0" w:type="dxa"/>
            <w:left w:w="0" w:type="dxa"/>
            <w:bottom w:w="0" w:type="dxa"/>
            <w:right w:w="0" w:type="dxa"/>
          </w:tblCellMar>
        </w:tblPrEx>
        <w:trPr>
          <w:trHeight w:val="466"/>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6"/>
              <w:ind w:right="87"/>
              <w:jc w:val="right"/>
              <w:rPr>
                <w:sz w:val="24"/>
              </w:rPr>
            </w:pPr>
            <w:r>
              <w:rPr>
                <w:sz w:val="24"/>
              </w:rPr>
              <w:t xml:space="preserve">本项目以 </w:t>
            </w:r>
            <w:r>
              <w:rPr>
                <w:rFonts w:ascii="Times New Roman" w:eastAsia="Times New Roman"/>
                <w:sz w:val="24"/>
              </w:rPr>
              <w:t xml:space="preserve">2022 </w:t>
            </w:r>
            <w:r>
              <w:rPr>
                <w:sz w:val="24"/>
              </w:rPr>
              <w:t>年为基准年，基本污染物环境质量现状数据采用宁津康宁</w:t>
            </w:r>
          </w:p>
        </w:tc>
      </w:tr>
      <w:tr>
        <w:tblPrEx>
          <w:tblW w:w="0" w:type="auto"/>
          <w:tblInd w:w="222" w:type="dxa"/>
          <w:tblLayout w:type="fixed"/>
          <w:tblCellMar>
            <w:top w:w="0" w:type="dxa"/>
            <w:left w:w="0" w:type="dxa"/>
            <w:bottom w:w="0" w:type="dxa"/>
            <w:right w:w="0" w:type="dxa"/>
          </w:tblCellMar>
        </w:tblPrEx>
        <w:trPr>
          <w:trHeight w:val="464"/>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5"/>
              <w:ind w:left="112"/>
              <w:rPr>
                <w:sz w:val="24"/>
              </w:rPr>
            </w:pPr>
            <w:r>
              <w:rPr>
                <w:sz w:val="24"/>
              </w:rPr>
              <w:t xml:space="preserve">湖公园 </w:t>
            </w:r>
            <w:r>
              <w:rPr>
                <w:rFonts w:ascii="Times New Roman" w:eastAsia="Times New Roman"/>
                <w:sz w:val="24"/>
              </w:rPr>
              <w:t xml:space="preserve">2022 </w:t>
            </w:r>
            <w:r>
              <w:rPr>
                <w:sz w:val="24"/>
              </w:rPr>
              <w:t>年基准年连续一年的例行监测数据，评价结果见下表：</w:t>
            </w:r>
          </w:p>
        </w:tc>
      </w:tr>
      <w:tr>
        <w:tblPrEx>
          <w:tblW w:w="0" w:type="auto"/>
          <w:tblInd w:w="222" w:type="dxa"/>
          <w:tblLayout w:type="fixed"/>
          <w:tblCellMar>
            <w:top w:w="0" w:type="dxa"/>
            <w:left w:w="0" w:type="dxa"/>
            <w:bottom w:w="0" w:type="dxa"/>
            <w:right w:w="0" w:type="dxa"/>
          </w:tblCellMar>
        </w:tblPrEx>
        <w:trPr>
          <w:trHeight w:val="2246"/>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8"/>
              <w:ind w:left="1385" w:right="1626"/>
              <w:jc w:val="center"/>
              <w:rPr>
                <w:rFonts w:ascii="Times New Roman" w:eastAsia="Times New Roman"/>
                <w:b/>
                <w:sz w:val="15"/>
              </w:rPr>
            </w:pPr>
            <w:r>
              <w:rPr>
                <w:b/>
                <w:sz w:val="24"/>
              </w:rPr>
              <w:t xml:space="preserve">表 </w:t>
            </w:r>
            <w:r>
              <w:rPr>
                <w:rFonts w:ascii="Times New Roman" w:eastAsia="Times New Roman"/>
                <w:b/>
                <w:sz w:val="24"/>
              </w:rPr>
              <w:t xml:space="preserve">17 </w:t>
            </w:r>
            <w:r>
              <w:rPr>
                <w:b/>
                <w:sz w:val="24"/>
              </w:rPr>
              <w:t xml:space="preserve">宁津县环境空气污染物监测结果 单位 </w:t>
            </w:r>
            <w:r>
              <w:rPr>
                <w:rFonts w:ascii="Times New Roman" w:eastAsia="Times New Roman"/>
                <w:b/>
                <w:sz w:val="24"/>
              </w:rPr>
              <w:t>ug/m</w:t>
            </w:r>
            <w:r>
              <w:rPr>
                <w:rFonts w:ascii="Times New Roman" w:eastAsia="Times New Roman"/>
                <w:b/>
                <w:position w:val="8"/>
                <w:sz w:val="15"/>
              </w:rPr>
              <w:t>3</w:t>
            </w:r>
          </w:p>
        </w:tc>
      </w:tr>
      <w:tr>
        <w:tblPrEx>
          <w:tblW w:w="0" w:type="auto"/>
          <w:tblInd w:w="222" w:type="dxa"/>
          <w:tblLayout w:type="fixed"/>
          <w:tblCellMar>
            <w:top w:w="0" w:type="dxa"/>
            <w:left w:w="0" w:type="dxa"/>
            <w:bottom w:w="0" w:type="dxa"/>
            <w:right w:w="0" w:type="dxa"/>
          </w:tblCellMar>
        </w:tblPrEx>
        <w:trPr>
          <w:trHeight w:val="3289"/>
        </w:trPr>
        <w:tc>
          <w:tcPr>
            <w:tcW w:w="823" w:type="dxa"/>
            <w:tcBorders>
              <w:top w:val="nil"/>
              <w:bottom w:val="nil"/>
              <w:right w:val="single" w:sz="4" w:space="0" w:color="000000"/>
            </w:tcBorders>
          </w:tcPr>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spacing w:before="10"/>
              <w:rPr>
                <w:b/>
                <w:sz w:val="23"/>
              </w:rPr>
            </w:pPr>
          </w:p>
          <w:p>
            <w:pPr>
              <w:pStyle w:val="TableParagraph"/>
              <w:spacing w:line="242" w:lineRule="auto"/>
              <w:ind w:left="170" w:right="157"/>
              <w:jc w:val="both"/>
              <w:rPr>
                <w:sz w:val="24"/>
              </w:rPr>
            </w:pPr>
            <w:r>
              <w:rPr>
                <w:sz w:val="24"/>
              </w:rPr>
              <w:t>区域环境质量现状</w:t>
            </w:r>
          </w:p>
        </w:tc>
        <w:tc>
          <w:tcPr>
            <w:tcW w:w="8420" w:type="dxa"/>
            <w:tcBorders>
              <w:top w:val="nil"/>
              <w:left w:val="single" w:sz="4" w:space="0" w:color="000000"/>
              <w:bottom w:val="nil"/>
            </w:tcBorders>
          </w:tcPr>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230"/>
              <w:ind w:right="87"/>
              <w:jc w:val="right"/>
              <w:rPr>
                <w:sz w:val="24"/>
              </w:rPr>
            </w:pPr>
            <w:r>
              <w:rPr>
                <w:position w:val="2"/>
                <w:sz w:val="24"/>
              </w:rPr>
              <w:t xml:space="preserve">根据上表可知，评价区域内 </w:t>
            </w:r>
            <w:r>
              <w:rPr>
                <w:rFonts w:ascii="Times New Roman" w:eastAsia="Times New Roman"/>
                <w:position w:val="2"/>
                <w:sz w:val="24"/>
              </w:rPr>
              <w:t>PM</w:t>
            </w:r>
            <w:r>
              <w:rPr>
                <w:rFonts w:ascii="Times New Roman" w:eastAsia="Times New Roman"/>
                <w:position w:val="2"/>
                <w:sz w:val="24"/>
                <w:vertAlign w:val="subscript"/>
              </w:rPr>
              <w:t>10</w:t>
            </w:r>
            <w:r>
              <w:rPr>
                <w:position w:val="2"/>
                <w:sz w:val="24"/>
                <w:vertAlign w:val="baseline"/>
              </w:rPr>
              <w:t>、</w:t>
            </w:r>
            <w:r>
              <w:rPr>
                <w:rFonts w:ascii="Times New Roman" w:eastAsia="Times New Roman"/>
                <w:position w:val="2"/>
                <w:sz w:val="24"/>
                <w:vertAlign w:val="baseline"/>
              </w:rPr>
              <w:t>PM</w:t>
            </w:r>
            <w:r>
              <w:rPr>
                <w:rFonts w:ascii="Times New Roman" w:eastAsia="Times New Roman"/>
                <w:position w:val="2"/>
                <w:sz w:val="24"/>
                <w:vertAlign w:val="subscript"/>
              </w:rPr>
              <w:t>2.5</w:t>
            </w:r>
            <w:r>
              <w:rPr>
                <w:rFonts w:ascii="Times New Roman" w:eastAsia="Times New Roman"/>
                <w:position w:val="2"/>
                <w:sz w:val="24"/>
                <w:vertAlign w:val="baseline"/>
              </w:rPr>
              <w:t xml:space="preserve"> </w:t>
            </w:r>
            <w:r>
              <w:rPr>
                <w:position w:val="2"/>
                <w:sz w:val="24"/>
                <w:vertAlign w:val="baseline"/>
              </w:rPr>
              <w:t xml:space="preserve">的年平均质量浓度及 </w:t>
            </w:r>
            <w:r>
              <w:rPr>
                <w:rFonts w:ascii="Times New Roman" w:eastAsia="Times New Roman"/>
                <w:position w:val="2"/>
                <w:sz w:val="24"/>
                <w:vertAlign w:val="baseline"/>
              </w:rPr>
              <w:t xml:space="preserve">24h </w:t>
            </w:r>
            <w:r>
              <w:rPr>
                <w:position w:val="2"/>
                <w:sz w:val="24"/>
                <w:vertAlign w:val="baseline"/>
              </w:rPr>
              <w:t>平均第</w:t>
            </w:r>
          </w:p>
        </w:tc>
      </w:tr>
      <w:tr>
        <w:tblPrEx>
          <w:tblW w:w="0" w:type="auto"/>
          <w:tblInd w:w="222" w:type="dxa"/>
          <w:tblLayout w:type="fixed"/>
          <w:tblCellMar>
            <w:top w:w="0" w:type="dxa"/>
            <w:left w:w="0" w:type="dxa"/>
            <w:bottom w:w="0" w:type="dxa"/>
            <w:right w:w="0" w:type="dxa"/>
          </w:tblCellMar>
        </w:tblPrEx>
        <w:trPr>
          <w:trHeight w:val="467"/>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3"/>
              <w:ind w:left="112"/>
              <w:rPr>
                <w:sz w:val="24"/>
              </w:rPr>
            </w:pPr>
            <w:r>
              <w:rPr>
                <w:rFonts w:ascii="Times New Roman" w:eastAsia="Times New Roman"/>
                <w:position w:val="2"/>
                <w:sz w:val="24"/>
              </w:rPr>
              <w:t xml:space="preserve">95 </w:t>
            </w:r>
            <w:r>
              <w:rPr>
                <w:position w:val="2"/>
                <w:sz w:val="24"/>
              </w:rPr>
              <w:t>百分位数、</w:t>
            </w:r>
            <w:r>
              <w:rPr>
                <w:rFonts w:ascii="Times New Roman" w:eastAsia="Times New Roman"/>
                <w:position w:val="2"/>
                <w:sz w:val="24"/>
              </w:rPr>
              <w:t>O</w:t>
            </w:r>
            <w:r>
              <w:rPr>
                <w:rFonts w:ascii="Times New Roman" w:eastAsia="Times New Roman"/>
                <w:position w:val="2"/>
                <w:sz w:val="24"/>
                <w:vertAlign w:val="subscript"/>
              </w:rPr>
              <w:t>3</w:t>
            </w:r>
            <w:r>
              <w:rPr>
                <w:rFonts w:ascii="Times New Roman" w:eastAsia="Times New Roman"/>
                <w:position w:val="2"/>
                <w:sz w:val="24"/>
                <w:vertAlign w:val="baseline"/>
              </w:rPr>
              <w:t xml:space="preserve"> </w:t>
            </w:r>
            <w:r>
              <w:rPr>
                <w:position w:val="2"/>
                <w:sz w:val="24"/>
                <w:vertAlign w:val="baseline"/>
              </w:rPr>
              <w:t xml:space="preserve">日最大 </w:t>
            </w:r>
            <w:r>
              <w:rPr>
                <w:rFonts w:ascii="Times New Roman" w:eastAsia="Times New Roman"/>
                <w:position w:val="2"/>
                <w:sz w:val="24"/>
                <w:vertAlign w:val="baseline"/>
              </w:rPr>
              <w:t xml:space="preserve">8 </w:t>
            </w:r>
            <w:r>
              <w:rPr>
                <w:position w:val="2"/>
                <w:sz w:val="24"/>
                <w:vertAlign w:val="baseline"/>
              </w:rPr>
              <w:t xml:space="preserve">小时平均值的第 </w:t>
            </w:r>
            <w:r>
              <w:rPr>
                <w:rFonts w:ascii="Times New Roman" w:eastAsia="Times New Roman"/>
                <w:position w:val="2"/>
                <w:sz w:val="24"/>
                <w:vertAlign w:val="baseline"/>
              </w:rPr>
              <w:t xml:space="preserve">90 </w:t>
            </w:r>
            <w:r>
              <w:rPr>
                <w:position w:val="2"/>
                <w:sz w:val="24"/>
                <w:vertAlign w:val="baseline"/>
              </w:rPr>
              <w:t>百分位数均不满足《环境空气质</w:t>
            </w:r>
          </w:p>
        </w:tc>
      </w:tr>
      <w:tr>
        <w:tblPrEx>
          <w:tblW w:w="0" w:type="auto"/>
          <w:tblInd w:w="222" w:type="dxa"/>
          <w:tblLayout w:type="fixed"/>
          <w:tblCellMar>
            <w:top w:w="0" w:type="dxa"/>
            <w:left w:w="0" w:type="dxa"/>
            <w:bottom w:w="0" w:type="dxa"/>
            <w:right w:w="0" w:type="dxa"/>
          </w:tblCellMar>
        </w:tblPrEx>
        <w:trPr>
          <w:trHeight w:val="471"/>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4"/>
              <w:ind w:left="112"/>
              <w:rPr>
                <w:sz w:val="24"/>
              </w:rPr>
            </w:pPr>
            <w:r>
              <w:rPr>
                <w:sz w:val="24"/>
              </w:rPr>
              <w:t>量标准》（</w:t>
            </w:r>
            <w:r>
              <w:rPr>
                <w:rFonts w:ascii="Times New Roman" w:eastAsia="Times New Roman"/>
                <w:sz w:val="24"/>
              </w:rPr>
              <w:t>GB3095-2012</w:t>
            </w:r>
            <w:r>
              <w:rPr>
                <w:sz w:val="24"/>
              </w:rPr>
              <w:t>）中二级标准要求。确定本项目所在区域环境空气质</w:t>
            </w:r>
          </w:p>
        </w:tc>
      </w:tr>
      <w:tr>
        <w:tblPrEx>
          <w:tblW w:w="0" w:type="auto"/>
          <w:tblInd w:w="222" w:type="dxa"/>
          <w:tblLayout w:type="fixed"/>
          <w:tblCellMar>
            <w:top w:w="0" w:type="dxa"/>
            <w:left w:w="0" w:type="dxa"/>
            <w:bottom w:w="0" w:type="dxa"/>
            <w:right w:w="0" w:type="dxa"/>
          </w:tblCellMar>
        </w:tblPrEx>
        <w:trPr>
          <w:trHeight w:val="452"/>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1"/>
              <w:ind w:left="112"/>
              <w:rPr>
                <w:sz w:val="24"/>
              </w:rPr>
            </w:pPr>
            <w:r>
              <w:rPr>
                <w:sz w:val="24"/>
              </w:rPr>
              <w:t>量属于不达标区。</w:t>
            </w:r>
          </w:p>
        </w:tc>
      </w:tr>
      <w:tr>
        <w:tblPrEx>
          <w:tblW w:w="0" w:type="auto"/>
          <w:tblInd w:w="222" w:type="dxa"/>
          <w:tblLayout w:type="fixed"/>
          <w:tblCellMar>
            <w:top w:w="0" w:type="dxa"/>
            <w:left w:w="0" w:type="dxa"/>
            <w:bottom w:w="0" w:type="dxa"/>
            <w:right w:w="0" w:type="dxa"/>
          </w:tblCellMar>
        </w:tblPrEx>
        <w:trPr>
          <w:trHeight w:val="474"/>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84"/>
              <w:ind w:left="592"/>
              <w:rPr>
                <w:b/>
                <w:sz w:val="24"/>
              </w:rPr>
            </w:pPr>
            <w:r>
              <w:rPr>
                <w:b/>
                <w:sz w:val="24"/>
              </w:rPr>
              <w:t>（</w:t>
            </w:r>
            <w:r>
              <w:rPr>
                <w:rFonts w:ascii="Times New Roman" w:eastAsia="Times New Roman"/>
                <w:b/>
                <w:sz w:val="24"/>
              </w:rPr>
              <w:t>2</w:t>
            </w:r>
            <w:r>
              <w:rPr>
                <w:b/>
                <w:sz w:val="24"/>
              </w:rPr>
              <w:t>）特征污染物环境质量现状评价</w:t>
            </w:r>
          </w:p>
        </w:tc>
      </w:tr>
      <w:tr>
        <w:tblPrEx>
          <w:tblW w:w="0" w:type="auto"/>
          <w:tblInd w:w="222" w:type="dxa"/>
          <w:tblLayout w:type="fixed"/>
          <w:tblCellMar>
            <w:top w:w="0" w:type="dxa"/>
            <w:left w:w="0" w:type="dxa"/>
            <w:bottom w:w="0" w:type="dxa"/>
            <w:right w:w="0" w:type="dxa"/>
          </w:tblCellMar>
        </w:tblPrEx>
        <w:trPr>
          <w:trHeight w:val="467"/>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5"/>
              <w:ind w:right="88"/>
              <w:jc w:val="right"/>
              <w:rPr>
                <w:rFonts w:ascii="Times New Roman" w:eastAsia="Times New Roman"/>
                <w:sz w:val="24"/>
              </w:rPr>
            </w:pPr>
            <w:r>
              <w:rPr>
                <w:sz w:val="24"/>
              </w:rPr>
              <w:t xml:space="preserve">本项目涉及的特征污染物为 </w:t>
            </w:r>
            <w:r>
              <w:rPr>
                <w:rFonts w:ascii="Times New Roman" w:eastAsia="Times New Roman"/>
                <w:sz w:val="24"/>
              </w:rPr>
              <w:t>VOCs</w:t>
            </w:r>
            <w:r>
              <w:rPr>
                <w:sz w:val="24"/>
              </w:rPr>
              <w:t>，在《环境空气质量标准》（</w:t>
            </w:r>
            <w:r>
              <w:rPr>
                <w:rFonts w:ascii="Times New Roman" w:eastAsia="Times New Roman"/>
                <w:sz w:val="24"/>
              </w:rPr>
              <w:t>GB3095-</w:t>
            </w:r>
          </w:p>
        </w:tc>
      </w:tr>
      <w:tr>
        <w:tblPrEx>
          <w:tblW w:w="0" w:type="auto"/>
          <w:tblInd w:w="222" w:type="dxa"/>
          <w:tblLayout w:type="fixed"/>
          <w:tblCellMar>
            <w:top w:w="0" w:type="dxa"/>
            <w:left w:w="0" w:type="dxa"/>
            <w:bottom w:w="0" w:type="dxa"/>
            <w:right w:w="0" w:type="dxa"/>
          </w:tblCellMar>
        </w:tblPrEx>
        <w:trPr>
          <w:trHeight w:val="466"/>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5"/>
              <w:ind w:left="112"/>
              <w:rPr>
                <w:sz w:val="24"/>
              </w:rPr>
            </w:pPr>
            <w:r>
              <w:rPr>
                <w:rFonts w:ascii="Times New Roman" w:eastAsia="Times New Roman"/>
                <w:sz w:val="24"/>
              </w:rPr>
              <w:t>2012</w:t>
            </w:r>
            <w:r>
              <w:rPr>
                <w:sz w:val="24"/>
              </w:rPr>
              <w:t>）中无标准限值要求，本次环评不做环境质量现状评价。</w:t>
            </w:r>
          </w:p>
        </w:tc>
      </w:tr>
      <w:tr>
        <w:tblPrEx>
          <w:tblW w:w="0" w:type="auto"/>
          <w:tblInd w:w="222" w:type="dxa"/>
          <w:tblLayout w:type="fixed"/>
          <w:tblCellMar>
            <w:top w:w="0" w:type="dxa"/>
            <w:left w:w="0" w:type="dxa"/>
            <w:bottom w:w="0" w:type="dxa"/>
            <w:right w:w="0" w:type="dxa"/>
          </w:tblCellMar>
        </w:tblPrEx>
        <w:trPr>
          <w:trHeight w:val="466"/>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6"/>
              <w:ind w:right="87"/>
              <w:jc w:val="right"/>
              <w:rPr>
                <w:sz w:val="24"/>
              </w:rPr>
            </w:pPr>
            <w:r>
              <w:rPr>
                <w:sz w:val="24"/>
              </w:rPr>
              <w:t xml:space="preserve">本项目外排的污染因子为 </w:t>
            </w:r>
            <w:r>
              <w:rPr>
                <w:rFonts w:ascii="Times New Roman" w:eastAsia="Times New Roman"/>
                <w:sz w:val="24"/>
              </w:rPr>
              <w:t>VOCs</w:t>
            </w:r>
            <w:r>
              <w:rPr>
                <w:sz w:val="24"/>
              </w:rPr>
              <w:t>，经有效处理措施后排放量较小，能够达</w:t>
            </w:r>
          </w:p>
        </w:tc>
      </w:tr>
      <w:tr>
        <w:tblPrEx>
          <w:tblW w:w="0" w:type="auto"/>
          <w:tblInd w:w="222" w:type="dxa"/>
          <w:tblLayout w:type="fixed"/>
          <w:tblCellMar>
            <w:top w:w="0" w:type="dxa"/>
            <w:left w:w="0" w:type="dxa"/>
            <w:bottom w:w="0" w:type="dxa"/>
            <w:right w:w="0" w:type="dxa"/>
          </w:tblCellMar>
        </w:tblPrEx>
        <w:trPr>
          <w:trHeight w:val="471"/>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5"/>
              <w:ind w:left="112"/>
              <w:rPr>
                <w:sz w:val="24"/>
              </w:rPr>
            </w:pPr>
            <w:r>
              <w:rPr>
                <w:sz w:val="24"/>
              </w:rPr>
              <w:t>标排放，</w:t>
            </w:r>
            <w:r>
              <w:rPr>
                <w:rFonts w:ascii="Times New Roman" w:eastAsia="Times New Roman"/>
                <w:sz w:val="24"/>
              </w:rPr>
              <w:t xml:space="preserve">VOCs </w:t>
            </w:r>
            <w:r>
              <w:rPr>
                <w:sz w:val="24"/>
              </w:rPr>
              <w:t>已按双倍替代原则取得当地总量控制指标，对周围环境影响较</w:t>
            </w:r>
          </w:p>
        </w:tc>
      </w:tr>
      <w:tr>
        <w:tblPrEx>
          <w:tblW w:w="0" w:type="auto"/>
          <w:tblInd w:w="222" w:type="dxa"/>
          <w:tblLayout w:type="fixed"/>
          <w:tblCellMar>
            <w:top w:w="0" w:type="dxa"/>
            <w:left w:w="0" w:type="dxa"/>
            <w:bottom w:w="0" w:type="dxa"/>
            <w:right w:w="0" w:type="dxa"/>
          </w:tblCellMar>
        </w:tblPrEx>
        <w:trPr>
          <w:trHeight w:val="453"/>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1"/>
              <w:ind w:left="112"/>
              <w:rPr>
                <w:sz w:val="24"/>
              </w:rPr>
            </w:pPr>
            <w:r>
              <w:rPr>
                <w:sz w:val="24"/>
              </w:rPr>
              <w:t>小，不会影响当地环境质量持续改善。</w:t>
            </w:r>
          </w:p>
        </w:tc>
      </w:tr>
      <w:tr>
        <w:tblPrEx>
          <w:tblW w:w="0" w:type="auto"/>
          <w:tblInd w:w="222" w:type="dxa"/>
          <w:tblLayout w:type="fixed"/>
          <w:tblCellMar>
            <w:top w:w="0" w:type="dxa"/>
            <w:left w:w="0" w:type="dxa"/>
            <w:bottom w:w="0" w:type="dxa"/>
            <w:right w:w="0" w:type="dxa"/>
          </w:tblCellMar>
        </w:tblPrEx>
        <w:trPr>
          <w:trHeight w:val="479"/>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83"/>
              <w:ind w:left="112"/>
              <w:rPr>
                <w:b/>
                <w:sz w:val="24"/>
              </w:rPr>
            </w:pPr>
            <w:r>
              <w:rPr>
                <w:rFonts w:ascii="Times New Roman" w:eastAsia="Times New Roman"/>
                <w:b/>
                <w:sz w:val="24"/>
              </w:rPr>
              <w:t>2</w:t>
            </w:r>
            <w:r>
              <w:rPr>
                <w:b/>
                <w:sz w:val="24"/>
              </w:rPr>
              <w:t>、地表水</w:t>
            </w:r>
          </w:p>
        </w:tc>
      </w:tr>
      <w:tr>
        <w:tblPrEx>
          <w:tblW w:w="0" w:type="auto"/>
          <w:tblInd w:w="222" w:type="dxa"/>
          <w:tblLayout w:type="fixed"/>
          <w:tblCellMar>
            <w:top w:w="0" w:type="dxa"/>
            <w:left w:w="0" w:type="dxa"/>
            <w:bottom w:w="0" w:type="dxa"/>
            <w:right w:w="0" w:type="dxa"/>
          </w:tblCellMar>
        </w:tblPrEx>
        <w:trPr>
          <w:trHeight w:val="453"/>
        </w:trPr>
        <w:tc>
          <w:tcPr>
            <w:tcW w:w="823" w:type="dxa"/>
            <w:tcBorders>
              <w:top w:val="nil"/>
              <w:bottom w:val="nil"/>
              <w:right w:val="single" w:sz="4" w:space="0" w:color="000000"/>
            </w:tcBorders>
          </w:tcPr>
          <w:p>
            <w:pPr>
              <w:pStyle w:val="TableParagraph"/>
              <w:rPr>
                <w:rFonts w:ascii="Times New Roman"/>
                <w:sz w:val="22"/>
              </w:rPr>
            </w:pPr>
          </w:p>
        </w:tc>
        <w:tc>
          <w:tcPr>
            <w:tcW w:w="8420" w:type="dxa"/>
            <w:tcBorders>
              <w:top w:val="nil"/>
              <w:left w:val="single" w:sz="4" w:space="0" w:color="000000"/>
              <w:bottom w:val="nil"/>
            </w:tcBorders>
          </w:tcPr>
          <w:p>
            <w:pPr>
              <w:pStyle w:val="TableParagraph"/>
              <w:spacing w:before="71"/>
              <w:ind w:right="87"/>
              <w:jc w:val="right"/>
              <w:rPr>
                <w:sz w:val="24"/>
              </w:rPr>
            </w:pPr>
            <w:r>
              <w:rPr>
                <w:sz w:val="24"/>
              </w:rPr>
              <w:t>本项目所在区域主要河流为宁津新河，为了解项目所在区域地表水环境质</w:t>
            </w:r>
          </w:p>
        </w:tc>
      </w:tr>
      <w:tr>
        <w:tblPrEx>
          <w:tblW w:w="0" w:type="auto"/>
          <w:tblInd w:w="222" w:type="dxa"/>
          <w:tblLayout w:type="fixed"/>
          <w:tblCellMar>
            <w:top w:w="0" w:type="dxa"/>
            <w:left w:w="0" w:type="dxa"/>
            <w:bottom w:w="0" w:type="dxa"/>
            <w:right w:w="0" w:type="dxa"/>
          </w:tblCellMar>
        </w:tblPrEx>
        <w:trPr>
          <w:trHeight w:val="546"/>
        </w:trPr>
        <w:tc>
          <w:tcPr>
            <w:tcW w:w="823" w:type="dxa"/>
            <w:tcBorders>
              <w:top w:val="nil"/>
              <w:right w:val="single" w:sz="4" w:space="0" w:color="000000"/>
            </w:tcBorders>
          </w:tcPr>
          <w:p>
            <w:pPr>
              <w:pStyle w:val="TableParagraph"/>
              <w:rPr>
                <w:rFonts w:ascii="Times New Roman"/>
                <w:sz w:val="22"/>
              </w:rPr>
            </w:pPr>
          </w:p>
        </w:tc>
        <w:tc>
          <w:tcPr>
            <w:tcW w:w="8420" w:type="dxa"/>
            <w:tcBorders>
              <w:top w:val="nil"/>
              <w:left w:val="single" w:sz="4" w:space="0" w:color="000000"/>
            </w:tcBorders>
          </w:tcPr>
          <w:p>
            <w:pPr>
              <w:pStyle w:val="TableParagraph"/>
              <w:spacing w:before="83"/>
              <w:ind w:left="112"/>
              <w:rPr>
                <w:sz w:val="24"/>
              </w:rPr>
            </w:pPr>
            <w:r>
              <w:rPr>
                <w:spacing w:val="-3"/>
                <w:sz w:val="24"/>
              </w:rPr>
              <w:t xml:space="preserve">量现状情况，本次评价根据德州市监测站公布的 </w:t>
            </w:r>
            <w:r>
              <w:rPr>
                <w:rFonts w:ascii="Times New Roman" w:eastAsia="Times New Roman"/>
                <w:sz w:val="24"/>
              </w:rPr>
              <w:t xml:space="preserve">2022 </w:t>
            </w:r>
            <w:r>
              <w:rPr>
                <w:spacing w:val="-26"/>
                <w:sz w:val="24"/>
              </w:rPr>
              <w:t xml:space="preserve">年 </w:t>
            </w:r>
            <w:r>
              <w:rPr>
                <w:rFonts w:ascii="Times New Roman" w:eastAsia="Times New Roman"/>
                <w:sz w:val="24"/>
              </w:rPr>
              <w:t xml:space="preserve">9 </w:t>
            </w:r>
            <w:r>
              <w:rPr>
                <w:sz w:val="24"/>
              </w:rPr>
              <w:t>月</w:t>
            </w:r>
            <w:r>
              <w:rPr>
                <w:rFonts w:ascii="Times New Roman" w:eastAsia="Times New Roman"/>
                <w:sz w:val="24"/>
              </w:rPr>
              <w:t xml:space="preserve">-12 </w:t>
            </w:r>
            <w:r>
              <w:rPr>
                <w:sz w:val="24"/>
              </w:rPr>
              <w:t>月宁津新河青</w:t>
            </w:r>
          </w:p>
        </w:tc>
      </w:tr>
    </w:tbl>
    <w:p>
      <w:pPr>
        <w:spacing w:after="0"/>
        <w:rPr>
          <w:sz w:val="24"/>
        </w:rPr>
        <w:sectPr>
          <w:footerReference w:type="default" r:id="rId28"/>
          <w:pgSz w:w="11910" w:h="16840"/>
          <w:pgMar w:top="1420" w:right="1120" w:bottom="900" w:left="1120" w:header="0" w:footer="713" w:gutter="0"/>
          <w:pgNumType w:start="22"/>
          <w:cols w:num="1" w:space="720"/>
        </w:sectPr>
      </w:pPr>
    </w:p>
    <w:p>
      <w:pPr>
        <w:pStyle w:val="BodyText"/>
        <w:spacing w:before="42"/>
        <w:ind w:left="1143"/>
      </w:pPr>
      <w:r>
        <w:pict>
          <v:group id="_x0000_s1036" o:spid="_x0000_s1035" style="width:463.15pt;height:687.5pt;margin-top:1in;margin-left:66.1pt;mso-height-relative:page;mso-position-horizontal-relative:page;mso-position-vertical-relative:page;mso-width-relative:page;position:absolute;z-index:-251646976" coordorigin="1322,1440" coordsize="9263,13750">
            <v:shape id="_x0000_s1037" o:spid="_x0000_s1036" style="width:9263;height:13750;left:1322;position:absolute;top:1650" coordorigin="1322,1651" coordsize="9263,13750" path="m1322,1450l10585,1450m1322,15180l10585,15180m1332,1440l1332,15189m10575,1459l10575,15189e" filled="f" stroked="t" strokecolor="black">
              <v:path arrowok="t"/>
            </v:shape>
            <v:line id="_x0000_s1038" o:spid="_x0000_s1037" style="position:absolute" from="2155,1459" to="2155,15170" coordsize="21600,21600" stroked="t" strokecolor="black"/>
          </v:group>
        </w:pict>
      </w:r>
      <w:r>
        <w:t>积务村监测数据汇总统计，监测结果见下表。</w:t>
      </w:r>
    </w:p>
    <w:p>
      <w:pPr>
        <w:pStyle w:val="Heading5"/>
        <w:spacing w:before="158" w:after="3"/>
        <w:ind w:left="2050"/>
        <w:rPr>
          <w:rFonts w:ascii="Times New Roman" w:eastAsia="Times New Roman"/>
        </w:rPr>
      </w:pPr>
      <w:r>
        <w:t xml:space="preserve">表 </w:t>
      </w:r>
      <w:r>
        <w:rPr>
          <w:rFonts w:ascii="Times New Roman" w:eastAsia="Times New Roman"/>
        </w:rPr>
        <w:t xml:space="preserve">18 </w:t>
      </w:r>
      <w:r>
        <w:t>宁津新河青积务村河流断面例行监测数据表 单位：</w:t>
      </w:r>
      <w:r>
        <w:rPr>
          <w:rFonts w:ascii="Times New Roman" w:eastAsia="Times New Roman"/>
        </w:rPr>
        <w:t>mg/L</w:t>
      </w:r>
    </w:p>
    <w:tbl>
      <w:tblPr>
        <w:tblStyle w:val="TableNormal"/>
        <w:tblW w:w="0" w:type="auto"/>
        <w:tblInd w:w="1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665"/>
        <w:gridCol w:w="1348"/>
        <w:gridCol w:w="1327"/>
        <w:gridCol w:w="1350"/>
        <w:gridCol w:w="1268"/>
        <w:gridCol w:w="1241"/>
      </w:tblGrid>
      <w:tr>
        <w:tblPrEx>
          <w:tblW w:w="0" w:type="auto"/>
          <w:tblInd w:w="1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27"/>
        </w:trPr>
        <w:tc>
          <w:tcPr>
            <w:tcW w:w="1665" w:type="dxa"/>
          </w:tcPr>
          <w:p>
            <w:pPr>
              <w:pStyle w:val="TableParagraph"/>
              <w:spacing w:before="77"/>
              <w:ind w:left="415"/>
              <w:rPr>
                <w:b/>
                <w:sz w:val="21"/>
              </w:rPr>
            </w:pPr>
            <w:r>
              <w:rPr>
                <w:b/>
                <w:sz w:val="21"/>
              </w:rPr>
              <w:t>采样日期</w:t>
            </w:r>
          </w:p>
        </w:tc>
        <w:tc>
          <w:tcPr>
            <w:tcW w:w="1348" w:type="dxa"/>
          </w:tcPr>
          <w:p>
            <w:pPr>
              <w:pStyle w:val="TableParagraph"/>
              <w:spacing w:before="77"/>
              <w:ind w:left="227" w:right="227"/>
              <w:jc w:val="center"/>
              <w:rPr>
                <w:b/>
                <w:sz w:val="21"/>
              </w:rPr>
            </w:pPr>
            <w:r>
              <w:rPr>
                <w:b/>
                <w:sz w:val="21"/>
              </w:rPr>
              <w:t>监测项目</w:t>
            </w:r>
          </w:p>
        </w:tc>
        <w:tc>
          <w:tcPr>
            <w:tcW w:w="1327" w:type="dxa"/>
          </w:tcPr>
          <w:p>
            <w:pPr>
              <w:pStyle w:val="TableParagraph"/>
              <w:spacing w:before="77"/>
              <w:ind w:left="222" w:right="211"/>
              <w:jc w:val="center"/>
              <w:rPr>
                <w:b/>
                <w:sz w:val="21"/>
              </w:rPr>
            </w:pPr>
            <w:r>
              <w:rPr>
                <w:b/>
                <w:sz w:val="21"/>
              </w:rPr>
              <w:t>取值类型</w:t>
            </w:r>
          </w:p>
        </w:tc>
        <w:tc>
          <w:tcPr>
            <w:tcW w:w="1350" w:type="dxa"/>
          </w:tcPr>
          <w:p>
            <w:pPr>
              <w:pStyle w:val="TableParagraph"/>
              <w:spacing w:before="77"/>
              <w:ind w:left="338" w:right="328"/>
              <w:jc w:val="center"/>
              <w:rPr>
                <w:b/>
                <w:sz w:val="21"/>
              </w:rPr>
            </w:pPr>
            <w:r>
              <w:rPr>
                <w:b/>
                <w:sz w:val="21"/>
              </w:rPr>
              <w:t>监测值</w:t>
            </w:r>
          </w:p>
        </w:tc>
        <w:tc>
          <w:tcPr>
            <w:tcW w:w="1268" w:type="dxa"/>
          </w:tcPr>
          <w:p>
            <w:pPr>
              <w:pStyle w:val="TableParagraph"/>
              <w:spacing w:before="77"/>
              <w:ind w:left="299" w:right="286"/>
              <w:jc w:val="center"/>
              <w:rPr>
                <w:b/>
                <w:sz w:val="21"/>
              </w:rPr>
            </w:pPr>
            <w:r>
              <w:rPr>
                <w:b/>
                <w:sz w:val="21"/>
              </w:rPr>
              <w:t>标准值</w:t>
            </w:r>
          </w:p>
        </w:tc>
        <w:tc>
          <w:tcPr>
            <w:tcW w:w="1241" w:type="dxa"/>
          </w:tcPr>
          <w:p>
            <w:pPr>
              <w:pStyle w:val="TableParagraph"/>
              <w:spacing w:before="77"/>
              <w:ind w:left="179" w:right="167"/>
              <w:jc w:val="center"/>
              <w:rPr>
                <w:b/>
                <w:sz w:val="21"/>
              </w:rPr>
            </w:pPr>
            <w:r>
              <w:rPr>
                <w:b/>
                <w:sz w:val="21"/>
              </w:rPr>
              <w:t>达标情况</w:t>
            </w:r>
          </w:p>
        </w:tc>
      </w:tr>
      <w:tr>
        <w:tblPrEx>
          <w:tblW w:w="0" w:type="auto"/>
          <w:tblInd w:w="1150" w:type="dxa"/>
          <w:tblLayout w:type="fixed"/>
          <w:tblCellMar>
            <w:top w:w="0" w:type="dxa"/>
            <w:left w:w="0" w:type="dxa"/>
            <w:bottom w:w="0" w:type="dxa"/>
            <w:right w:w="0" w:type="dxa"/>
          </w:tblCellMar>
        </w:tblPrEx>
        <w:trPr>
          <w:trHeight w:val="427"/>
        </w:trPr>
        <w:tc>
          <w:tcPr>
            <w:tcW w:w="1665" w:type="dxa"/>
            <w:vMerge w:val="restart"/>
          </w:tcPr>
          <w:p>
            <w:pPr>
              <w:pStyle w:val="TableParagraph"/>
              <w:spacing w:before="8"/>
              <w:rPr>
                <w:rFonts w:ascii="Times New Roman"/>
                <w:b/>
                <w:sz w:val="25"/>
              </w:rPr>
            </w:pPr>
          </w:p>
          <w:p>
            <w:pPr>
              <w:pStyle w:val="TableParagraph"/>
              <w:ind w:left="273"/>
              <w:rPr>
                <w:sz w:val="21"/>
              </w:rPr>
            </w:pPr>
            <w:r>
              <w:rPr>
                <w:rFonts w:ascii="Times New Roman" w:eastAsia="Times New Roman"/>
                <w:sz w:val="21"/>
              </w:rPr>
              <w:t xml:space="preserve">2022 </w:t>
            </w:r>
            <w:r>
              <w:rPr>
                <w:sz w:val="21"/>
              </w:rPr>
              <w:t xml:space="preserve">年 </w:t>
            </w:r>
            <w:r>
              <w:rPr>
                <w:rFonts w:ascii="Times New Roman" w:eastAsia="Times New Roman"/>
                <w:sz w:val="21"/>
              </w:rPr>
              <w:t xml:space="preserve">9 </w:t>
            </w:r>
            <w:r>
              <w:rPr>
                <w:sz w:val="21"/>
              </w:rPr>
              <w:t>月</w:t>
            </w:r>
          </w:p>
        </w:tc>
        <w:tc>
          <w:tcPr>
            <w:tcW w:w="1348" w:type="dxa"/>
          </w:tcPr>
          <w:p>
            <w:pPr>
              <w:pStyle w:val="TableParagraph"/>
              <w:spacing w:before="91"/>
              <w:ind w:left="227" w:right="217"/>
              <w:jc w:val="center"/>
              <w:rPr>
                <w:rFonts w:ascii="Times New Roman"/>
                <w:sz w:val="21"/>
              </w:rPr>
            </w:pPr>
            <w:r>
              <w:rPr>
                <w:rFonts w:ascii="Times New Roman"/>
                <w:sz w:val="21"/>
              </w:rPr>
              <w:t>COD</w:t>
            </w:r>
          </w:p>
        </w:tc>
        <w:tc>
          <w:tcPr>
            <w:tcW w:w="1327" w:type="dxa"/>
          </w:tcPr>
          <w:p>
            <w:pPr>
              <w:pStyle w:val="TableParagraph"/>
              <w:spacing w:before="77"/>
              <w:ind w:left="217" w:right="211"/>
              <w:jc w:val="center"/>
              <w:rPr>
                <w:sz w:val="21"/>
              </w:rPr>
            </w:pPr>
            <w:r>
              <w:rPr>
                <w:sz w:val="21"/>
              </w:rPr>
              <w:t>年均值</w:t>
            </w:r>
          </w:p>
        </w:tc>
        <w:tc>
          <w:tcPr>
            <w:tcW w:w="1350" w:type="dxa"/>
          </w:tcPr>
          <w:p>
            <w:pPr>
              <w:pStyle w:val="TableParagraph"/>
              <w:spacing w:before="91"/>
              <w:ind w:left="337" w:right="328"/>
              <w:jc w:val="center"/>
              <w:rPr>
                <w:rFonts w:ascii="Times New Roman"/>
                <w:sz w:val="21"/>
              </w:rPr>
            </w:pPr>
            <w:r>
              <w:rPr>
                <w:rFonts w:ascii="Times New Roman"/>
                <w:sz w:val="21"/>
              </w:rPr>
              <w:t>40.2</w:t>
            </w:r>
          </w:p>
        </w:tc>
        <w:tc>
          <w:tcPr>
            <w:tcW w:w="1268" w:type="dxa"/>
          </w:tcPr>
          <w:p>
            <w:pPr>
              <w:pStyle w:val="TableParagraph"/>
              <w:spacing w:before="91"/>
              <w:ind w:left="298" w:right="286"/>
              <w:jc w:val="center"/>
              <w:rPr>
                <w:rFonts w:ascii="Times New Roman"/>
                <w:sz w:val="21"/>
              </w:rPr>
            </w:pPr>
            <w:r>
              <w:rPr>
                <w:rFonts w:ascii="Times New Roman"/>
                <w:sz w:val="21"/>
              </w:rPr>
              <w:t>40</w:t>
            </w:r>
          </w:p>
        </w:tc>
        <w:tc>
          <w:tcPr>
            <w:tcW w:w="1241" w:type="dxa"/>
          </w:tcPr>
          <w:p>
            <w:pPr>
              <w:pStyle w:val="TableParagraph"/>
              <w:spacing w:before="77"/>
              <w:ind w:left="179" w:right="167"/>
              <w:jc w:val="center"/>
              <w:rPr>
                <w:sz w:val="21"/>
              </w:rPr>
            </w:pPr>
            <w:r>
              <w:rPr>
                <w:sz w:val="21"/>
              </w:rPr>
              <w:t>超标</w:t>
            </w:r>
          </w:p>
        </w:tc>
      </w:tr>
      <w:tr>
        <w:tblPrEx>
          <w:tblW w:w="0" w:type="auto"/>
          <w:tblInd w:w="1150" w:type="dxa"/>
          <w:tblLayout w:type="fixed"/>
          <w:tblCellMar>
            <w:top w:w="0" w:type="dxa"/>
            <w:left w:w="0" w:type="dxa"/>
            <w:bottom w:w="0" w:type="dxa"/>
            <w:right w:w="0" w:type="dxa"/>
          </w:tblCellMar>
        </w:tblPrEx>
        <w:trPr>
          <w:trHeight w:val="427"/>
        </w:trPr>
        <w:tc>
          <w:tcPr>
            <w:tcW w:w="1665" w:type="dxa"/>
            <w:vMerge/>
            <w:tcBorders>
              <w:top w:val="nil"/>
            </w:tcBorders>
          </w:tcPr>
          <w:p>
            <w:pPr>
              <w:rPr>
                <w:sz w:val="2"/>
                <w:szCs w:val="2"/>
              </w:rPr>
            </w:pPr>
          </w:p>
        </w:tc>
        <w:tc>
          <w:tcPr>
            <w:tcW w:w="1348" w:type="dxa"/>
          </w:tcPr>
          <w:p>
            <w:pPr>
              <w:pStyle w:val="TableParagraph"/>
              <w:spacing w:before="77"/>
              <w:ind w:left="227" w:right="215"/>
              <w:jc w:val="center"/>
              <w:rPr>
                <w:sz w:val="21"/>
              </w:rPr>
            </w:pPr>
            <w:r>
              <w:rPr>
                <w:sz w:val="21"/>
              </w:rPr>
              <w:t>氨氮</w:t>
            </w:r>
          </w:p>
        </w:tc>
        <w:tc>
          <w:tcPr>
            <w:tcW w:w="1327" w:type="dxa"/>
          </w:tcPr>
          <w:p>
            <w:pPr>
              <w:pStyle w:val="TableParagraph"/>
              <w:spacing w:before="77"/>
              <w:ind w:left="217" w:right="211"/>
              <w:jc w:val="center"/>
              <w:rPr>
                <w:sz w:val="21"/>
              </w:rPr>
            </w:pPr>
            <w:r>
              <w:rPr>
                <w:sz w:val="21"/>
              </w:rPr>
              <w:t>年均值</w:t>
            </w:r>
          </w:p>
        </w:tc>
        <w:tc>
          <w:tcPr>
            <w:tcW w:w="1350" w:type="dxa"/>
          </w:tcPr>
          <w:p>
            <w:pPr>
              <w:pStyle w:val="TableParagraph"/>
              <w:spacing w:before="91"/>
              <w:ind w:left="338" w:right="327"/>
              <w:jc w:val="center"/>
              <w:rPr>
                <w:rFonts w:ascii="Times New Roman"/>
                <w:sz w:val="21"/>
              </w:rPr>
            </w:pPr>
            <w:r>
              <w:rPr>
                <w:rFonts w:ascii="Times New Roman"/>
                <w:sz w:val="21"/>
              </w:rPr>
              <w:t>0.560</w:t>
            </w:r>
          </w:p>
        </w:tc>
        <w:tc>
          <w:tcPr>
            <w:tcW w:w="1268" w:type="dxa"/>
          </w:tcPr>
          <w:p>
            <w:pPr>
              <w:pStyle w:val="TableParagraph"/>
              <w:spacing w:before="91"/>
              <w:ind w:left="9"/>
              <w:jc w:val="center"/>
              <w:rPr>
                <w:rFonts w:ascii="Times New Roman"/>
                <w:sz w:val="21"/>
              </w:rPr>
            </w:pPr>
            <w:r>
              <w:rPr>
                <w:rFonts w:ascii="Times New Roman"/>
                <w:w w:val="99"/>
                <w:sz w:val="21"/>
              </w:rPr>
              <w:t>2</w:t>
            </w:r>
          </w:p>
        </w:tc>
        <w:tc>
          <w:tcPr>
            <w:tcW w:w="1241" w:type="dxa"/>
          </w:tcPr>
          <w:p>
            <w:pPr>
              <w:pStyle w:val="TableParagraph"/>
              <w:spacing w:before="77"/>
              <w:ind w:left="179" w:right="167"/>
              <w:jc w:val="center"/>
              <w:rPr>
                <w:sz w:val="21"/>
              </w:rPr>
            </w:pPr>
            <w:r>
              <w:rPr>
                <w:sz w:val="21"/>
              </w:rPr>
              <w:t>达标</w:t>
            </w:r>
          </w:p>
        </w:tc>
      </w:tr>
      <w:tr>
        <w:tblPrEx>
          <w:tblW w:w="0" w:type="auto"/>
          <w:tblInd w:w="1150" w:type="dxa"/>
          <w:tblLayout w:type="fixed"/>
          <w:tblCellMar>
            <w:top w:w="0" w:type="dxa"/>
            <w:left w:w="0" w:type="dxa"/>
            <w:bottom w:w="0" w:type="dxa"/>
            <w:right w:w="0" w:type="dxa"/>
          </w:tblCellMar>
        </w:tblPrEx>
        <w:trPr>
          <w:trHeight w:val="426"/>
        </w:trPr>
        <w:tc>
          <w:tcPr>
            <w:tcW w:w="1665" w:type="dxa"/>
            <w:vMerge w:val="restart"/>
          </w:tcPr>
          <w:p>
            <w:pPr>
              <w:pStyle w:val="TableParagraph"/>
              <w:spacing w:before="7"/>
              <w:rPr>
                <w:rFonts w:ascii="Times New Roman"/>
                <w:b/>
                <w:sz w:val="25"/>
              </w:rPr>
            </w:pPr>
          </w:p>
          <w:p>
            <w:pPr>
              <w:pStyle w:val="TableParagraph"/>
              <w:spacing w:before="1"/>
              <w:ind w:left="218"/>
              <w:rPr>
                <w:sz w:val="21"/>
              </w:rPr>
            </w:pPr>
            <w:r>
              <w:rPr>
                <w:rFonts w:ascii="Times New Roman" w:eastAsia="Times New Roman"/>
                <w:sz w:val="21"/>
              </w:rPr>
              <w:t xml:space="preserve">2022 </w:t>
            </w:r>
            <w:r>
              <w:rPr>
                <w:sz w:val="21"/>
              </w:rPr>
              <w:t xml:space="preserve">年 </w:t>
            </w:r>
            <w:r>
              <w:rPr>
                <w:rFonts w:ascii="Times New Roman" w:eastAsia="Times New Roman"/>
                <w:sz w:val="21"/>
              </w:rPr>
              <w:t xml:space="preserve">10 </w:t>
            </w:r>
            <w:r>
              <w:rPr>
                <w:sz w:val="21"/>
              </w:rPr>
              <w:t>月</w:t>
            </w:r>
          </w:p>
        </w:tc>
        <w:tc>
          <w:tcPr>
            <w:tcW w:w="1348" w:type="dxa"/>
          </w:tcPr>
          <w:p>
            <w:pPr>
              <w:pStyle w:val="TableParagraph"/>
              <w:spacing w:before="91"/>
              <w:ind w:left="227" w:right="217"/>
              <w:jc w:val="center"/>
              <w:rPr>
                <w:rFonts w:ascii="Times New Roman"/>
                <w:sz w:val="21"/>
              </w:rPr>
            </w:pPr>
            <w:r>
              <w:rPr>
                <w:rFonts w:ascii="Times New Roman"/>
                <w:sz w:val="21"/>
              </w:rPr>
              <w:t>COD</w:t>
            </w:r>
          </w:p>
        </w:tc>
        <w:tc>
          <w:tcPr>
            <w:tcW w:w="1327" w:type="dxa"/>
          </w:tcPr>
          <w:p>
            <w:pPr>
              <w:pStyle w:val="TableParagraph"/>
              <w:spacing w:before="77"/>
              <w:ind w:left="217" w:right="211"/>
              <w:jc w:val="center"/>
              <w:rPr>
                <w:sz w:val="21"/>
              </w:rPr>
            </w:pPr>
            <w:r>
              <w:rPr>
                <w:sz w:val="21"/>
              </w:rPr>
              <w:t>年均值</w:t>
            </w:r>
          </w:p>
        </w:tc>
        <w:tc>
          <w:tcPr>
            <w:tcW w:w="1350" w:type="dxa"/>
          </w:tcPr>
          <w:p>
            <w:pPr>
              <w:pStyle w:val="TableParagraph"/>
              <w:spacing w:before="91"/>
              <w:ind w:left="337" w:right="328"/>
              <w:jc w:val="center"/>
              <w:rPr>
                <w:rFonts w:ascii="Times New Roman"/>
                <w:sz w:val="21"/>
              </w:rPr>
            </w:pPr>
            <w:r>
              <w:rPr>
                <w:rFonts w:ascii="Times New Roman"/>
                <w:sz w:val="21"/>
              </w:rPr>
              <w:t>32.6</w:t>
            </w:r>
          </w:p>
        </w:tc>
        <w:tc>
          <w:tcPr>
            <w:tcW w:w="1268" w:type="dxa"/>
          </w:tcPr>
          <w:p>
            <w:pPr>
              <w:pStyle w:val="TableParagraph"/>
              <w:spacing w:before="91"/>
              <w:ind w:left="298" w:right="286"/>
              <w:jc w:val="center"/>
              <w:rPr>
                <w:rFonts w:ascii="Times New Roman"/>
                <w:sz w:val="21"/>
              </w:rPr>
            </w:pPr>
            <w:r>
              <w:rPr>
                <w:rFonts w:ascii="Times New Roman"/>
                <w:sz w:val="21"/>
              </w:rPr>
              <w:t>40</w:t>
            </w:r>
          </w:p>
        </w:tc>
        <w:tc>
          <w:tcPr>
            <w:tcW w:w="1241" w:type="dxa"/>
          </w:tcPr>
          <w:p>
            <w:pPr>
              <w:pStyle w:val="TableParagraph"/>
              <w:spacing w:before="77"/>
              <w:ind w:left="179" w:right="167"/>
              <w:jc w:val="center"/>
              <w:rPr>
                <w:sz w:val="21"/>
              </w:rPr>
            </w:pPr>
            <w:r>
              <w:rPr>
                <w:sz w:val="21"/>
              </w:rPr>
              <w:t>达标</w:t>
            </w:r>
          </w:p>
        </w:tc>
      </w:tr>
      <w:tr>
        <w:tblPrEx>
          <w:tblW w:w="0" w:type="auto"/>
          <w:tblInd w:w="1150" w:type="dxa"/>
          <w:tblLayout w:type="fixed"/>
          <w:tblCellMar>
            <w:top w:w="0" w:type="dxa"/>
            <w:left w:w="0" w:type="dxa"/>
            <w:bottom w:w="0" w:type="dxa"/>
            <w:right w:w="0" w:type="dxa"/>
          </w:tblCellMar>
        </w:tblPrEx>
        <w:trPr>
          <w:trHeight w:val="427"/>
        </w:trPr>
        <w:tc>
          <w:tcPr>
            <w:tcW w:w="1665" w:type="dxa"/>
            <w:vMerge/>
            <w:tcBorders>
              <w:top w:val="nil"/>
            </w:tcBorders>
          </w:tcPr>
          <w:p>
            <w:pPr>
              <w:rPr>
                <w:sz w:val="2"/>
                <w:szCs w:val="2"/>
              </w:rPr>
            </w:pPr>
          </w:p>
        </w:tc>
        <w:tc>
          <w:tcPr>
            <w:tcW w:w="1348" w:type="dxa"/>
          </w:tcPr>
          <w:p>
            <w:pPr>
              <w:pStyle w:val="TableParagraph"/>
              <w:spacing w:before="79"/>
              <w:ind w:left="227" w:right="215"/>
              <w:jc w:val="center"/>
              <w:rPr>
                <w:sz w:val="21"/>
              </w:rPr>
            </w:pPr>
            <w:r>
              <w:rPr>
                <w:sz w:val="21"/>
              </w:rPr>
              <w:t>氨氮</w:t>
            </w:r>
          </w:p>
        </w:tc>
        <w:tc>
          <w:tcPr>
            <w:tcW w:w="1327" w:type="dxa"/>
          </w:tcPr>
          <w:p>
            <w:pPr>
              <w:pStyle w:val="TableParagraph"/>
              <w:spacing w:before="79"/>
              <w:ind w:left="217" w:right="211"/>
              <w:jc w:val="center"/>
              <w:rPr>
                <w:sz w:val="21"/>
              </w:rPr>
            </w:pPr>
            <w:r>
              <w:rPr>
                <w:sz w:val="21"/>
              </w:rPr>
              <w:t>年均值</w:t>
            </w:r>
          </w:p>
        </w:tc>
        <w:tc>
          <w:tcPr>
            <w:tcW w:w="1350" w:type="dxa"/>
          </w:tcPr>
          <w:p>
            <w:pPr>
              <w:pStyle w:val="TableParagraph"/>
              <w:spacing w:before="93"/>
              <w:ind w:left="338" w:right="327"/>
              <w:jc w:val="center"/>
              <w:rPr>
                <w:rFonts w:ascii="Times New Roman"/>
                <w:sz w:val="21"/>
              </w:rPr>
            </w:pPr>
            <w:r>
              <w:rPr>
                <w:rFonts w:ascii="Times New Roman"/>
                <w:sz w:val="21"/>
              </w:rPr>
              <w:t>0.195</w:t>
            </w:r>
          </w:p>
        </w:tc>
        <w:tc>
          <w:tcPr>
            <w:tcW w:w="1268" w:type="dxa"/>
          </w:tcPr>
          <w:p>
            <w:pPr>
              <w:pStyle w:val="TableParagraph"/>
              <w:spacing w:before="93"/>
              <w:ind w:left="9"/>
              <w:jc w:val="center"/>
              <w:rPr>
                <w:rFonts w:ascii="Times New Roman"/>
                <w:sz w:val="21"/>
              </w:rPr>
            </w:pPr>
            <w:r>
              <w:rPr>
                <w:rFonts w:ascii="Times New Roman"/>
                <w:w w:val="99"/>
                <w:sz w:val="21"/>
              </w:rPr>
              <w:t>2</w:t>
            </w:r>
          </w:p>
        </w:tc>
        <w:tc>
          <w:tcPr>
            <w:tcW w:w="1241" w:type="dxa"/>
          </w:tcPr>
          <w:p>
            <w:pPr>
              <w:pStyle w:val="TableParagraph"/>
              <w:spacing w:before="79"/>
              <w:ind w:left="179" w:right="167"/>
              <w:jc w:val="center"/>
              <w:rPr>
                <w:sz w:val="21"/>
              </w:rPr>
            </w:pPr>
            <w:r>
              <w:rPr>
                <w:sz w:val="21"/>
              </w:rPr>
              <w:t>达标</w:t>
            </w:r>
          </w:p>
        </w:tc>
      </w:tr>
      <w:tr>
        <w:tblPrEx>
          <w:tblW w:w="0" w:type="auto"/>
          <w:tblInd w:w="1150" w:type="dxa"/>
          <w:tblLayout w:type="fixed"/>
          <w:tblCellMar>
            <w:top w:w="0" w:type="dxa"/>
            <w:left w:w="0" w:type="dxa"/>
            <w:bottom w:w="0" w:type="dxa"/>
            <w:right w:w="0" w:type="dxa"/>
          </w:tblCellMar>
        </w:tblPrEx>
        <w:trPr>
          <w:trHeight w:val="427"/>
        </w:trPr>
        <w:tc>
          <w:tcPr>
            <w:tcW w:w="1665" w:type="dxa"/>
            <w:vMerge w:val="restart"/>
          </w:tcPr>
          <w:p>
            <w:pPr>
              <w:pStyle w:val="TableParagraph"/>
              <w:spacing w:before="7"/>
              <w:rPr>
                <w:rFonts w:ascii="Times New Roman"/>
                <w:b/>
                <w:sz w:val="25"/>
              </w:rPr>
            </w:pPr>
          </w:p>
          <w:p>
            <w:pPr>
              <w:pStyle w:val="TableParagraph"/>
              <w:ind w:left="223"/>
              <w:rPr>
                <w:sz w:val="21"/>
              </w:rPr>
            </w:pPr>
            <w:r>
              <w:rPr>
                <w:rFonts w:ascii="Times New Roman" w:eastAsia="Times New Roman"/>
                <w:sz w:val="21"/>
              </w:rPr>
              <w:t xml:space="preserve">2022 </w:t>
            </w:r>
            <w:r>
              <w:rPr>
                <w:sz w:val="21"/>
              </w:rPr>
              <w:t xml:space="preserve">年 </w:t>
            </w:r>
            <w:r>
              <w:rPr>
                <w:rFonts w:ascii="Times New Roman" w:eastAsia="Times New Roman"/>
                <w:sz w:val="21"/>
              </w:rPr>
              <w:t xml:space="preserve">11 </w:t>
            </w:r>
            <w:r>
              <w:rPr>
                <w:sz w:val="21"/>
              </w:rPr>
              <w:t>月</w:t>
            </w:r>
          </w:p>
        </w:tc>
        <w:tc>
          <w:tcPr>
            <w:tcW w:w="1348" w:type="dxa"/>
          </w:tcPr>
          <w:p>
            <w:pPr>
              <w:pStyle w:val="TableParagraph"/>
              <w:spacing w:before="93"/>
              <w:ind w:left="227" w:right="217"/>
              <w:jc w:val="center"/>
              <w:rPr>
                <w:rFonts w:ascii="Times New Roman"/>
                <w:sz w:val="21"/>
              </w:rPr>
            </w:pPr>
            <w:r>
              <w:rPr>
                <w:rFonts w:ascii="Times New Roman"/>
                <w:sz w:val="21"/>
              </w:rPr>
              <w:t>COD</w:t>
            </w:r>
          </w:p>
        </w:tc>
        <w:tc>
          <w:tcPr>
            <w:tcW w:w="1327" w:type="dxa"/>
          </w:tcPr>
          <w:p>
            <w:pPr>
              <w:pStyle w:val="TableParagraph"/>
              <w:spacing w:before="79"/>
              <w:ind w:left="217" w:right="211"/>
              <w:jc w:val="center"/>
              <w:rPr>
                <w:sz w:val="21"/>
              </w:rPr>
            </w:pPr>
            <w:r>
              <w:rPr>
                <w:sz w:val="21"/>
              </w:rPr>
              <w:t>年均值</w:t>
            </w:r>
          </w:p>
        </w:tc>
        <w:tc>
          <w:tcPr>
            <w:tcW w:w="1350" w:type="dxa"/>
          </w:tcPr>
          <w:p>
            <w:pPr>
              <w:pStyle w:val="TableParagraph"/>
              <w:spacing w:before="93"/>
              <w:ind w:left="337" w:right="328"/>
              <w:jc w:val="center"/>
              <w:rPr>
                <w:rFonts w:ascii="Times New Roman"/>
                <w:sz w:val="21"/>
              </w:rPr>
            </w:pPr>
            <w:r>
              <w:rPr>
                <w:rFonts w:ascii="Times New Roman"/>
                <w:sz w:val="21"/>
              </w:rPr>
              <w:t>26.1</w:t>
            </w:r>
          </w:p>
        </w:tc>
        <w:tc>
          <w:tcPr>
            <w:tcW w:w="1268" w:type="dxa"/>
          </w:tcPr>
          <w:p>
            <w:pPr>
              <w:pStyle w:val="TableParagraph"/>
              <w:spacing w:before="93"/>
              <w:ind w:left="298" w:right="286"/>
              <w:jc w:val="center"/>
              <w:rPr>
                <w:rFonts w:ascii="Times New Roman"/>
                <w:sz w:val="21"/>
              </w:rPr>
            </w:pPr>
            <w:r>
              <w:rPr>
                <w:rFonts w:ascii="Times New Roman"/>
                <w:sz w:val="21"/>
              </w:rPr>
              <w:t>40</w:t>
            </w:r>
          </w:p>
        </w:tc>
        <w:tc>
          <w:tcPr>
            <w:tcW w:w="1241" w:type="dxa"/>
          </w:tcPr>
          <w:p>
            <w:pPr>
              <w:pStyle w:val="TableParagraph"/>
              <w:spacing w:before="79"/>
              <w:ind w:left="179" w:right="167"/>
              <w:jc w:val="center"/>
              <w:rPr>
                <w:sz w:val="21"/>
              </w:rPr>
            </w:pPr>
            <w:r>
              <w:rPr>
                <w:sz w:val="21"/>
              </w:rPr>
              <w:t>达标</w:t>
            </w:r>
          </w:p>
        </w:tc>
      </w:tr>
      <w:tr>
        <w:tblPrEx>
          <w:tblW w:w="0" w:type="auto"/>
          <w:tblInd w:w="1150" w:type="dxa"/>
          <w:tblLayout w:type="fixed"/>
          <w:tblCellMar>
            <w:top w:w="0" w:type="dxa"/>
            <w:left w:w="0" w:type="dxa"/>
            <w:bottom w:w="0" w:type="dxa"/>
            <w:right w:w="0" w:type="dxa"/>
          </w:tblCellMar>
        </w:tblPrEx>
        <w:trPr>
          <w:trHeight w:val="426"/>
        </w:trPr>
        <w:tc>
          <w:tcPr>
            <w:tcW w:w="1665" w:type="dxa"/>
            <w:vMerge/>
            <w:tcBorders>
              <w:top w:val="nil"/>
            </w:tcBorders>
          </w:tcPr>
          <w:p>
            <w:pPr>
              <w:rPr>
                <w:sz w:val="2"/>
                <w:szCs w:val="2"/>
              </w:rPr>
            </w:pPr>
          </w:p>
        </w:tc>
        <w:tc>
          <w:tcPr>
            <w:tcW w:w="1348" w:type="dxa"/>
          </w:tcPr>
          <w:p>
            <w:pPr>
              <w:pStyle w:val="TableParagraph"/>
              <w:spacing w:before="78"/>
              <w:ind w:left="227" w:right="215"/>
              <w:jc w:val="center"/>
              <w:rPr>
                <w:sz w:val="21"/>
              </w:rPr>
            </w:pPr>
            <w:r>
              <w:rPr>
                <w:sz w:val="21"/>
              </w:rPr>
              <w:t>氨氮</w:t>
            </w:r>
          </w:p>
        </w:tc>
        <w:tc>
          <w:tcPr>
            <w:tcW w:w="1327" w:type="dxa"/>
          </w:tcPr>
          <w:p>
            <w:pPr>
              <w:pStyle w:val="TableParagraph"/>
              <w:spacing w:before="78"/>
              <w:ind w:left="217" w:right="211"/>
              <w:jc w:val="center"/>
              <w:rPr>
                <w:sz w:val="21"/>
              </w:rPr>
            </w:pPr>
            <w:r>
              <w:rPr>
                <w:sz w:val="21"/>
              </w:rPr>
              <w:t>年均值</w:t>
            </w:r>
          </w:p>
        </w:tc>
        <w:tc>
          <w:tcPr>
            <w:tcW w:w="1350" w:type="dxa"/>
          </w:tcPr>
          <w:p>
            <w:pPr>
              <w:pStyle w:val="TableParagraph"/>
              <w:spacing w:before="92"/>
              <w:ind w:left="338" w:right="327"/>
              <w:jc w:val="center"/>
              <w:rPr>
                <w:rFonts w:ascii="Times New Roman"/>
                <w:sz w:val="21"/>
              </w:rPr>
            </w:pPr>
            <w:r>
              <w:rPr>
                <w:rFonts w:ascii="Times New Roman"/>
                <w:sz w:val="21"/>
              </w:rPr>
              <w:t>0.358</w:t>
            </w:r>
          </w:p>
        </w:tc>
        <w:tc>
          <w:tcPr>
            <w:tcW w:w="1268" w:type="dxa"/>
          </w:tcPr>
          <w:p>
            <w:pPr>
              <w:pStyle w:val="TableParagraph"/>
              <w:spacing w:before="92"/>
              <w:ind w:left="9"/>
              <w:jc w:val="center"/>
              <w:rPr>
                <w:rFonts w:ascii="Times New Roman"/>
                <w:sz w:val="21"/>
              </w:rPr>
            </w:pPr>
            <w:r>
              <w:rPr>
                <w:rFonts w:ascii="Times New Roman"/>
                <w:w w:val="99"/>
                <w:sz w:val="21"/>
              </w:rPr>
              <w:t>2</w:t>
            </w:r>
          </w:p>
        </w:tc>
        <w:tc>
          <w:tcPr>
            <w:tcW w:w="1241" w:type="dxa"/>
          </w:tcPr>
          <w:p>
            <w:pPr>
              <w:pStyle w:val="TableParagraph"/>
              <w:spacing w:before="78"/>
              <w:ind w:left="179" w:right="167"/>
              <w:jc w:val="center"/>
              <w:rPr>
                <w:sz w:val="21"/>
              </w:rPr>
            </w:pPr>
            <w:r>
              <w:rPr>
                <w:sz w:val="21"/>
              </w:rPr>
              <w:t>达标</w:t>
            </w:r>
          </w:p>
        </w:tc>
      </w:tr>
      <w:tr>
        <w:tblPrEx>
          <w:tblW w:w="0" w:type="auto"/>
          <w:tblInd w:w="1150" w:type="dxa"/>
          <w:tblLayout w:type="fixed"/>
          <w:tblCellMar>
            <w:top w:w="0" w:type="dxa"/>
            <w:left w:w="0" w:type="dxa"/>
            <w:bottom w:w="0" w:type="dxa"/>
            <w:right w:w="0" w:type="dxa"/>
          </w:tblCellMar>
        </w:tblPrEx>
        <w:trPr>
          <w:trHeight w:val="427"/>
        </w:trPr>
        <w:tc>
          <w:tcPr>
            <w:tcW w:w="1665" w:type="dxa"/>
            <w:vMerge w:val="restart"/>
          </w:tcPr>
          <w:p>
            <w:pPr>
              <w:pStyle w:val="TableParagraph"/>
              <w:spacing w:before="9"/>
              <w:rPr>
                <w:rFonts w:ascii="Times New Roman"/>
                <w:b/>
                <w:sz w:val="25"/>
              </w:rPr>
            </w:pPr>
          </w:p>
          <w:p>
            <w:pPr>
              <w:pStyle w:val="TableParagraph"/>
              <w:ind w:left="218"/>
              <w:rPr>
                <w:sz w:val="21"/>
              </w:rPr>
            </w:pPr>
            <w:r>
              <w:rPr>
                <w:rFonts w:ascii="Times New Roman" w:eastAsia="Times New Roman"/>
                <w:sz w:val="21"/>
              </w:rPr>
              <w:t xml:space="preserve">2022 </w:t>
            </w:r>
            <w:r>
              <w:rPr>
                <w:sz w:val="21"/>
              </w:rPr>
              <w:t xml:space="preserve">年 </w:t>
            </w:r>
            <w:r>
              <w:rPr>
                <w:rFonts w:ascii="Times New Roman" w:eastAsia="Times New Roman"/>
                <w:sz w:val="21"/>
              </w:rPr>
              <w:t xml:space="preserve">12 </w:t>
            </w:r>
            <w:r>
              <w:rPr>
                <w:sz w:val="21"/>
              </w:rPr>
              <w:t>月</w:t>
            </w:r>
          </w:p>
        </w:tc>
        <w:tc>
          <w:tcPr>
            <w:tcW w:w="1348" w:type="dxa"/>
          </w:tcPr>
          <w:p>
            <w:pPr>
              <w:pStyle w:val="TableParagraph"/>
              <w:spacing w:before="92"/>
              <w:ind w:left="227" w:right="217"/>
              <w:jc w:val="center"/>
              <w:rPr>
                <w:rFonts w:ascii="Times New Roman"/>
                <w:sz w:val="21"/>
              </w:rPr>
            </w:pPr>
            <w:r>
              <w:rPr>
                <w:rFonts w:ascii="Times New Roman"/>
                <w:sz w:val="21"/>
              </w:rPr>
              <w:t>COD</w:t>
            </w:r>
          </w:p>
        </w:tc>
        <w:tc>
          <w:tcPr>
            <w:tcW w:w="1327" w:type="dxa"/>
          </w:tcPr>
          <w:p>
            <w:pPr>
              <w:pStyle w:val="TableParagraph"/>
              <w:spacing w:before="78"/>
              <w:ind w:left="217" w:right="211"/>
              <w:jc w:val="center"/>
              <w:rPr>
                <w:sz w:val="21"/>
              </w:rPr>
            </w:pPr>
            <w:r>
              <w:rPr>
                <w:sz w:val="21"/>
              </w:rPr>
              <w:t>年均值</w:t>
            </w:r>
          </w:p>
        </w:tc>
        <w:tc>
          <w:tcPr>
            <w:tcW w:w="1350" w:type="dxa"/>
          </w:tcPr>
          <w:p>
            <w:pPr>
              <w:pStyle w:val="TableParagraph"/>
              <w:spacing w:before="92"/>
              <w:ind w:left="337" w:right="328"/>
              <w:jc w:val="center"/>
              <w:rPr>
                <w:rFonts w:ascii="Times New Roman"/>
                <w:sz w:val="21"/>
              </w:rPr>
            </w:pPr>
            <w:r>
              <w:rPr>
                <w:rFonts w:ascii="Times New Roman"/>
                <w:sz w:val="21"/>
              </w:rPr>
              <w:t>31.5</w:t>
            </w:r>
          </w:p>
        </w:tc>
        <w:tc>
          <w:tcPr>
            <w:tcW w:w="1268" w:type="dxa"/>
          </w:tcPr>
          <w:p>
            <w:pPr>
              <w:pStyle w:val="TableParagraph"/>
              <w:spacing w:before="92"/>
              <w:ind w:left="298" w:right="286"/>
              <w:jc w:val="center"/>
              <w:rPr>
                <w:rFonts w:ascii="Times New Roman"/>
                <w:sz w:val="21"/>
              </w:rPr>
            </w:pPr>
            <w:r>
              <w:rPr>
                <w:rFonts w:ascii="Times New Roman"/>
                <w:sz w:val="21"/>
              </w:rPr>
              <w:t>40</w:t>
            </w:r>
          </w:p>
        </w:tc>
        <w:tc>
          <w:tcPr>
            <w:tcW w:w="1241" w:type="dxa"/>
          </w:tcPr>
          <w:p>
            <w:pPr>
              <w:pStyle w:val="TableParagraph"/>
              <w:spacing w:before="78"/>
              <w:ind w:left="179" w:right="167"/>
              <w:jc w:val="center"/>
              <w:rPr>
                <w:sz w:val="21"/>
              </w:rPr>
            </w:pPr>
            <w:r>
              <w:rPr>
                <w:sz w:val="21"/>
              </w:rPr>
              <w:t>达标</w:t>
            </w:r>
          </w:p>
        </w:tc>
      </w:tr>
      <w:tr>
        <w:tblPrEx>
          <w:tblW w:w="0" w:type="auto"/>
          <w:tblInd w:w="1150" w:type="dxa"/>
          <w:tblLayout w:type="fixed"/>
          <w:tblCellMar>
            <w:top w:w="0" w:type="dxa"/>
            <w:left w:w="0" w:type="dxa"/>
            <w:bottom w:w="0" w:type="dxa"/>
            <w:right w:w="0" w:type="dxa"/>
          </w:tblCellMar>
        </w:tblPrEx>
        <w:trPr>
          <w:trHeight w:val="426"/>
        </w:trPr>
        <w:tc>
          <w:tcPr>
            <w:tcW w:w="1665" w:type="dxa"/>
            <w:vMerge/>
            <w:tcBorders>
              <w:top w:val="nil"/>
            </w:tcBorders>
          </w:tcPr>
          <w:p>
            <w:pPr>
              <w:rPr>
                <w:sz w:val="2"/>
                <w:szCs w:val="2"/>
              </w:rPr>
            </w:pPr>
          </w:p>
        </w:tc>
        <w:tc>
          <w:tcPr>
            <w:tcW w:w="1348" w:type="dxa"/>
          </w:tcPr>
          <w:p>
            <w:pPr>
              <w:pStyle w:val="TableParagraph"/>
              <w:spacing w:before="78"/>
              <w:ind w:left="227" w:right="215"/>
              <w:jc w:val="center"/>
              <w:rPr>
                <w:sz w:val="21"/>
              </w:rPr>
            </w:pPr>
            <w:r>
              <w:rPr>
                <w:sz w:val="21"/>
              </w:rPr>
              <w:t>氨氮</w:t>
            </w:r>
          </w:p>
        </w:tc>
        <w:tc>
          <w:tcPr>
            <w:tcW w:w="1327" w:type="dxa"/>
          </w:tcPr>
          <w:p>
            <w:pPr>
              <w:pStyle w:val="TableParagraph"/>
              <w:spacing w:before="78"/>
              <w:ind w:left="217" w:right="211"/>
              <w:jc w:val="center"/>
              <w:rPr>
                <w:sz w:val="21"/>
              </w:rPr>
            </w:pPr>
            <w:r>
              <w:rPr>
                <w:sz w:val="21"/>
              </w:rPr>
              <w:t>年均值</w:t>
            </w:r>
          </w:p>
        </w:tc>
        <w:tc>
          <w:tcPr>
            <w:tcW w:w="1350" w:type="dxa"/>
          </w:tcPr>
          <w:p>
            <w:pPr>
              <w:pStyle w:val="TableParagraph"/>
              <w:spacing w:before="92"/>
              <w:ind w:left="337" w:right="328"/>
              <w:jc w:val="center"/>
              <w:rPr>
                <w:rFonts w:ascii="Times New Roman"/>
                <w:sz w:val="21"/>
              </w:rPr>
            </w:pPr>
            <w:r>
              <w:rPr>
                <w:rFonts w:ascii="Times New Roman"/>
                <w:sz w:val="21"/>
              </w:rPr>
              <w:t>1.04</w:t>
            </w:r>
          </w:p>
        </w:tc>
        <w:tc>
          <w:tcPr>
            <w:tcW w:w="1268" w:type="dxa"/>
          </w:tcPr>
          <w:p>
            <w:pPr>
              <w:pStyle w:val="TableParagraph"/>
              <w:spacing w:before="92"/>
              <w:ind w:left="9"/>
              <w:jc w:val="center"/>
              <w:rPr>
                <w:rFonts w:ascii="Times New Roman"/>
                <w:sz w:val="21"/>
              </w:rPr>
            </w:pPr>
            <w:r>
              <w:rPr>
                <w:rFonts w:ascii="Times New Roman"/>
                <w:w w:val="99"/>
                <w:sz w:val="21"/>
              </w:rPr>
              <w:t>2</w:t>
            </w:r>
          </w:p>
        </w:tc>
        <w:tc>
          <w:tcPr>
            <w:tcW w:w="1241" w:type="dxa"/>
          </w:tcPr>
          <w:p>
            <w:pPr>
              <w:pStyle w:val="TableParagraph"/>
              <w:spacing w:before="78"/>
              <w:ind w:left="179" w:right="167"/>
              <w:jc w:val="center"/>
              <w:rPr>
                <w:sz w:val="21"/>
              </w:rPr>
            </w:pPr>
            <w:r>
              <w:rPr>
                <w:sz w:val="21"/>
              </w:rPr>
              <w:t>达标</w:t>
            </w:r>
          </w:p>
        </w:tc>
      </w:tr>
    </w:tbl>
    <w:p>
      <w:pPr>
        <w:pStyle w:val="BodyText"/>
        <w:spacing w:before="122"/>
        <w:ind w:left="1623"/>
        <w:jc w:val="both"/>
      </w:pPr>
      <w:r>
        <w:t>根据监测数据，</w:t>
      </w:r>
      <w:r>
        <w:rPr>
          <w:rFonts w:ascii="Times New Roman" w:eastAsia="Times New Roman"/>
        </w:rPr>
        <w:t xml:space="preserve">2022 </w:t>
      </w:r>
      <w:r>
        <w:t xml:space="preserve">年 </w:t>
      </w:r>
      <w:r>
        <w:rPr>
          <w:rFonts w:ascii="Times New Roman" w:eastAsia="Times New Roman"/>
        </w:rPr>
        <w:t xml:space="preserve">9 </w:t>
      </w:r>
      <w:r>
        <w:t>月</w:t>
      </w:r>
      <w:r>
        <w:rPr>
          <w:rFonts w:ascii="Times New Roman" w:eastAsia="Times New Roman"/>
        </w:rPr>
        <w:t xml:space="preserve">-12 </w:t>
      </w:r>
      <w:r>
        <w:t>月宁津新河青积务村断面氨氮能够满足</w:t>
      </w:r>
    </w:p>
    <w:p>
      <w:pPr>
        <w:pStyle w:val="BodyText"/>
        <w:spacing w:before="159" w:line="364" w:lineRule="auto"/>
        <w:ind w:left="1143" w:right="318"/>
        <w:jc w:val="both"/>
      </w:pPr>
      <w:r>
        <w:t>《地表水环境质量标准》（</w:t>
      </w:r>
      <w:r>
        <w:rPr>
          <w:rFonts w:ascii="Times New Roman" w:eastAsia="Times New Roman" w:hAnsi="Times New Roman"/>
        </w:rPr>
        <w:t>GB3838-2002</w:t>
      </w:r>
      <w:r>
        <w:t>）Ⅴ类标准要求，</w:t>
      </w:r>
      <w:r>
        <w:rPr>
          <w:rFonts w:ascii="Times New Roman" w:eastAsia="Times New Roman" w:hAnsi="Times New Roman"/>
        </w:rPr>
        <w:t xml:space="preserve">COD </w:t>
      </w:r>
      <w:r>
        <w:t>超过《地表水环境质量标准》（</w:t>
      </w:r>
      <w:r>
        <w:rPr>
          <w:rFonts w:ascii="Times New Roman" w:eastAsia="Times New Roman" w:hAnsi="Times New Roman"/>
        </w:rPr>
        <w:t>GB3838-2002</w:t>
      </w:r>
      <w:r>
        <w:t xml:space="preserve">）Ⅴ类标准，超标倍数为 </w:t>
      </w:r>
      <w:r>
        <w:rPr>
          <w:rFonts w:ascii="Times New Roman" w:eastAsia="Times New Roman" w:hAnsi="Times New Roman"/>
        </w:rPr>
        <w:t xml:space="preserve">0.005 </w:t>
      </w:r>
      <w:r>
        <w:t>倍。总体看来，项目所在区域地表水宁津新河环境质量现状不能满足《地表水环境质量标准》（</w:t>
      </w:r>
      <w:r>
        <w:rPr>
          <w:rFonts w:ascii="Times New Roman" w:eastAsia="Times New Roman" w:hAnsi="Times New Roman"/>
        </w:rPr>
        <w:t>GB3838-2002</w:t>
      </w:r>
      <w:r>
        <w:t>）Ⅴ类标准要求。</w:t>
      </w:r>
    </w:p>
    <w:p>
      <w:pPr>
        <w:pStyle w:val="BodyText"/>
        <w:spacing w:line="364" w:lineRule="auto"/>
        <w:ind w:left="1143" w:right="318" w:firstLine="480"/>
        <w:jc w:val="both"/>
      </w:pPr>
      <w:r>
        <w:t>宁津新河水质超标的主要原因是其作为宁津县的主要纳污河道，河流主要补给水源是大气降水，雨水是最主要的补给形式，这种相对静止的水文特性， 加上不合理的开发利用，造成宁津新河污染物衰减自净能力较差，生态环境现状相对薄弱，污染物没能达到相关标准。</w:t>
      </w:r>
    </w:p>
    <w:p>
      <w:pPr>
        <w:pStyle w:val="Heading5"/>
        <w:ind w:left="1143"/>
      </w:pPr>
      <w:r>
        <w:rPr>
          <w:rFonts w:ascii="Times New Roman" w:eastAsia="Times New Roman"/>
        </w:rPr>
        <w:t>3</w:t>
      </w:r>
      <w:r>
        <w:t>、声环境</w:t>
      </w:r>
    </w:p>
    <w:p>
      <w:pPr>
        <w:pStyle w:val="BodyText"/>
        <w:spacing w:before="155" w:line="362" w:lineRule="auto"/>
        <w:ind w:left="1143" w:right="318" w:firstLine="480"/>
      </w:pPr>
      <w:r>
        <w:t xml:space="preserve">本项目厂界外周边 </w:t>
      </w:r>
      <w:r>
        <w:rPr>
          <w:rFonts w:ascii="Times New Roman" w:eastAsia="Times New Roman"/>
        </w:rPr>
        <w:t xml:space="preserve">50m </w:t>
      </w:r>
      <w:r>
        <w:t>范围内无声环境保护目标，周围的声环境质量较好， 周围主要噪声为企业噪声和交通噪声， 满足《声环境质量标准》</w:t>
      </w:r>
    </w:p>
    <w:p>
      <w:pPr>
        <w:pStyle w:val="BodyText"/>
        <w:spacing w:before="5"/>
        <w:ind w:left="1143"/>
        <w:jc w:val="both"/>
      </w:pPr>
      <w:r>
        <w:t>（</w:t>
      </w:r>
      <w:r>
        <w:rPr>
          <w:rFonts w:ascii="Times New Roman" w:eastAsia="Times New Roman"/>
        </w:rPr>
        <w:t>GB3096-2008</w:t>
      </w:r>
      <w:r>
        <w:t xml:space="preserve">）表 </w:t>
      </w:r>
      <w:r>
        <w:rPr>
          <w:rFonts w:ascii="Times New Roman" w:eastAsia="Times New Roman"/>
        </w:rPr>
        <w:t xml:space="preserve">1 </w:t>
      </w:r>
      <w:r>
        <w:t xml:space="preserve">中 </w:t>
      </w:r>
      <w:r>
        <w:rPr>
          <w:rFonts w:ascii="Times New Roman" w:eastAsia="Times New Roman"/>
        </w:rPr>
        <w:t xml:space="preserve">2 </w:t>
      </w:r>
      <w:r>
        <w:t>类标准的要求。</w:t>
      </w:r>
    </w:p>
    <w:p>
      <w:pPr>
        <w:pStyle w:val="Heading5"/>
        <w:spacing w:before="161"/>
        <w:ind w:left="1143"/>
      </w:pPr>
      <w:r>
        <w:rPr>
          <w:rFonts w:ascii="Times New Roman" w:eastAsia="Times New Roman"/>
        </w:rPr>
        <w:t>4</w:t>
      </w:r>
      <w:r>
        <w:t>、生态环境</w:t>
      </w:r>
    </w:p>
    <w:p>
      <w:pPr>
        <w:pStyle w:val="BodyText"/>
        <w:spacing w:before="158" w:line="364" w:lineRule="auto"/>
        <w:ind w:left="1143" w:right="316" w:firstLine="480"/>
      </w:pPr>
      <w:r>
        <w:t>本项目所在区域的生态环境是以人类活动为中心，以工业生产为主的城市生态系统，本项目无新增用地，无需进行生态现状调查。</w:t>
      </w:r>
    </w:p>
    <w:p>
      <w:pPr>
        <w:pStyle w:val="Heading5"/>
        <w:spacing w:line="306" w:lineRule="exact"/>
        <w:ind w:left="1143"/>
      </w:pPr>
      <w:r>
        <w:rPr>
          <w:rFonts w:ascii="Times New Roman" w:eastAsia="Times New Roman"/>
        </w:rPr>
        <w:t>5</w:t>
      </w:r>
      <w:r>
        <w:t>、电磁辐射</w:t>
      </w:r>
    </w:p>
    <w:p>
      <w:pPr>
        <w:pStyle w:val="BodyText"/>
        <w:spacing w:before="160"/>
        <w:ind w:left="1623"/>
      </w:pPr>
      <w:r>
        <w:t>本项目不涉及电磁辐射。</w:t>
      </w:r>
    </w:p>
    <w:p>
      <w:pPr>
        <w:pStyle w:val="Heading5"/>
        <w:spacing w:before="158"/>
        <w:ind w:left="1143"/>
      </w:pPr>
      <w:r>
        <w:rPr>
          <w:rFonts w:ascii="Times New Roman" w:eastAsia="Times New Roman"/>
        </w:rPr>
        <w:t>6</w:t>
      </w:r>
      <w:r>
        <w:t>、地下水、土壤环境</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9" w:history="1">
        <w:r>
          <w:rPr>
            <w:rFonts w:ascii="SimSun" w:eastAsia="SimSun" w:hAnsi="SimSun" w:cs="SimSun"/>
            <w:b/>
            <w:bCs/>
            <w:color w:val="0000EE"/>
            <w:sz w:val="30"/>
            <w:szCs w:val="30"/>
            <w:u w:val="single" w:color="0000EE"/>
          </w:rPr>
          <w:t>https://d.book118.com/725111230101011114</w:t>
        </w:r>
      </w:hyperlink>
    </w:p>
    <w:p>
      <w:pPr>
        <w:spacing w:after="0"/>
      </w:pPr>
    </w:p>
    <w:sectPr>
      <w:footerReference w:type="default" r:id="rId30"/>
      <w:pgSz w:w="11910" w:h="16840"/>
      <w:pgMar w:top="1420" w:right="1120" w:bottom="980" w:left="1120" w:header="0" w:footer="713" w:gutter="0"/>
      <w:pgNumType w:start="23"/>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仿宋">
    <w:panose1 w:val="02010609060101010101"/>
    <w:charset w:val="86"/>
    <w:family w:val="modern"/>
    <w:pitch w:val="default"/>
    <w:sig w:usb0="800002BF" w:usb1="38CF7CFA" w:usb2="00000016" w:usb3="00000000" w:csb0="00040001" w:csb1="00000000"/>
  </w:font>
  <w:font w:name="MS UI Gothic">
    <w:panose1 w:val="020B0600070205080204"/>
    <w:charset w:val="80"/>
    <w:family w:val="swiss"/>
    <w:pitch w:val="default"/>
    <w:sig w:usb0="E00002FF" w:usb1="6AC7FDFB" w:usb2="08000012" w:usb3="00000000" w:csb0="4002009F" w:csb1="DFD70000"/>
  </w:font>
  <w:font w:name="Microsoft Sans Serif">
    <w:panose1 w:val="020B0604020202020204"/>
    <w:charset w:val="00"/>
    <w:family w:val="swiss"/>
    <w:pitch w:val="default"/>
    <w:sig w:usb0="E5002EFF" w:usb1="C000605B" w:usb2="00000029" w:usb3="00000000" w:csb0="200101FF" w:csb1="20280000"/>
  </w:font>
  <w:font w:name="新宋体">
    <w:panose1 w:val="02010609030101010101"/>
    <w:charset w:val="86"/>
    <w:family w:val="modern"/>
    <w:pitch w:val="default"/>
    <w:sig w:usb0="00000203" w:usb1="288F0000" w:usb2="00000006" w:usb3="00000000" w:csb0="00040001"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49.2pt;height:13.6pt;margin-top:779.9pt;margin-left:462.2pt;mso-height-relative:page;mso-position-horizontal-relative:page;mso-position-vertical-relative:page;mso-width-relative:page;position:absolute;z-index:-251658240"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w:t>
                </w:r>
                <w:r>
                  <w:fldChar w:fldCharType="end"/>
                </w:r>
                <w:r>
                  <w:rPr>
                    <w:rFonts w:ascii="Times New Roman" w:hAnsi="Times New Roman"/>
                    <w:sz w:val="21"/>
                  </w:rPr>
                  <w:tab/>
                </w:r>
                <w:r>
                  <w:rPr>
                    <w:sz w:val="21"/>
                  </w:rPr>
                  <w:t>—</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0" type="#_x0000_t202" style="width:49.2pt;height:13.6pt;margin-top:779.9pt;margin-left:462.2pt;mso-height-relative:page;mso-position-horizontal-relative:page;mso-position-vertical-relative:page;mso-width-relative:page;position:absolute;z-index:-251657216"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w:t>
                </w:r>
                <w:r>
                  <w:fldChar w:fldCharType="end"/>
                </w:r>
                <w:r>
                  <w:rPr>
                    <w:rFonts w:ascii="Times New Roman" w:hAnsi="Times New Roman"/>
                    <w:sz w:val="21"/>
                  </w:rPr>
                  <w:tab/>
                </w:r>
                <w:r>
                  <w:rPr>
                    <w:sz w:val="21"/>
                  </w:rPr>
                  <w:t>—</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49.2pt;height:13.6pt;margin-top:779.9pt;margin-left:462.2pt;mso-height-relative:page;mso-position-horizontal-relative:page;mso-position-vertical-relative:page;mso-width-relative:page;position:absolute;z-index:-251656192"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3</w:t>
                </w:r>
                <w:r>
                  <w:fldChar w:fldCharType="end"/>
                </w:r>
                <w:r>
                  <w:rPr>
                    <w:rFonts w:ascii="Times New Roman" w:hAnsi="Times New Roman"/>
                    <w:sz w:val="21"/>
                  </w:rPr>
                  <w:tab/>
                </w:r>
                <w:r>
                  <w:rPr>
                    <w:sz w:val="21"/>
                  </w:rPr>
                  <w:t>—</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2" type="#_x0000_t202" style="width:49.2pt;height:13.6pt;margin-top:779.9pt;margin-left:462.2pt;mso-height-relative:page;mso-position-horizontal-relative:page;mso-position-vertical-relative:page;mso-width-relative:page;position:absolute;z-index:-251655168"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4</w:t>
                </w:r>
                <w:r>
                  <w:fldChar w:fldCharType="end"/>
                </w:r>
                <w:r>
                  <w:rPr>
                    <w:rFonts w:ascii="Times New Roman" w:hAnsi="Times New Roman"/>
                    <w:sz w:val="21"/>
                  </w:rPr>
                  <w:tab/>
                </w:r>
                <w:r>
                  <w:rPr>
                    <w:sz w:val="21"/>
                  </w:rPr>
                  <w:t>—</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49.2pt;height:13.6pt;margin-top:779.9pt;margin-left:462.2pt;mso-height-relative:page;mso-position-horizontal-relative:page;mso-position-vertical-relative:page;mso-width-relative:page;position:absolute;z-index:-251654144"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5</w:t>
                </w:r>
                <w:r>
                  <w:fldChar w:fldCharType="end"/>
                </w:r>
                <w:r>
                  <w:rPr>
                    <w:rFonts w:ascii="Times New Roman" w:hAnsi="Times New Roman"/>
                    <w:sz w:val="21"/>
                  </w:rPr>
                  <w:tab/>
                </w:r>
                <w:r>
                  <w:rPr>
                    <w:sz w:val="21"/>
                  </w:rPr>
                  <w:t>—</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4" type="#_x0000_t202" style="width:49.2pt;height:13.6pt;margin-top:779.9pt;margin-left:462.2pt;mso-height-relative:page;mso-position-horizontal-relative:page;mso-position-vertical-relative:page;mso-width-relative:page;position:absolute;z-index:-251653120"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6</w:t>
                </w:r>
                <w:r>
                  <w:fldChar w:fldCharType="end"/>
                </w:r>
                <w:r>
                  <w:rPr>
                    <w:rFonts w:ascii="Times New Roman" w:hAnsi="Times New Roman"/>
                    <w:sz w:val="21"/>
                  </w:rPr>
                  <w:tab/>
                </w:r>
                <w:r>
                  <w:rPr>
                    <w:sz w:val="21"/>
                  </w:rPr>
                  <w:t>—</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49.2pt;height:13.6pt;margin-top:779.9pt;margin-left:462.2pt;mso-height-relative:page;mso-position-horizontal-relative:page;mso-position-vertical-relative:page;mso-width-relative:page;position:absolute;z-index:-251652096"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7</w:t>
                </w:r>
                <w:r>
                  <w:fldChar w:fldCharType="end"/>
                </w:r>
                <w:r>
                  <w:rPr>
                    <w:rFonts w:ascii="Times New Roman" w:hAnsi="Times New Roman"/>
                    <w:sz w:val="21"/>
                  </w:rPr>
                  <w:tab/>
                </w:r>
                <w:r>
                  <w:rPr>
                    <w:sz w:val="21"/>
                  </w:rPr>
                  <w:t>—</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6" type="#_x0000_t202" style="width:49.2pt;height:13.6pt;margin-top:779.9pt;margin-left:462.2pt;mso-height-relative:page;mso-position-horizontal-relative:page;mso-position-vertical-relative:page;mso-width-relative:page;position:absolute;z-index:-251651072"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8</w:t>
                </w:r>
                <w:r>
                  <w:fldChar w:fldCharType="end"/>
                </w:r>
                <w:r>
                  <w:rPr>
                    <w:rFonts w:ascii="Times New Roman" w:hAnsi="Times New Roman"/>
                    <w:sz w:val="21"/>
                  </w:rPr>
                  <w:tab/>
                </w:r>
                <w:r>
                  <w:rPr>
                    <w:sz w:val="21"/>
                  </w:rPr>
                  <w:t>—</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7" type="#_x0000_t202" style="width:49.2pt;height:13.6pt;margin-top:779.9pt;margin-left:462.2pt;mso-height-relative:page;mso-position-horizontal-relative:page;mso-position-vertical-relative:page;mso-width-relative:page;position:absolute;z-index:-251650048" coordsize="21600,21600" filled="f" stroked="f">
          <v:stroke joinstyle="miter"/>
          <v:textbox inset="0,0,0,0">
            <w:txbxContent>
              <w:p>
                <w:pPr>
                  <w:tabs>
                    <w:tab w:val="left" w:pos="439"/>
                    <w:tab w:val="left" w:pos="754"/>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9</w:t>
                </w:r>
                <w:r>
                  <w:fldChar w:fldCharType="end"/>
                </w:r>
                <w:r>
                  <w:rPr>
                    <w:rFonts w:ascii="Times New Roman" w:hAnsi="Times New Roman"/>
                    <w:sz w:val="21"/>
                  </w:rPr>
                  <w:tab/>
                </w:r>
                <w:r>
                  <w:rPr>
                    <w:sz w:val="21"/>
                  </w:rPr>
                  <w:t>—</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8" type="#_x0000_t202" style="width:54.45pt;height:13.6pt;margin-top:779.9pt;margin-left:462.2pt;mso-height-relative:page;mso-position-horizontal-relative:page;mso-position-vertical-relative:page;mso-width-relative:page;position:absolute;z-index:-25164902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10</w:t>
                </w:r>
                <w:r>
                  <w:fldChar w:fldCharType="end"/>
                </w:r>
                <w:r>
                  <w:rPr>
                    <w:rFonts w:ascii="Times New Roman" w:hAnsi="Times New Roman"/>
                    <w:sz w:val="21"/>
                  </w:rPr>
                  <w:tab/>
                </w:r>
                <w:r>
                  <w:rPr>
                    <w:sz w:val="21"/>
                  </w:rPr>
                  <w:t>—</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9" type="#_x0000_t202" style="width:54.45pt;height:13.6pt;margin-top:779.9pt;margin-left:462.2pt;mso-height-relative:page;mso-position-horizontal-relative:page;mso-position-vertical-relative:page;mso-width-relative:page;position:absolute;z-index:-251648000"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11</w:t>
                </w:r>
                <w:r>
                  <w:fldChar w:fldCharType="end"/>
                </w:r>
                <w:r>
                  <w:rPr>
                    <w:rFonts w:ascii="Times New Roman" w:hAnsi="Times New Roman"/>
                    <w:sz w:val="21"/>
                  </w:rPr>
                  <w:tab/>
                </w:r>
                <w:r>
                  <w:rPr>
                    <w:sz w:val="21"/>
                  </w:rPr>
                  <w:t>—</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0" type="#_x0000_t202" style="width:54.45pt;height:13.6pt;margin-top:779.9pt;margin-left:462.2pt;mso-height-relative:page;mso-position-horizontal-relative:page;mso-position-vertical-relative:page;mso-width-relative:page;position:absolute;z-index:-251646976"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12</w:t>
                </w:r>
                <w:r>
                  <w:fldChar w:fldCharType="end"/>
                </w:r>
                <w:r>
                  <w:rPr>
                    <w:rFonts w:ascii="Times New Roman" w:hAnsi="Times New Roman"/>
                    <w:sz w:val="21"/>
                  </w:rPr>
                  <w:tab/>
                </w:r>
                <w:r>
                  <w:rPr>
                    <w:sz w:val="21"/>
                  </w:rPr>
                  <w:t>—</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1" type="#_x0000_t202" style="width:54.45pt;height:13.6pt;margin-top:779.9pt;margin-left:462.2pt;mso-height-relative:page;mso-position-horizontal-relative:page;mso-position-vertical-relative:page;mso-width-relative:page;position:absolute;z-index:-251645952"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13</w:t>
                </w:r>
                <w:r>
                  <w:fldChar w:fldCharType="end"/>
                </w:r>
                <w:r>
                  <w:rPr>
                    <w:rFonts w:ascii="Times New Roman" w:hAnsi="Times New Roman"/>
                    <w:sz w:val="21"/>
                  </w:rPr>
                  <w:tab/>
                </w:r>
                <w:r>
                  <w:rPr>
                    <w:sz w:val="21"/>
                  </w:rPr>
                  <w:t>—</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2" type="#_x0000_t202" style="width:54.45pt;height:13.6pt;margin-top:779.9pt;margin-left:462.2pt;mso-height-relative:page;mso-position-horizontal-relative:page;mso-position-vertical-relative:page;mso-width-relative:page;position:absolute;z-index:-251644928"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14</w:t>
                </w:r>
                <w:r>
                  <w:fldChar w:fldCharType="end"/>
                </w:r>
                <w:r>
                  <w:rPr>
                    <w:rFonts w:ascii="Times New Roman" w:hAnsi="Times New Roman"/>
                    <w:sz w:val="21"/>
                  </w:rPr>
                  <w:tab/>
                </w:r>
                <w:r>
                  <w:rPr>
                    <w:sz w:val="21"/>
                  </w:rPr>
                  <w:t>—</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3" type="#_x0000_t202" style="width:54.45pt;height:13.6pt;margin-top:779.9pt;margin-left:462.2pt;mso-height-relative:page;mso-position-horizontal-relative:page;mso-position-vertical-relative:page;mso-width-relative:page;position:absolute;z-index:-251643904"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15</w:t>
                </w:r>
                <w:r>
                  <w:fldChar w:fldCharType="end"/>
                </w:r>
                <w:r>
                  <w:rPr>
                    <w:rFonts w:ascii="Times New Roman" w:hAnsi="Times New Roman"/>
                    <w:sz w:val="21"/>
                  </w:rPr>
                  <w:tab/>
                </w:r>
                <w:r>
                  <w:rPr>
                    <w:sz w:val="21"/>
                  </w:rPr>
                  <w:t>—</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4" type="#_x0000_t202" style="width:54.45pt;height:13.6pt;margin-top:791.2pt;margin-left:462.2pt;mso-height-relative:page;mso-position-horizontal-relative:page;mso-position-vertical-relative:page;mso-width-relative:page;position:absolute;z-index:-251642880"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16</w:t>
                </w:r>
                <w:r>
                  <w:fldChar w:fldCharType="end"/>
                </w:r>
                <w:r>
                  <w:rPr>
                    <w:rFonts w:ascii="Times New Roman" w:hAnsi="Times New Roman"/>
                    <w:sz w:val="21"/>
                  </w:rPr>
                  <w:tab/>
                </w:r>
                <w:r>
                  <w:rPr>
                    <w:sz w:val="21"/>
                  </w:rPr>
                  <w:t>—</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5" type="#_x0000_t202" style="width:54.45pt;height:13.6pt;margin-top:791.2pt;margin-left:462.2pt;mso-height-relative:page;mso-position-horizontal-relative:page;mso-position-vertical-relative:page;mso-width-relative:page;position:absolute;z-index:-251641856"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17</w:t>
                </w:r>
                <w:r>
                  <w:fldChar w:fldCharType="end"/>
                </w:r>
                <w:r>
                  <w:rPr>
                    <w:rFonts w:ascii="Times New Roman" w:hAnsi="Times New Roman"/>
                    <w:sz w:val="21"/>
                  </w:rPr>
                  <w:tab/>
                </w:r>
                <w:r>
                  <w:rPr>
                    <w:sz w:val="21"/>
                  </w:rPr>
                  <w:t>—</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6" type="#_x0000_t202" style="width:54.45pt;height:13.6pt;margin-top:791.2pt;margin-left:462.2pt;mso-height-relative:page;mso-position-horizontal-relative:page;mso-position-vertical-relative:page;mso-width-relative:page;position:absolute;z-index:-251640832"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18</w:t>
                </w:r>
                <w:r>
                  <w:fldChar w:fldCharType="end"/>
                </w:r>
                <w:r>
                  <w:rPr>
                    <w:rFonts w:ascii="Times New Roman" w:hAnsi="Times New Roman"/>
                    <w:sz w:val="21"/>
                  </w:rPr>
                  <w:tab/>
                </w:r>
                <w:r>
                  <w:rPr>
                    <w:sz w:val="21"/>
                  </w:rPr>
                  <w:t>—</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7" type="#_x0000_t202" style="width:54.45pt;height:13.6pt;margin-top:791.2pt;margin-left:462.2pt;mso-height-relative:page;mso-position-horizontal-relative:page;mso-position-vertical-relative:page;mso-width-relative:page;position:absolute;z-index:-251639808" coordsize="21600,21600" filled="f" stroked="f">
          <v:stroke joinstyle="miter"/>
          <v:textbox inset="0,0,0,0">
            <w:txbxContent>
              <w:p>
                <w:pPr>
                  <w:tabs>
                    <w:tab w:val="left" w:pos="439"/>
                    <w:tab w:val="left" w:pos="859"/>
                  </w:tabs>
                  <w:spacing w:before="0" w:line="265"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19</w:t>
                </w:r>
                <w:r>
                  <w:fldChar w:fldCharType="end"/>
                </w:r>
                <w:r>
                  <w:rPr>
                    <w:rFonts w:ascii="Times New Roman" w:hAnsi="Times New Roman"/>
                    <w:sz w:val="21"/>
                  </w:rPr>
                  <w:tab/>
                </w:r>
                <w:r>
                  <w:rPr>
                    <w:sz w:val="21"/>
                  </w:rPr>
                  <w:t>—</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68" type="#_x0000_t202" style="width:54.45pt;height:13.6pt;margin-top:791.2pt;margin-left:462.2pt;mso-height-relative:page;mso-position-horizontal-relative:page;mso-position-vertical-relative:page;mso-width-relative:page;position:absolute;z-index:-251638784"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20</w:t>
                </w:r>
                <w:r>
                  <w:fldChar w:fldCharType="end"/>
                </w:r>
                <w:r>
                  <w:rPr>
                    <w:rFonts w:ascii="Times New Roman" w:hAnsi="Times New Roman"/>
                    <w:sz w:val="21"/>
                  </w:rPr>
                  <w:tab/>
                </w:r>
                <w:r>
                  <w:rPr>
                    <w:sz w:val="21"/>
                  </w:rPr>
                  <w:t>—</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69" type="#_x0000_t202" style="width:54.45pt;height:13.6pt;margin-top:791.2pt;margin-left:462.2pt;mso-height-relative:page;mso-position-horizontal-relative:page;mso-position-vertical-relative:page;mso-width-relative:page;position:absolute;z-index:-251637760"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21</w:t>
                </w:r>
                <w:r>
                  <w:fldChar w:fldCharType="end"/>
                </w:r>
                <w:r>
                  <w:rPr>
                    <w:rFonts w:ascii="Times New Roman" w:hAnsi="Times New Roman"/>
                    <w:sz w:val="21"/>
                  </w:rPr>
                  <w:tab/>
                </w:r>
                <w:r>
                  <w:rPr>
                    <w:sz w:val="21"/>
                  </w:rPr>
                  <w:t>—</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70" type="#_x0000_t202" style="width:54.45pt;height:13.6pt;margin-top:791.2pt;margin-left:462.2pt;mso-height-relative:page;mso-position-horizontal-relative:page;mso-position-vertical-relative:page;mso-width-relative:page;position:absolute;z-index:-251636736"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22</w:t>
                </w:r>
                <w:r>
                  <w:fldChar w:fldCharType="end"/>
                </w:r>
                <w:r>
                  <w:rPr>
                    <w:rFonts w:ascii="Times New Roman" w:hAnsi="Times New Roman"/>
                    <w:sz w:val="21"/>
                  </w:rPr>
                  <w:tab/>
                </w:r>
                <w:r>
                  <w:rPr>
                    <w:sz w:val="21"/>
                  </w:rPr>
                  <w:t>—</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71" type="#_x0000_t202" style="width:54.45pt;height:13.6pt;margin-top:791.2pt;margin-left:462.2pt;mso-height-relative:page;mso-position-horizontal-relative:page;mso-position-vertical-relative:page;mso-width-relative:page;position:absolute;z-index:-251635712" coordsize="21600,21600" filled="f" stroked="f">
          <v:stroke joinstyle="miter"/>
          <v:textbox inset="0,0,0,0">
            <w:txbxContent>
              <w:p>
                <w:pPr>
                  <w:tabs>
                    <w:tab w:val="left" w:pos="439"/>
                    <w:tab w:val="left" w:pos="859"/>
                  </w:tabs>
                  <w:spacing w:before="0" w:line="266" w:lineRule="exact"/>
                  <w:ind w:left="20" w:right="0" w:firstLine="0"/>
                  <w:jc w:val="left"/>
                  <w:rPr>
                    <w:sz w:val="21"/>
                  </w:rPr>
                </w:pPr>
                <w:r>
                  <w:rPr>
                    <w:sz w:val="21"/>
                  </w:rPr>
                  <w:t>—</w:t>
                </w:r>
                <w:r>
                  <w:rPr>
                    <w:sz w:val="21"/>
                  </w:rPr>
                  <w:tab/>
                </w:r>
                <w:r>
                  <w:fldChar w:fldCharType="begin"/>
                </w:r>
                <w:r>
                  <w:rPr>
                    <w:rFonts w:ascii="Times New Roman" w:hAnsi="Times New Roman"/>
                    <w:sz w:val="21"/>
                  </w:rPr>
                  <w:instrText xml:space="preserve"> PAGE </w:instrText>
                </w:r>
                <w:r>
                  <w:fldChar w:fldCharType="separate"/>
                </w:r>
                <w:r>
                  <w:rPr>
                    <w:rFonts w:ascii="Times New Roman" w:hAnsi="Times New Roman"/>
                    <w:sz w:val="21"/>
                  </w:rPr>
                  <w:t>23</w:t>
                </w:r>
                <w:r>
                  <w:fldChar w:fldCharType="end"/>
                </w:r>
                <w:r>
                  <w:rPr>
                    <w:rFonts w:ascii="Times New Roman" w:hAnsi="Times New Roman"/>
                    <w:sz w:val="21"/>
                  </w:rPr>
                  <w:tab/>
                </w:r>
                <w:r>
                  <w:rPr>
                    <w:sz w:val="21"/>
                  </w:rPr>
                  <w:t>—</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04E4E29"/>
    <w:multiLevelType w:val="multilevel"/>
    <w:tmpl w:val="804E4E29"/>
    <w:lvl w:ilvl="0">
      <w:start w:val="1"/>
      <w:numFmt w:val="decimal"/>
      <w:lvlText w:val="%1."/>
      <w:lvlJc w:val="left"/>
      <w:pPr>
        <w:ind w:left="111"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475" w:hanging="159"/>
      </w:pPr>
      <w:rPr>
        <w:rFonts w:hint="default"/>
        <w:lang w:val="zh-CN" w:eastAsia="zh-CN" w:bidi="zh-CN"/>
      </w:rPr>
    </w:lvl>
    <w:lvl w:ilvl="2">
      <w:start w:val="0"/>
      <w:numFmt w:val="bullet"/>
      <w:lvlText w:val="•"/>
      <w:lvlJc w:val="left"/>
      <w:pPr>
        <w:ind w:left="830" w:hanging="159"/>
      </w:pPr>
      <w:rPr>
        <w:rFonts w:hint="default"/>
        <w:lang w:val="zh-CN" w:eastAsia="zh-CN" w:bidi="zh-CN"/>
      </w:rPr>
    </w:lvl>
    <w:lvl w:ilvl="3">
      <w:start w:val="0"/>
      <w:numFmt w:val="bullet"/>
      <w:lvlText w:val="•"/>
      <w:lvlJc w:val="left"/>
      <w:pPr>
        <w:ind w:left="1186" w:hanging="159"/>
      </w:pPr>
      <w:rPr>
        <w:rFonts w:hint="default"/>
        <w:lang w:val="zh-CN" w:eastAsia="zh-CN" w:bidi="zh-CN"/>
      </w:rPr>
    </w:lvl>
    <w:lvl w:ilvl="4">
      <w:start w:val="0"/>
      <w:numFmt w:val="bullet"/>
      <w:lvlText w:val="•"/>
      <w:lvlJc w:val="left"/>
      <w:pPr>
        <w:ind w:left="1541" w:hanging="159"/>
      </w:pPr>
      <w:rPr>
        <w:rFonts w:hint="default"/>
        <w:lang w:val="zh-CN" w:eastAsia="zh-CN" w:bidi="zh-CN"/>
      </w:rPr>
    </w:lvl>
    <w:lvl w:ilvl="5">
      <w:start w:val="0"/>
      <w:numFmt w:val="bullet"/>
      <w:lvlText w:val="•"/>
      <w:lvlJc w:val="left"/>
      <w:pPr>
        <w:ind w:left="1897" w:hanging="159"/>
      </w:pPr>
      <w:rPr>
        <w:rFonts w:hint="default"/>
        <w:lang w:val="zh-CN" w:eastAsia="zh-CN" w:bidi="zh-CN"/>
      </w:rPr>
    </w:lvl>
    <w:lvl w:ilvl="6">
      <w:start w:val="0"/>
      <w:numFmt w:val="bullet"/>
      <w:lvlText w:val="•"/>
      <w:lvlJc w:val="left"/>
      <w:pPr>
        <w:ind w:left="2252" w:hanging="159"/>
      </w:pPr>
      <w:rPr>
        <w:rFonts w:hint="default"/>
        <w:lang w:val="zh-CN" w:eastAsia="zh-CN" w:bidi="zh-CN"/>
      </w:rPr>
    </w:lvl>
    <w:lvl w:ilvl="7">
      <w:start w:val="0"/>
      <w:numFmt w:val="bullet"/>
      <w:lvlText w:val="•"/>
      <w:lvlJc w:val="left"/>
      <w:pPr>
        <w:ind w:left="2607" w:hanging="159"/>
      </w:pPr>
      <w:rPr>
        <w:rFonts w:hint="default"/>
        <w:lang w:val="zh-CN" w:eastAsia="zh-CN" w:bidi="zh-CN"/>
      </w:rPr>
    </w:lvl>
    <w:lvl w:ilvl="8">
      <w:start w:val="0"/>
      <w:numFmt w:val="bullet"/>
      <w:lvlText w:val="•"/>
      <w:lvlJc w:val="left"/>
      <w:pPr>
        <w:ind w:left="2963" w:hanging="159"/>
      </w:pPr>
      <w:rPr>
        <w:rFonts w:hint="default"/>
        <w:lang w:val="zh-CN" w:eastAsia="zh-CN" w:bidi="zh-CN"/>
      </w:rPr>
    </w:lvl>
  </w:abstractNum>
  <w:abstractNum w:abstractNumId="1">
    <w:nsid w:val="825EC3C5"/>
    <w:multiLevelType w:val="multilevel"/>
    <w:tmpl w:val="825EC3C5"/>
    <w:lvl w:ilvl="0">
      <w:start w:val="1"/>
      <w:numFmt w:val="decimal"/>
      <w:lvlText w:val="（%1）"/>
      <w:lvlJc w:val="left"/>
      <w:pPr>
        <w:ind w:left="1849" w:hanging="601"/>
        <w:jc w:val="left"/>
      </w:pPr>
      <w:rPr>
        <w:rFonts w:ascii="宋体" w:eastAsia="宋体" w:hAnsi="宋体" w:cs="宋体" w:hint="default"/>
        <w:b/>
        <w:bCs/>
        <w:w w:val="99"/>
        <w:sz w:val="22"/>
        <w:szCs w:val="22"/>
        <w:lang w:val="zh-CN" w:eastAsia="zh-CN" w:bidi="zh-CN"/>
      </w:rPr>
    </w:lvl>
    <w:lvl w:ilvl="1">
      <w:start w:val="0"/>
      <w:numFmt w:val="bullet"/>
      <w:lvlText w:val="•"/>
      <w:lvlJc w:val="left"/>
      <w:pPr>
        <w:ind w:left="2622" w:hanging="601"/>
      </w:pPr>
      <w:rPr>
        <w:rFonts w:hint="default"/>
        <w:lang w:val="zh-CN" w:eastAsia="zh-CN" w:bidi="zh-CN"/>
      </w:rPr>
    </w:lvl>
    <w:lvl w:ilvl="2">
      <w:start w:val="0"/>
      <w:numFmt w:val="bullet"/>
      <w:lvlText w:val="•"/>
      <w:lvlJc w:val="left"/>
      <w:pPr>
        <w:ind w:left="3405" w:hanging="601"/>
      </w:pPr>
      <w:rPr>
        <w:rFonts w:hint="default"/>
        <w:lang w:val="zh-CN" w:eastAsia="zh-CN" w:bidi="zh-CN"/>
      </w:rPr>
    </w:lvl>
    <w:lvl w:ilvl="3">
      <w:start w:val="0"/>
      <w:numFmt w:val="bullet"/>
      <w:lvlText w:val="•"/>
      <w:lvlJc w:val="left"/>
      <w:pPr>
        <w:ind w:left="4188" w:hanging="601"/>
      </w:pPr>
      <w:rPr>
        <w:rFonts w:hint="default"/>
        <w:lang w:val="zh-CN" w:eastAsia="zh-CN" w:bidi="zh-CN"/>
      </w:rPr>
    </w:lvl>
    <w:lvl w:ilvl="4">
      <w:start w:val="0"/>
      <w:numFmt w:val="bullet"/>
      <w:lvlText w:val="•"/>
      <w:lvlJc w:val="left"/>
      <w:pPr>
        <w:ind w:left="4970" w:hanging="601"/>
      </w:pPr>
      <w:rPr>
        <w:rFonts w:hint="default"/>
        <w:lang w:val="zh-CN" w:eastAsia="zh-CN" w:bidi="zh-CN"/>
      </w:rPr>
    </w:lvl>
    <w:lvl w:ilvl="5">
      <w:start w:val="0"/>
      <w:numFmt w:val="bullet"/>
      <w:lvlText w:val="•"/>
      <w:lvlJc w:val="left"/>
      <w:pPr>
        <w:ind w:left="5753" w:hanging="601"/>
      </w:pPr>
      <w:rPr>
        <w:rFonts w:hint="default"/>
        <w:lang w:val="zh-CN" w:eastAsia="zh-CN" w:bidi="zh-CN"/>
      </w:rPr>
    </w:lvl>
    <w:lvl w:ilvl="6">
      <w:start w:val="0"/>
      <w:numFmt w:val="bullet"/>
      <w:lvlText w:val="•"/>
      <w:lvlJc w:val="left"/>
      <w:pPr>
        <w:ind w:left="6536" w:hanging="601"/>
      </w:pPr>
      <w:rPr>
        <w:rFonts w:hint="default"/>
        <w:lang w:val="zh-CN" w:eastAsia="zh-CN" w:bidi="zh-CN"/>
      </w:rPr>
    </w:lvl>
    <w:lvl w:ilvl="7">
      <w:start w:val="0"/>
      <w:numFmt w:val="bullet"/>
      <w:lvlText w:val="•"/>
      <w:lvlJc w:val="left"/>
      <w:pPr>
        <w:ind w:left="7318" w:hanging="601"/>
      </w:pPr>
      <w:rPr>
        <w:rFonts w:hint="default"/>
        <w:lang w:val="zh-CN" w:eastAsia="zh-CN" w:bidi="zh-CN"/>
      </w:rPr>
    </w:lvl>
    <w:lvl w:ilvl="8">
      <w:start w:val="0"/>
      <w:numFmt w:val="bullet"/>
      <w:lvlText w:val="•"/>
      <w:lvlJc w:val="left"/>
      <w:pPr>
        <w:ind w:left="8101" w:hanging="601"/>
      </w:pPr>
      <w:rPr>
        <w:rFonts w:hint="default"/>
        <w:lang w:val="zh-CN" w:eastAsia="zh-CN" w:bidi="zh-CN"/>
      </w:rPr>
    </w:lvl>
  </w:abstractNum>
  <w:abstractNum w:abstractNumId="2">
    <w:nsid w:val="883B3669"/>
    <w:multiLevelType w:val="multilevel"/>
    <w:tmpl w:val="883B3669"/>
    <w:lvl w:ilvl="0">
      <w:start w:val="1"/>
      <w:numFmt w:val="decimal"/>
      <w:lvlText w:val="（%1）"/>
      <w:lvlJc w:val="left"/>
      <w:pPr>
        <w:ind w:left="1849" w:hanging="601"/>
        <w:jc w:val="right"/>
      </w:pPr>
      <w:rPr>
        <w:rFonts w:ascii="宋体" w:eastAsia="宋体" w:hAnsi="宋体" w:cs="宋体" w:hint="default"/>
        <w:w w:val="100"/>
        <w:sz w:val="22"/>
        <w:szCs w:val="22"/>
        <w:lang w:val="zh-CN" w:eastAsia="zh-CN" w:bidi="zh-CN"/>
      </w:rPr>
    </w:lvl>
    <w:lvl w:ilvl="1">
      <w:start w:val="0"/>
      <w:numFmt w:val="bullet"/>
      <w:lvlText w:val="•"/>
      <w:lvlJc w:val="left"/>
      <w:pPr>
        <w:ind w:left="2622" w:hanging="601"/>
      </w:pPr>
      <w:rPr>
        <w:rFonts w:hint="default"/>
        <w:lang w:val="zh-CN" w:eastAsia="zh-CN" w:bidi="zh-CN"/>
      </w:rPr>
    </w:lvl>
    <w:lvl w:ilvl="2">
      <w:start w:val="0"/>
      <w:numFmt w:val="bullet"/>
      <w:lvlText w:val="•"/>
      <w:lvlJc w:val="left"/>
      <w:pPr>
        <w:ind w:left="3405" w:hanging="601"/>
      </w:pPr>
      <w:rPr>
        <w:rFonts w:hint="default"/>
        <w:lang w:val="zh-CN" w:eastAsia="zh-CN" w:bidi="zh-CN"/>
      </w:rPr>
    </w:lvl>
    <w:lvl w:ilvl="3">
      <w:start w:val="0"/>
      <w:numFmt w:val="bullet"/>
      <w:lvlText w:val="•"/>
      <w:lvlJc w:val="left"/>
      <w:pPr>
        <w:ind w:left="4188" w:hanging="601"/>
      </w:pPr>
      <w:rPr>
        <w:rFonts w:hint="default"/>
        <w:lang w:val="zh-CN" w:eastAsia="zh-CN" w:bidi="zh-CN"/>
      </w:rPr>
    </w:lvl>
    <w:lvl w:ilvl="4">
      <w:start w:val="0"/>
      <w:numFmt w:val="bullet"/>
      <w:lvlText w:val="•"/>
      <w:lvlJc w:val="left"/>
      <w:pPr>
        <w:ind w:left="4970" w:hanging="601"/>
      </w:pPr>
      <w:rPr>
        <w:rFonts w:hint="default"/>
        <w:lang w:val="zh-CN" w:eastAsia="zh-CN" w:bidi="zh-CN"/>
      </w:rPr>
    </w:lvl>
    <w:lvl w:ilvl="5">
      <w:start w:val="0"/>
      <w:numFmt w:val="bullet"/>
      <w:lvlText w:val="•"/>
      <w:lvlJc w:val="left"/>
      <w:pPr>
        <w:ind w:left="5753" w:hanging="601"/>
      </w:pPr>
      <w:rPr>
        <w:rFonts w:hint="default"/>
        <w:lang w:val="zh-CN" w:eastAsia="zh-CN" w:bidi="zh-CN"/>
      </w:rPr>
    </w:lvl>
    <w:lvl w:ilvl="6">
      <w:start w:val="0"/>
      <w:numFmt w:val="bullet"/>
      <w:lvlText w:val="•"/>
      <w:lvlJc w:val="left"/>
      <w:pPr>
        <w:ind w:left="6536" w:hanging="601"/>
      </w:pPr>
      <w:rPr>
        <w:rFonts w:hint="default"/>
        <w:lang w:val="zh-CN" w:eastAsia="zh-CN" w:bidi="zh-CN"/>
      </w:rPr>
    </w:lvl>
    <w:lvl w:ilvl="7">
      <w:start w:val="0"/>
      <w:numFmt w:val="bullet"/>
      <w:lvlText w:val="•"/>
      <w:lvlJc w:val="left"/>
      <w:pPr>
        <w:ind w:left="7318" w:hanging="601"/>
      </w:pPr>
      <w:rPr>
        <w:rFonts w:hint="default"/>
        <w:lang w:val="zh-CN" w:eastAsia="zh-CN" w:bidi="zh-CN"/>
      </w:rPr>
    </w:lvl>
    <w:lvl w:ilvl="8">
      <w:start w:val="0"/>
      <w:numFmt w:val="bullet"/>
      <w:lvlText w:val="•"/>
      <w:lvlJc w:val="left"/>
      <w:pPr>
        <w:ind w:left="8101" w:hanging="601"/>
      </w:pPr>
      <w:rPr>
        <w:rFonts w:hint="default"/>
        <w:lang w:val="zh-CN" w:eastAsia="zh-CN" w:bidi="zh-CN"/>
      </w:rPr>
    </w:lvl>
  </w:abstractNum>
  <w:abstractNum w:abstractNumId="3">
    <w:nsid w:val="9C11E984"/>
    <w:multiLevelType w:val="multilevel"/>
    <w:tmpl w:val="9C11E984"/>
    <w:lvl w:ilvl="0">
      <w:start w:val="3"/>
      <w:numFmt w:val="decimal"/>
      <w:lvlText w:val="%1."/>
      <w:lvlJc w:val="left"/>
      <w:pPr>
        <w:ind w:left="111"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363" w:hanging="159"/>
      </w:pPr>
      <w:rPr>
        <w:rFonts w:hint="default"/>
        <w:lang w:val="zh-CN" w:eastAsia="zh-CN" w:bidi="zh-CN"/>
      </w:rPr>
    </w:lvl>
    <w:lvl w:ilvl="2">
      <w:start w:val="0"/>
      <w:numFmt w:val="bullet"/>
      <w:lvlText w:val="•"/>
      <w:lvlJc w:val="left"/>
      <w:pPr>
        <w:ind w:left="607" w:hanging="159"/>
      </w:pPr>
      <w:rPr>
        <w:rFonts w:hint="default"/>
        <w:lang w:val="zh-CN" w:eastAsia="zh-CN" w:bidi="zh-CN"/>
      </w:rPr>
    </w:lvl>
    <w:lvl w:ilvl="3">
      <w:start w:val="0"/>
      <w:numFmt w:val="bullet"/>
      <w:lvlText w:val="•"/>
      <w:lvlJc w:val="left"/>
      <w:pPr>
        <w:ind w:left="850" w:hanging="159"/>
      </w:pPr>
      <w:rPr>
        <w:rFonts w:hint="default"/>
        <w:lang w:val="zh-CN" w:eastAsia="zh-CN" w:bidi="zh-CN"/>
      </w:rPr>
    </w:lvl>
    <w:lvl w:ilvl="4">
      <w:start w:val="0"/>
      <w:numFmt w:val="bullet"/>
      <w:lvlText w:val="•"/>
      <w:lvlJc w:val="left"/>
      <w:pPr>
        <w:ind w:left="1094" w:hanging="159"/>
      </w:pPr>
      <w:rPr>
        <w:rFonts w:hint="default"/>
        <w:lang w:val="zh-CN" w:eastAsia="zh-CN" w:bidi="zh-CN"/>
      </w:rPr>
    </w:lvl>
    <w:lvl w:ilvl="5">
      <w:start w:val="0"/>
      <w:numFmt w:val="bullet"/>
      <w:lvlText w:val="•"/>
      <w:lvlJc w:val="left"/>
      <w:pPr>
        <w:ind w:left="1337" w:hanging="159"/>
      </w:pPr>
      <w:rPr>
        <w:rFonts w:hint="default"/>
        <w:lang w:val="zh-CN" w:eastAsia="zh-CN" w:bidi="zh-CN"/>
      </w:rPr>
    </w:lvl>
    <w:lvl w:ilvl="6">
      <w:start w:val="0"/>
      <w:numFmt w:val="bullet"/>
      <w:lvlText w:val="•"/>
      <w:lvlJc w:val="left"/>
      <w:pPr>
        <w:ind w:left="1581" w:hanging="159"/>
      </w:pPr>
      <w:rPr>
        <w:rFonts w:hint="default"/>
        <w:lang w:val="zh-CN" w:eastAsia="zh-CN" w:bidi="zh-CN"/>
      </w:rPr>
    </w:lvl>
    <w:lvl w:ilvl="7">
      <w:start w:val="0"/>
      <w:numFmt w:val="bullet"/>
      <w:lvlText w:val="•"/>
      <w:lvlJc w:val="left"/>
      <w:pPr>
        <w:ind w:left="1824" w:hanging="159"/>
      </w:pPr>
      <w:rPr>
        <w:rFonts w:hint="default"/>
        <w:lang w:val="zh-CN" w:eastAsia="zh-CN" w:bidi="zh-CN"/>
      </w:rPr>
    </w:lvl>
    <w:lvl w:ilvl="8">
      <w:start w:val="0"/>
      <w:numFmt w:val="bullet"/>
      <w:lvlText w:val="•"/>
      <w:lvlJc w:val="left"/>
      <w:pPr>
        <w:ind w:left="2068" w:hanging="159"/>
      </w:pPr>
      <w:rPr>
        <w:rFonts w:hint="default"/>
        <w:lang w:val="zh-CN" w:eastAsia="zh-CN" w:bidi="zh-CN"/>
      </w:rPr>
    </w:lvl>
  </w:abstractNum>
  <w:abstractNum w:abstractNumId="4">
    <w:nsid w:val="9F81B9F9"/>
    <w:multiLevelType w:val="multilevel"/>
    <w:tmpl w:val="9F81B9F9"/>
    <w:lvl w:ilvl="0">
      <w:start w:val="1"/>
      <w:numFmt w:val="decimal"/>
      <w:lvlText w:val="（%1）"/>
      <w:lvlJc w:val="left"/>
      <w:pPr>
        <w:ind w:left="1892" w:hanging="620"/>
        <w:jc w:val="left"/>
      </w:pPr>
      <w:rPr>
        <w:rFonts w:ascii="宋体" w:eastAsia="宋体" w:hAnsi="宋体" w:cs="宋体" w:hint="default"/>
        <w:spacing w:val="4"/>
        <w:w w:val="100"/>
        <w:sz w:val="22"/>
        <w:szCs w:val="22"/>
        <w:lang w:val="zh-CN" w:eastAsia="zh-CN" w:bidi="zh-CN"/>
      </w:rPr>
    </w:lvl>
    <w:lvl w:ilvl="1">
      <w:start w:val="0"/>
      <w:numFmt w:val="bullet"/>
      <w:lvlText w:val="•"/>
      <w:lvlJc w:val="left"/>
      <w:pPr>
        <w:ind w:left="2676" w:hanging="620"/>
      </w:pPr>
      <w:rPr>
        <w:rFonts w:hint="default"/>
        <w:lang w:val="zh-CN" w:eastAsia="zh-CN" w:bidi="zh-CN"/>
      </w:rPr>
    </w:lvl>
    <w:lvl w:ilvl="2">
      <w:start w:val="0"/>
      <w:numFmt w:val="bullet"/>
      <w:lvlText w:val="•"/>
      <w:lvlJc w:val="left"/>
      <w:pPr>
        <w:ind w:left="3453" w:hanging="620"/>
      </w:pPr>
      <w:rPr>
        <w:rFonts w:hint="default"/>
        <w:lang w:val="zh-CN" w:eastAsia="zh-CN" w:bidi="zh-CN"/>
      </w:rPr>
    </w:lvl>
    <w:lvl w:ilvl="3">
      <w:start w:val="0"/>
      <w:numFmt w:val="bullet"/>
      <w:lvlText w:val="•"/>
      <w:lvlJc w:val="left"/>
      <w:pPr>
        <w:ind w:left="4230" w:hanging="620"/>
      </w:pPr>
      <w:rPr>
        <w:rFonts w:hint="default"/>
        <w:lang w:val="zh-CN" w:eastAsia="zh-CN" w:bidi="zh-CN"/>
      </w:rPr>
    </w:lvl>
    <w:lvl w:ilvl="4">
      <w:start w:val="0"/>
      <w:numFmt w:val="bullet"/>
      <w:lvlText w:val="•"/>
      <w:lvlJc w:val="left"/>
      <w:pPr>
        <w:ind w:left="5006" w:hanging="620"/>
      </w:pPr>
      <w:rPr>
        <w:rFonts w:hint="default"/>
        <w:lang w:val="zh-CN" w:eastAsia="zh-CN" w:bidi="zh-CN"/>
      </w:rPr>
    </w:lvl>
    <w:lvl w:ilvl="5">
      <w:start w:val="0"/>
      <w:numFmt w:val="bullet"/>
      <w:lvlText w:val="•"/>
      <w:lvlJc w:val="left"/>
      <w:pPr>
        <w:ind w:left="5783" w:hanging="620"/>
      </w:pPr>
      <w:rPr>
        <w:rFonts w:hint="default"/>
        <w:lang w:val="zh-CN" w:eastAsia="zh-CN" w:bidi="zh-CN"/>
      </w:rPr>
    </w:lvl>
    <w:lvl w:ilvl="6">
      <w:start w:val="0"/>
      <w:numFmt w:val="bullet"/>
      <w:lvlText w:val="•"/>
      <w:lvlJc w:val="left"/>
      <w:pPr>
        <w:ind w:left="6560" w:hanging="620"/>
      </w:pPr>
      <w:rPr>
        <w:rFonts w:hint="default"/>
        <w:lang w:val="zh-CN" w:eastAsia="zh-CN" w:bidi="zh-CN"/>
      </w:rPr>
    </w:lvl>
    <w:lvl w:ilvl="7">
      <w:start w:val="0"/>
      <w:numFmt w:val="bullet"/>
      <w:lvlText w:val="•"/>
      <w:lvlJc w:val="left"/>
      <w:pPr>
        <w:ind w:left="7336" w:hanging="620"/>
      </w:pPr>
      <w:rPr>
        <w:rFonts w:hint="default"/>
        <w:lang w:val="zh-CN" w:eastAsia="zh-CN" w:bidi="zh-CN"/>
      </w:rPr>
    </w:lvl>
    <w:lvl w:ilvl="8">
      <w:start w:val="0"/>
      <w:numFmt w:val="bullet"/>
      <w:lvlText w:val="•"/>
      <w:lvlJc w:val="left"/>
      <w:pPr>
        <w:ind w:left="8113" w:hanging="620"/>
      </w:pPr>
      <w:rPr>
        <w:rFonts w:hint="default"/>
        <w:lang w:val="zh-CN" w:eastAsia="zh-CN" w:bidi="zh-CN"/>
      </w:rPr>
    </w:lvl>
  </w:abstractNum>
  <w:abstractNum w:abstractNumId="5">
    <w:nsid w:val="A9AC3AA7"/>
    <w:multiLevelType w:val="multilevel"/>
    <w:tmpl w:val="A9AC3AA7"/>
    <w:lvl w:ilvl="0">
      <w:start w:val="3"/>
      <w:numFmt w:val="decimal"/>
      <w:lvlText w:val="（%1）"/>
      <w:lvlJc w:val="left"/>
      <w:pPr>
        <w:ind w:left="11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13" w:hanging="601"/>
      </w:pPr>
      <w:rPr>
        <w:rFonts w:hint="default"/>
        <w:lang w:val="zh-CN" w:eastAsia="zh-CN" w:bidi="zh-CN"/>
      </w:rPr>
    </w:lvl>
    <w:lvl w:ilvl="2">
      <w:start w:val="0"/>
      <w:numFmt w:val="bullet"/>
      <w:lvlText w:val="•"/>
      <w:lvlJc w:val="left"/>
      <w:pPr>
        <w:ind w:left="2626" w:hanging="601"/>
      </w:pPr>
      <w:rPr>
        <w:rFonts w:hint="default"/>
        <w:lang w:val="zh-CN" w:eastAsia="zh-CN" w:bidi="zh-CN"/>
      </w:rPr>
    </w:lvl>
    <w:lvl w:ilvl="3">
      <w:start w:val="0"/>
      <w:numFmt w:val="bullet"/>
      <w:lvlText w:val="•"/>
      <w:lvlJc w:val="left"/>
      <w:pPr>
        <w:ind w:left="3339" w:hanging="601"/>
      </w:pPr>
      <w:rPr>
        <w:rFonts w:hint="default"/>
        <w:lang w:val="zh-CN" w:eastAsia="zh-CN" w:bidi="zh-CN"/>
      </w:rPr>
    </w:lvl>
    <w:lvl w:ilvl="4">
      <w:start w:val="0"/>
      <w:numFmt w:val="bullet"/>
      <w:lvlText w:val="•"/>
      <w:lvlJc w:val="left"/>
      <w:pPr>
        <w:ind w:left="4052" w:hanging="601"/>
      </w:pPr>
      <w:rPr>
        <w:rFonts w:hint="default"/>
        <w:lang w:val="zh-CN" w:eastAsia="zh-CN" w:bidi="zh-CN"/>
      </w:rPr>
    </w:lvl>
    <w:lvl w:ilvl="5">
      <w:start w:val="0"/>
      <w:numFmt w:val="bullet"/>
      <w:lvlText w:val="•"/>
      <w:lvlJc w:val="left"/>
      <w:pPr>
        <w:ind w:left="4766" w:hanging="601"/>
      </w:pPr>
      <w:rPr>
        <w:rFonts w:hint="default"/>
        <w:lang w:val="zh-CN" w:eastAsia="zh-CN" w:bidi="zh-CN"/>
      </w:rPr>
    </w:lvl>
    <w:lvl w:ilvl="6">
      <w:start w:val="0"/>
      <w:numFmt w:val="bullet"/>
      <w:lvlText w:val="•"/>
      <w:lvlJc w:val="left"/>
      <w:pPr>
        <w:ind w:left="5479" w:hanging="601"/>
      </w:pPr>
      <w:rPr>
        <w:rFonts w:hint="default"/>
        <w:lang w:val="zh-CN" w:eastAsia="zh-CN" w:bidi="zh-CN"/>
      </w:rPr>
    </w:lvl>
    <w:lvl w:ilvl="7">
      <w:start w:val="0"/>
      <w:numFmt w:val="bullet"/>
      <w:lvlText w:val="•"/>
      <w:lvlJc w:val="left"/>
      <w:pPr>
        <w:ind w:left="6192" w:hanging="601"/>
      </w:pPr>
      <w:rPr>
        <w:rFonts w:hint="default"/>
        <w:lang w:val="zh-CN" w:eastAsia="zh-CN" w:bidi="zh-CN"/>
      </w:rPr>
    </w:lvl>
    <w:lvl w:ilvl="8">
      <w:start w:val="0"/>
      <w:numFmt w:val="bullet"/>
      <w:lvlText w:val="•"/>
      <w:lvlJc w:val="left"/>
      <w:pPr>
        <w:ind w:left="6905" w:hanging="601"/>
      </w:pPr>
      <w:rPr>
        <w:rFonts w:hint="default"/>
        <w:lang w:val="zh-CN" w:eastAsia="zh-CN" w:bidi="zh-CN"/>
      </w:rPr>
    </w:lvl>
  </w:abstractNum>
  <w:abstractNum w:abstractNumId="6">
    <w:nsid w:val="BCECA0B4"/>
    <w:multiLevelType w:val="multilevel"/>
    <w:tmpl w:val="BCECA0B4"/>
    <w:lvl w:ilvl="0">
      <w:start w:val="1"/>
      <w:numFmt w:val="decimal"/>
      <w:lvlText w:val="%1."/>
      <w:lvlJc w:val="left"/>
      <w:pPr>
        <w:ind w:left="111"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363" w:hanging="159"/>
      </w:pPr>
      <w:rPr>
        <w:rFonts w:hint="default"/>
        <w:lang w:val="zh-CN" w:eastAsia="zh-CN" w:bidi="zh-CN"/>
      </w:rPr>
    </w:lvl>
    <w:lvl w:ilvl="2">
      <w:start w:val="0"/>
      <w:numFmt w:val="bullet"/>
      <w:lvlText w:val="•"/>
      <w:lvlJc w:val="left"/>
      <w:pPr>
        <w:ind w:left="607" w:hanging="159"/>
      </w:pPr>
      <w:rPr>
        <w:rFonts w:hint="default"/>
        <w:lang w:val="zh-CN" w:eastAsia="zh-CN" w:bidi="zh-CN"/>
      </w:rPr>
    </w:lvl>
    <w:lvl w:ilvl="3">
      <w:start w:val="0"/>
      <w:numFmt w:val="bullet"/>
      <w:lvlText w:val="•"/>
      <w:lvlJc w:val="left"/>
      <w:pPr>
        <w:ind w:left="850" w:hanging="159"/>
      </w:pPr>
      <w:rPr>
        <w:rFonts w:hint="default"/>
        <w:lang w:val="zh-CN" w:eastAsia="zh-CN" w:bidi="zh-CN"/>
      </w:rPr>
    </w:lvl>
    <w:lvl w:ilvl="4">
      <w:start w:val="0"/>
      <w:numFmt w:val="bullet"/>
      <w:lvlText w:val="•"/>
      <w:lvlJc w:val="left"/>
      <w:pPr>
        <w:ind w:left="1094" w:hanging="159"/>
      </w:pPr>
      <w:rPr>
        <w:rFonts w:hint="default"/>
        <w:lang w:val="zh-CN" w:eastAsia="zh-CN" w:bidi="zh-CN"/>
      </w:rPr>
    </w:lvl>
    <w:lvl w:ilvl="5">
      <w:start w:val="0"/>
      <w:numFmt w:val="bullet"/>
      <w:lvlText w:val="•"/>
      <w:lvlJc w:val="left"/>
      <w:pPr>
        <w:ind w:left="1337" w:hanging="159"/>
      </w:pPr>
      <w:rPr>
        <w:rFonts w:hint="default"/>
        <w:lang w:val="zh-CN" w:eastAsia="zh-CN" w:bidi="zh-CN"/>
      </w:rPr>
    </w:lvl>
    <w:lvl w:ilvl="6">
      <w:start w:val="0"/>
      <w:numFmt w:val="bullet"/>
      <w:lvlText w:val="•"/>
      <w:lvlJc w:val="left"/>
      <w:pPr>
        <w:ind w:left="1581" w:hanging="159"/>
      </w:pPr>
      <w:rPr>
        <w:rFonts w:hint="default"/>
        <w:lang w:val="zh-CN" w:eastAsia="zh-CN" w:bidi="zh-CN"/>
      </w:rPr>
    </w:lvl>
    <w:lvl w:ilvl="7">
      <w:start w:val="0"/>
      <w:numFmt w:val="bullet"/>
      <w:lvlText w:val="•"/>
      <w:lvlJc w:val="left"/>
      <w:pPr>
        <w:ind w:left="1824" w:hanging="159"/>
      </w:pPr>
      <w:rPr>
        <w:rFonts w:hint="default"/>
        <w:lang w:val="zh-CN" w:eastAsia="zh-CN" w:bidi="zh-CN"/>
      </w:rPr>
    </w:lvl>
    <w:lvl w:ilvl="8">
      <w:start w:val="0"/>
      <w:numFmt w:val="bullet"/>
      <w:lvlText w:val="•"/>
      <w:lvlJc w:val="left"/>
      <w:pPr>
        <w:ind w:left="2068" w:hanging="159"/>
      </w:pPr>
      <w:rPr>
        <w:rFonts w:hint="default"/>
        <w:lang w:val="zh-CN" w:eastAsia="zh-CN" w:bidi="zh-CN"/>
      </w:rPr>
    </w:lvl>
  </w:abstractNum>
  <w:abstractNum w:abstractNumId="7">
    <w:nsid w:val="BE8A4F4C"/>
    <w:multiLevelType w:val="multilevel"/>
    <w:tmpl w:val="BE8A4F4C"/>
    <w:lvl w:ilvl="0">
      <w:start w:val="2"/>
      <w:numFmt w:val="decimal"/>
      <w:lvlText w:val="%1."/>
      <w:lvlJc w:val="left"/>
      <w:pPr>
        <w:ind w:left="107" w:hanging="161"/>
        <w:jc w:val="left"/>
      </w:pPr>
      <w:rPr>
        <w:rFonts w:ascii="Times New Roman" w:eastAsia="Times New Roman" w:hAnsi="Times New Roman" w:cs="Times New Roman" w:hint="default"/>
        <w:b/>
        <w:bCs/>
        <w:spacing w:val="1"/>
        <w:w w:val="99"/>
        <w:sz w:val="19"/>
        <w:szCs w:val="19"/>
        <w:lang w:val="zh-CN" w:eastAsia="zh-CN" w:bidi="zh-CN"/>
      </w:rPr>
    </w:lvl>
    <w:lvl w:ilvl="1">
      <w:start w:val="0"/>
      <w:numFmt w:val="bullet"/>
      <w:lvlText w:val="•"/>
      <w:lvlJc w:val="left"/>
      <w:pPr>
        <w:ind w:left="875" w:hanging="161"/>
      </w:pPr>
      <w:rPr>
        <w:rFonts w:hint="default"/>
        <w:lang w:val="zh-CN" w:eastAsia="zh-CN" w:bidi="zh-CN"/>
      </w:rPr>
    </w:lvl>
    <w:lvl w:ilvl="2">
      <w:start w:val="0"/>
      <w:numFmt w:val="bullet"/>
      <w:lvlText w:val="•"/>
      <w:lvlJc w:val="left"/>
      <w:pPr>
        <w:ind w:left="1650" w:hanging="161"/>
      </w:pPr>
      <w:rPr>
        <w:rFonts w:hint="default"/>
        <w:lang w:val="zh-CN" w:eastAsia="zh-CN" w:bidi="zh-CN"/>
      </w:rPr>
    </w:lvl>
    <w:lvl w:ilvl="3">
      <w:start w:val="0"/>
      <w:numFmt w:val="bullet"/>
      <w:lvlText w:val="•"/>
      <w:lvlJc w:val="left"/>
      <w:pPr>
        <w:ind w:left="2425" w:hanging="161"/>
      </w:pPr>
      <w:rPr>
        <w:rFonts w:hint="default"/>
        <w:lang w:val="zh-CN" w:eastAsia="zh-CN" w:bidi="zh-CN"/>
      </w:rPr>
    </w:lvl>
    <w:lvl w:ilvl="4">
      <w:start w:val="0"/>
      <w:numFmt w:val="bullet"/>
      <w:lvlText w:val="•"/>
      <w:lvlJc w:val="left"/>
      <w:pPr>
        <w:ind w:left="3200" w:hanging="161"/>
      </w:pPr>
      <w:rPr>
        <w:rFonts w:hint="default"/>
        <w:lang w:val="zh-CN" w:eastAsia="zh-CN" w:bidi="zh-CN"/>
      </w:rPr>
    </w:lvl>
    <w:lvl w:ilvl="5">
      <w:start w:val="0"/>
      <w:numFmt w:val="bullet"/>
      <w:lvlText w:val="•"/>
      <w:lvlJc w:val="left"/>
      <w:pPr>
        <w:ind w:left="3975" w:hanging="161"/>
      </w:pPr>
      <w:rPr>
        <w:rFonts w:hint="default"/>
        <w:lang w:val="zh-CN" w:eastAsia="zh-CN" w:bidi="zh-CN"/>
      </w:rPr>
    </w:lvl>
    <w:lvl w:ilvl="6">
      <w:start w:val="0"/>
      <w:numFmt w:val="bullet"/>
      <w:lvlText w:val="•"/>
      <w:lvlJc w:val="left"/>
      <w:pPr>
        <w:ind w:left="4750" w:hanging="161"/>
      </w:pPr>
      <w:rPr>
        <w:rFonts w:hint="default"/>
        <w:lang w:val="zh-CN" w:eastAsia="zh-CN" w:bidi="zh-CN"/>
      </w:rPr>
    </w:lvl>
    <w:lvl w:ilvl="7">
      <w:start w:val="0"/>
      <w:numFmt w:val="bullet"/>
      <w:lvlText w:val="•"/>
      <w:lvlJc w:val="left"/>
      <w:pPr>
        <w:ind w:left="5525" w:hanging="161"/>
      </w:pPr>
      <w:rPr>
        <w:rFonts w:hint="default"/>
        <w:lang w:val="zh-CN" w:eastAsia="zh-CN" w:bidi="zh-CN"/>
      </w:rPr>
    </w:lvl>
    <w:lvl w:ilvl="8">
      <w:start w:val="0"/>
      <w:numFmt w:val="bullet"/>
      <w:lvlText w:val="•"/>
      <w:lvlJc w:val="left"/>
      <w:pPr>
        <w:ind w:left="6300" w:hanging="161"/>
      </w:pPr>
      <w:rPr>
        <w:rFonts w:hint="default"/>
        <w:lang w:val="zh-CN" w:eastAsia="zh-CN" w:bidi="zh-CN"/>
      </w:rPr>
    </w:lvl>
  </w:abstractNum>
  <w:abstractNum w:abstractNumId="8">
    <w:nsid w:val="BF50FE6B"/>
    <w:multiLevelType w:val="multilevel"/>
    <w:tmpl w:val="BF50FE6B"/>
    <w:lvl w:ilvl="0">
      <w:start w:val="1"/>
      <w:numFmt w:val="decimal"/>
      <w:lvlText w:val="（%1）"/>
      <w:lvlJc w:val="left"/>
      <w:pPr>
        <w:ind w:left="1892" w:hanging="620"/>
        <w:jc w:val="left"/>
      </w:pPr>
      <w:rPr>
        <w:rFonts w:ascii="宋体" w:eastAsia="宋体" w:hAnsi="宋体" w:cs="宋体" w:hint="default"/>
        <w:spacing w:val="4"/>
        <w:w w:val="100"/>
        <w:sz w:val="22"/>
        <w:szCs w:val="22"/>
        <w:lang w:val="zh-CN" w:eastAsia="zh-CN" w:bidi="zh-CN"/>
      </w:rPr>
    </w:lvl>
    <w:lvl w:ilvl="1">
      <w:start w:val="0"/>
      <w:numFmt w:val="bullet"/>
      <w:lvlText w:val="•"/>
      <w:lvlJc w:val="left"/>
      <w:pPr>
        <w:ind w:left="2676" w:hanging="620"/>
      </w:pPr>
      <w:rPr>
        <w:rFonts w:hint="default"/>
        <w:lang w:val="zh-CN" w:eastAsia="zh-CN" w:bidi="zh-CN"/>
      </w:rPr>
    </w:lvl>
    <w:lvl w:ilvl="2">
      <w:start w:val="0"/>
      <w:numFmt w:val="bullet"/>
      <w:lvlText w:val="•"/>
      <w:lvlJc w:val="left"/>
      <w:pPr>
        <w:ind w:left="3453" w:hanging="620"/>
      </w:pPr>
      <w:rPr>
        <w:rFonts w:hint="default"/>
        <w:lang w:val="zh-CN" w:eastAsia="zh-CN" w:bidi="zh-CN"/>
      </w:rPr>
    </w:lvl>
    <w:lvl w:ilvl="3">
      <w:start w:val="0"/>
      <w:numFmt w:val="bullet"/>
      <w:lvlText w:val="•"/>
      <w:lvlJc w:val="left"/>
      <w:pPr>
        <w:ind w:left="4230" w:hanging="620"/>
      </w:pPr>
      <w:rPr>
        <w:rFonts w:hint="default"/>
        <w:lang w:val="zh-CN" w:eastAsia="zh-CN" w:bidi="zh-CN"/>
      </w:rPr>
    </w:lvl>
    <w:lvl w:ilvl="4">
      <w:start w:val="0"/>
      <w:numFmt w:val="bullet"/>
      <w:lvlText w:val="•"/>
      <w:lvlJc w:val="left"/>
      <w:pPr>
        <w:ind w:left="5006" w:hanging="620"/>
      </w:pPr>
      <w:rPr>
        <w:rFonts w:hint="default"/>
        <w:lang w:val="zh-CN" w:eastAsia="zh-CN" w:bidi="zh-CN"/>
      </w:rPr>
    </w:lvl>
    <w:lvl w:ilvl="5">
      <w:start w:val="0"/>
      <w:numFmt w:val="bullet"/>
      <w:lvlText w:val="•"/>
      <w:lvlJc w:val="left"/>
      <w:pPr>
        <w:ind w:left="5783" w:hanging="620"/>
      </w:pPr>
      <w:rPr>
        <w:rFonts w:hint="default"/>
        <w:lang w:val="zh-CN" w:eastAsia="zh-CN" w:bidi="zh-CN"/>
      </w:rPr>
    </w:lvl>
    <w:lvl w:ilvl="6">
      <w:start w:val="0"/>
      <w:numFmt w:val="bullet"/>
      <w:lvlText w:val="•"/>
      <w:lvlJc w:val="left"/>
      <w:pPr>
        <w:ind w:left="6560" w:hanging="620"/>
      </w:pPr>
      <w:rPr>
        <w:rFonts w:hint="default"/>
        <w:lang w:val="zh-CN" w:eastAsia="zh-CN" w:bidi="zh-CN"/>
      </w:rPr>
    </w:lvl>
    <w:lvl w:ilvl="7">
      <w:start w:val="0"/>
      <w:numFmt w:val="bullet"/>
      <w:lvlText w:val="•"/>
      <w:lvlJc w:val="left"/>
      <w:pPr>
        <w:ind w:left="7336" w:hanging="620"/>
      </w:pPr>
      <w:rPr>
        <w:rFonts w:hint="default"/>
        <w:lang w:val="zh-CN" w:eastAsia="zh-CN" w:bidi="zh-CN"/>
      </w:rPr>
    </w:lvl>
    <w:lvl w:ilvl="8">
      <w:start w:val="0"/>
      <w:numFmt w:val="bullet"/>
      <w:lvlText w:val="•"/>
      <w:lvlJc w:val="left"/>
      <w:pPr>
        <w:ind w:left="8113" w:hanging="620"/>
      </w:pPr>
      <w:rPr>
        <w:rFonts w:hint="default"/>
        <w:lang w:val="zh-CN" w:eastAsia="zh-CN" w:bidi="zh-CN"/>
      </w:rPr>
    </w:lvl>
  </w:abstractNum>
  <w:abstractNum w:abstractNumId="9">
    <w:nsid w:val="C90D1B09"/>
    <w:multiLevelType w:val="multilevel"/>
    <w:tmpl w:val="C90D1B09"/>
    <w:lvl w:ilvl="0">
      <w:start w:val="1"/>
      <w:numFmt w:val="decimal"/>
      <w:lvlText w:val="（%1）"/>
      <w:lvlJc w:val="left"/>
      <w:pPr>
        <w:ind w:left="1000" w:hanging="601"/>
        <w:jc w:val="left"/>
      </w:pPr>
      <w:rPr>
        <w:rFonts w:ascii="宋体" w:eastAsia="宋体" w:hAnsi="宋体" w:cs="宋体" w:hint="default"/>
        <w:w w:val="100"/>
        <w:sz w:val="22"/>
        <w:szCs w:val="22"/>
        <w:lang w:val="zh-CN" w:eastAsia="zh-CN" w:bidi="zh-CN"/>
      </w:rPr>
    </w:lvl>
    <w:lvl w:ilvl="1">
      <w:start w:val="1"/>
      <w:numFmt w:val="decimal"/>
      <w:lvlText w:val="%2）"/>
      <w:lvlJc w:val="left"/>
      <w:pPr>
        <w:ind w:left="1240" w:hanging="361"/>
        <w:jc w:val="left"/>
      </w:pPr>
      <w:rPr>
        <w:rFonts w:ascii="Times New Roman" w:eastAsia="Times New Roman" w:hAnsi="Times New Roman" w:cs="Times New Roman" w:hint="default"/>
        <w:w w:val="100"/>
        <w:sz w:val="22"/>
        <w:szCs w:val="22"/>
        <w:lang w:val="zh-CN" w:eastAsia="zh-CN" w:bidi="zh-CN"/>
      </w:rPr>
    </w:lvl>
    <w:lvl w:ilvl="2">
      <w:start w:val="0"/>
      <w:numFmt w:val="bullet"/>
      <w:lvlText w:val="•"/>
      <w:lvlJc w:val="left"/>
      <w:pPr>
        <w:ind w:left="2012" w:hanging="361"/>
      </w:pPr>
      <w:rPr>
        <w:rFonts w:hint="default"/>
        <w:lang w:val="zh-CN" w:eastAsia="zh-CN" w:bidi="zh-CN"/>
      </w:rPr>
    </w:lvl>
    <w:lvl w:ilvl="3">
      <w:start w:val="0"/>
      <w:numFmt w:val="bullet"/>
      <w:lvlText w:val="•"/>
      <w:lvlJc w:val="left"/>
      <w:pPr>
        <w:ind w:left="2784" w:hanging="361"/>
      </w:pPr>
      <w:rPr>
        <w:rFonts w:hint="default"/>
        <w:lang w:val="zh-CN" w:eastAsia="zh-CN" w:bidi="zh-CN"/>
      </w:rPr>
    </w:lvl>
    <w:lvl w:ilvl="4">
      <w:start w:val="0"/>
      <w:numFmt w:val="bullet"/>
      <w:lvlText w:val="•"/>
      <w:lvlJc w:val="left"/>
      <w:pPr>
        <w:ind w:left="3556" w:hanging="361"/>
      </w:pPr>
      <w:rPr>
        <w:rFonts w:hint="default"/>
        <w:lang w:val="zh-CN" w:eastAsia="zh-CN" w:bidi="zh-CN"/>
      </w:rPr>
    </w:lvl>
    <w:lvl w:ilvl="5">
      <w:start w:val="0"/>
      <w:numFmt w:val="bullet"/>
      <w:lvlText w:val="•"/>
      <w:lvlJc w:val="left"/>
      <w:pPr>
        <w:ind w:left="4328" w:hanging="361"/>
      </w:pPr>
      <w:rPr>
        <w:rFonts w:hint="default"/>
        <w:lang w:val="zh-CN" w:eastAsia="zh-CN" w:bidi="zh-CN"/>
      </w:rPr>
    </w:lvl>
    <w:lvl w:ilvl="6">
      <w:start w:val="0"/>
      <w:numFmt w:val="bullet"/>
      <w:lvlText w:val="•"/>
      <w:lvlJc w:val="left"/>
      <w:pPr>
        <w:ind w:left="5100" w:hanging="361"/>
      </w:pPr>
      <w:rPr>
        <w:rFonts w:hint="default"/>
        <w:lang w:val="zh-CN" w:eastAsia="zh-CN" w:bidi="zh-CN"/>
      </w:rPr>
    </w:lvl>
    <w:lvl w:ilvl="7">
      <w:start w:val="0"/>
      <w:numFmt w:val="bullet"/>
      <w:lvlText w:val="•"/>
      <w:lvlJc w:val="left"/>
      <w:pPr>
        <w:ind w:left="5872" w:hanging="361"/>
      </w:pPr>
      <w:rPr>
        <w:rFonts w:hint="default"/>
        <w:lang w:val="zh-CN" w:eastAsia="zh-CN" w:bidi="zh-CN"/>
      </w:rPr>
    </w:lvl>
    <w:lvl w:ilvl="8">
      <w:start w:val="0"/>
      <w:numFmt w:val="bullet"/>
      <w:lvlText w:val="•"/>
      <w:lvlJc w:val="left"/>
      <w:pPr>
        <w:ind w:left="6644" w:hanging="361"/>
      </w:pPr>
      <w:rPr>
        <w:rFonts w:hint="default"/>
        <w:lang w:val="zh-CN" w:eastAsia="zh-CN" w:bidi="zh-CN"/>
      </w:rPr>
    </w:lvl>
  </w:abstractNum>
  <w:abstractNum w:abstractNumId="10">
    <w:nsid w:val="D1EB1714"/>
    <w:multiLevelType w:val="multilevel"/>
    <w:tmpl w:val="D1EB1714"/>
    <w:lvl w:ilvl="0">
      <w:start w:val="1"/>
      <w:numFmt w:val="decimal"/>
      <w:lvlText w:val="%1."/>
      <w:lvlJc w:val="left"/>
      <w:pPr>
        <w:ind w:left="111"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475" w:hanging="159"/>
      </w:pPr>
      <w:rPr>
        <w:rFonts w:hint="default"/>
        <w:lang w:val="zh-CN" w:eastAsia="zh-CN" w:bidi="zh-CN"/>
      </w:rPr>
    </w:lvl>
    <w:lvl w:ilvl="2">
      <w:start w:val="0"/>
      <w:numFmt w:val="bullet"/>
      <w:lvlText w:val="•"/>
      <w:lvlJc w:val="left"/>
      <w:pPr>
        <w:ind w:left="830" w:hanging="159"/>
      </w:pPr>
      <w:rPr>
        <w:rFonts w:hint="default"/>
        <w:lang w:val="zh-CN" w:eastAsia="zh-CN" w:bidi="zh-CN"/>
      </w:rPr>
    </w:lvl>
    <w:lvl w:ilvl="3">
      <w:start w:val="0"/>
      <w:numFmt w:val="bullet"/>
      <w:lvlText w:val="•"/>
      <w:lvlJc w:val="left"/>
      <w:pPr>
        <w:ind w:left="1186" w:hanging="159"/>
      </w:pPr>
      <w:rPr>
        <w:rFonts w:hint="default"/>
        <w:lang w:val="zh-CN" w:eastAsia="zh-CN" w:bidi="zh-CN"/>
      </w:rPr>
    </w:lvl>
    <w:lvl w:ilvl="4">
      <w:start w:val="0"/>
      <w:numFmt w:val="bullet"/>
      <w:lvlText w:val="•"/>
      <w:lvlJc w:val="left"/>
      <w:pPr>
        <w:ind w:left="1541" w:hanging="159"/>
      </w:pPr>
      <w:rPr>
        <w:rFonts w:hint="default"/>
        <w:lang w:val="zh-CN" w:eastAsia="zh-CN" w:bidi="zh-CN"/>
      </w:rPr>
    </w:lvl>
    <w:lvl w:ilvl="5">
      <w:start w:val="0"/>
      <w:numFmt w:val="bullet"/>
      <w:lvlText w:val="•"/>
      <w:lvlJc w:val="left"/>
      <w:pPr>
        <w:ind w:left="1897" w:hanging="159"/>
      </w:pPr>
      <w:rPr>
        <w:rFonts w:hint="default"/>
        <w:lang w:val="zh-CN" w:eastAsia="zh-CN" w:bidi="zh-CN"/>
      </w:rPr>
    </w:lvl>
    <w:lvl w:ilvl="6">
      <w:start w:val="0"/>
      <w:numFmt w:val="bullet"/>
      <w:lvlText w:val="•"/>
      <w:lvlJc w:val="left"/>
      <w:pPr>
        <w:ind w:left="2252" w:hanging="159"/>
      </w:pPr>
      <w:rPr>
        <w:rFonts w:hint="default"/>
        <w:lang w:val="zh-CN" w:eastAsia="zh-CN" w:bidi="zh-CN"/>
      </w:rPr>
    </w:lvl>
    <w:lvl w:ilvl="7">
      <w:start w:val="0"/>
      <w:numFmt w:val="bullet"/>
      <w:lvlText w:val="•"/>
      <w:lvlJc w:val="left"/>
      <w:pPr>
        <w:ind w:left="2607" w:hanging="159"/>
      </w:pPr>
      <w:rPr>
        <w:rFonts w:hint="default"/>
        <w:lang w:val="zh-CN" w:eastAsia="zh-CN" w:bidi="zh-CN"/>
      </w:rPr>
    </w:lvl>
    <w:lvl w:ilvl="8">
      <w:start w:val="0"/>
      <w:numFmt w:val="bullet"/>
      <w:lvlText w:val="•"/>
      <w:lvlJc w:val="left"/>
      <w:pPr>
        <w:ind w:left="2963" w:hanging="159"/>
      </w:pPr>
      <w:rPr>
        <w:rFonts w:hint="default"/>
        <w:lang w:val="zh-CN" w:eastAsia="zh-CN" w:bidi="zh-CN"/>
      </w:rPr>
    </w:lvl>
  </w:abstractNum>
  <w:abstractNum w:abstractNumId="11">
    <w:nsid w:val="E0294EC7"/>
    <w:multiLevelType w:val="multilevel"/>
    <w:tmpl w:val="E0294EC7"/>
    <w:lvl w:ilvl="0">
      <w:start w:val="1"/>
      <w:numFmt w:val="decimal"/>
      <w:lvlText w:val="%1."/>
      <w:lvlJc w:val="left"/>
      <w:pPr>
        <w:ind w:left="111"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475" w:hanging="159"/>
      </w:pPr>
      <w:rPr>
        <w:rFonts w:hint="default"/>
        <w:lang w:val="zh-CN" w:eastAsia="zh-CN" w:bidi="zh-CN"/>
      </w:rPr>
    </w:lvl>
    <w:lvl w:ilvl="2">
      <w:start w:val="0"/>
      <w:numFmt w:val="bullet"/>
      <w:lvlText w:val="•"/>
      <w:lvlJc w:val="left"/>
      <w:pPr>
        <w:ind w:left="830" w:hanging="159"/>
      </w:pPr>
      <w:rPr>
        <w:rFonts w:hint="default"/>
        <w:lang w:val="zh-CN" w:eastAsia="zh-CN" w:bidi="zh-CN"/>
      </w:rPr>
    </w:lvl>
    <w:lvl w:ilvl="3">
      <w:start w:val="0"/>
      <w:numFmt w:val="bullet"/>
      <w:lvlText w:val="•"/>
      <w:lvlJc w:val="left"/>
      <w:pPr>
        <w:ind w:left="1186" w:hanging="159"/>
      </w:pPr>
      <w:rPr>
        <w:rFonts w:hint="default"/>
        <w:lang w:val="zh-CN" w:eastAsia="zh-CN" w:bidi="zh-CN"/>
      </w:rPr>
    </w:lvl>
    <w:lvl w:ilvl="4">
      <w:start w:val="0"/>
      <w:numFmt w:val="bullet"/>
      <w:lvlText w:val="•"/>
      <w:lvlJc w:val="left"/>
      <w:pPr>
        <w:ind w:left="1541" w:hanging="159"/>
      </w:pPr>
      <w:rPr>
        <w:rFonts w:hint="default"/>
        <w:lang w:val="zh-CN" w:eastAsia="zh-CN" w:bidi="zh-CN"/>
      </w:rPr>
    </w:lvl>
    <w:lvl w:ilvl="5">
      <w:start w:val="0"/>
      <w:numFmt w:val="bullet"/>
      <w:lvlText w:val="•"/>
      <w:lvlJc w:val="left"/>
      <w:pPr>
        <w:ind w:left="1897" w:hanging="159"/>
      </w:pPr>
      <w:rPr>
        <w:rFonts w:hint="default"/>
        <w:lang w:val="zh-CN" w:eastAsia="zh-CN" w:bidi="zh-CN"/>
      </w:rPr>
    </w:lvl>
    <w:lvl w:ilvl="6">
      <w:start w:val="0"/>
      <w:numFmt w:val="bullet"/>
      <w:lvlText w:val="•"/>
      <w:lvlJc w:val="left"/>
      <w:pPr>
        <w:ind w:left="2252" w:hanging="159"/>
      </w:pPr>
      <w:rPr>
        <w:rFonts w:hint="default"/>
        <w:lang w:val="zh-CN" w:eastAsia="zh-CN" w:bidi="zh-CN"/>
      </w:rPr>
    </w:lvl>
    <w:lvl w:ilvl="7">
      <w:start w:val="0"/>
      <w:numFmt w:val="bullet"/>
      <w:lvlText w:val="•"/>
      <w:lvlJc w:val="left"/>
      <w:pPr>
        <w:ind w:left="2607" w:hanging="159"/>
      </w:pPr>
      <w:rPr>
        <w:rFonts w:hint="default"/>
        <w:lang w:val="zh-CN" w:eastAsia="zh-CN" w:bidi="zh-CN"/>
      </w:rPr>
    </w:lvl>
    <w:lvl w:ilvl="8">
      <w:start w:val="0"/>
      <w:numFmt w:val="bullet"/>
      <w:lvlText w:val="•"/>
      <w:lvlJc w:val="left"/>
      <w:pPr>
        <w:ind w:left="2963" w:hanging="159"/>
      </w:pPr>
      <w:rPr>
        <w:rFonts w:hint="default"/>
        <w:lang w:val="zh-CN" w:eastAsia="zh-CN" w:bidi="zh-CN"/>
      </w:rPr>
    </w:lvl>
  </w:abstractNum>
  <w:abstractNum w:abstractNumId="12">
    <w:nsid w:val="F585BF25"/>
    <w:multiLevelType w:val="multilevel"/>
    <w:tmpl w:val="F585BF25"/>
    <w:lvl w:ilvl="0">
      <w:start w:val="3"/>
      <w:numFmt w:val="decimal"/>
      <w:lvlText w:val="%1."/>
      <w:lvlJc w:val="left"/>
      <w:pPr>
        <w:ind w:left="111"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475" w:hanging="159"/>
      </w:pPr>
      <w:rPr>
        <w:rFonts w:hint="default"/>
        <w:lang w:val="zh-CN" w:eastAsia="zh-CN" w:bidi="zh-CN"/>
      </w:rPr>
    </w:lvl>
    <w:lvl w:ilvl="2">
      <w:start w:val="0"/>
      <w:numFmt w:val="bullet"/>
      <w:lvlText w:val="•"/>
      <w:lvlJc w:val="left"/>
      <w:pPr>
        <w:ind w:left="830" w:hanging="159"/>
      </w:pPr>
      <w:rPr>
        <w:rFonts w:hint="default"/>
        <w:lang w:val="zh-CN" w:eastAsia="zh-CN" w:bidi="zh-CN"/>
      </w:rPr>
    </w:lvl>
    <w:lvl w:ilvl="3">
      <w:start w:val="0"/>
      <w:numFmt w:val="bullet"/>
      <w:lvlText w:val="•"/>
      <w:lvlJc w:val="left"/>
      <w:pPr>
        <w:ind w:left="1186" w:hanging="159"/>
      </w:pPr>
      <w:rPr>
        <w:rFonts w:hint="default"/>
        <w:lang w:val="zh-CN" w:eastAsia="zh-CN" w:bidi="zh-CN"/>
      </w:rPr>
    </w:lvl>
    <w:lvl w:ilvl="4">
      <w:start w:val="0"/>
      <w:numFmt w:val="bullet"/>
      <w:lvlText w:val="•"/>
      <w:lvlJc w:val="left"/>
      <w:pPr>
        <w:ind w:left="1541" w:hanging="159"/>
      </w:pPr>
      <w:rPr>
        <w:rFonts w:hint="default"/>
        <w:lang w:val="zh-CN" w:eastAsia="zh-CN" w:bidi="zh-CN"/>
      </w:rPr>
    </w:lvl>
    <w:lvl w:ilvl="5">
      <w:start w:val="0"/>
      <w:numFmt w:val="bullet"/>
      <w:lvlText w:val="•"/>
      <w:lvlJc w:val="left"/>
      <w:pPr>
        <w:ind w:left="1897" w:hanging="159"/>
      </w:pPr>
      <w:rPr>
        <w:rFonts w:hint="default"/>
        <w:lang w:val="zh-CN" w:eastAsia="zh-CN" w:bidi="zh-CN"/>
      </w:rPr>
    </w:lvl>
    <w:lvl w:ilvl="6">
      <w:start w:val="0"/>
      <w:numFmt w:val="bullet"/>
      <w:lvlText w:val="•"/>
      <w:lvlJc w:val="left"/>
      <w:pPr>
        <w:ind w:left="2252" w:hanging="159"/>
      </w:pPr>
      <w:rPr>
        <w:rFonts w:hint="default"/>
        <w:lang w:val="zh-CN" w:eastAsia="zh-CN" w:bidi="zh-CN"/>
      </w:rPr>
    </w:lvl>
    <w:lvl w:ilvl="7">
      <w:start w:val="0"/>
      <w:numFmt w:val="bullet"/>
      <w:lvlText w:val="•"/>
      <w:lvlJc w:val="left"/>
      <w:pPr>
        <w:ind w:left="2607" w:hanging="159"/>
      </w:pPr>
      <w:rPr>
        <w:rFonts w:hint="default"/>
        <w:lang w:val="zh-CN" w:eastAsia="zh-CN" w:bidi="zh-CN"/>
      </w:rPr>
    </w:lvl>
    <w:lvl w:ilvl="8">
      <w:start w:val="0"/>
      <w:numFmt w:val="bullet"/>
      <w:lvlText w:val="•"/>
      <w:lvlJc w:val="left"/>
      <w:pPr>
        <w:ind w:left="2963" w:hanging="159"/>
      </w:pPr>
      <w:rPr>
        <w:rFonts w:hint="default"/>
        <w:lang w:val="zh-CN" w:eastAsia="zh-CN" w:bidi="zh-CN"/>
      </w:rPr>
    </w:lvl>
  </w:abstractNum>
  <w:abstractNum w:abstractNumId="13">
    <w:nsid w:val="01836A6D"/>
    <w:multiLevelType w:val="multilevel"/>
    <w:tmpl w:val="01836A6D"/>
    <w:lvl w:ilvl="0">
      <w:start w:val="1"/>
      <w:numFmt w:val="decimal"/>
      <w:lvlText w:val="（%1）"/>
      <w:lvlJc w:val="left"/>
      <w:pPr>
        <w:ind w:left="1852" w:hanging="601"/>
        <w:jc w:val="left"/>
      </w:pPr>
      <w:rPr>
        <w:rFonts w:ascii="宋体" w:eastAsia="宋体" w:hAnsi="宋体" w:cs="宋体" w:hint="default"/>
        <w:spacing w:val="-60"/>
        <w:w w:val="100"/>
        <w:position w:val="2"/>
        <w:sz w:val="22"/>
        <w:szCs w:val="22"/>
        <w:lang w:val="zh-CN" w:eastAsia="zh-CN" w:bidi="zh-CN"/>
      </w:rPr>
    </w:lvl>
    <w:lvl w:ilvl="1">
      <w:start w:val="0"/>
      <w:numFmt w:val="bullet"/>
      <w:lvlText w:val="•"/>
      <w:lvlJc w:val="left"/>
      <w:pPr>
        <w:ind w:left="2640" w:hanging="601"/>
      </w:pPr>
      <w:rPr>
        <w:rFonts w:hint="default"/>
        <w:lang w:val="zh-CN" w:eastAsia="zh-CN" w:bidi="zh-CN"/>
      </w:rPr>
    </w:lvl>
    <w:lvl w:ilvl="2">
      <w:start w:val="0"/>
      <w:numFmt w:val="bullet"/>
      <w:lvlText w:val="•"/>
      <w:lvlJc w:val="left"/>
      <w:pPr>
        <w:ind w:left="3421" w:hanging="601"/>
      </w:pPr>
      <w:rPr>
        <w:rFonts w:hint="default"/>
        <w:lang w:val="zh-CN" w:eastAsia="zh-CN" w:bidi="zh-CN"/>
      </w:rPr>
    </w:lvl>
    <w:lvl w:ilvl="3">
      <w:start w:val="0"/>
      <w:numFmt w:val="bullet"/>
      <w:lvlText w:val="•"/>
      <w:lvlJc w:val="left"/>
      <w:pPr>
        <w:ind w:left="4202" w:hanging="601"/>
      </w:pPr>
      <w:rPr>
        <w:rFonts w:hint="default"/>
        <w:lang w:val="zh-CN" w:eastAsia="zh-CN" w:bidi="zh-CN"/>
      </w:rPr>
    </w:lvl>
    <w:lvl w:ilvl="4">
      <w:start w:val="0"/>
      <w:numFmt w:val="bullet"/>
      <w:lvlText w:val="•"/>
      <w:lvlJc w:val="left"/>
      <w:pPr>
        <w:ind w:left="4982" w:hanging="601"/>
      </w:pPr>
      <w:rPr>
        <w:rFonts w:hint="default"/>
        <w:lang w:val="zh-CN" w:eastAsia="zh-CN" w:bidi="zh-CN"/>
      </w:rPr>
    </w:lvl>
    <w:lvl w:ilvl="5">
      <w:start w:val="0"/>
      <w:numFmt w:val="bullet"/>
      <w:lvlText w:val="•"/>
      <w:lvlJc w:val="left"/>
      <w:pPr>
        <w:ind w:left="5763" w:hanging="601"/>
      </w:pPr>
      <w:rPr>
        <w:rFonts w:hint="default"/>
        <w:lang w:val="zh-CN" w:eastAsia="zh-CN" w:bidi="zh-CN"/>
      </w:rPr>
    </w:lvl>
    <w:lvl w:ilvl="6">
      <w:start w:val="0"/>
      <w:numFmt w:val="bullet"/>
      <w:lvlText w:val="•"/>
      <w:lvlJc w:val="left"/>
      <w:pPr>
        <w:ind w:left="6544" w:hanging="601"/>
      </w:pPr>
      <w:rPr>
        <w:rFonts w:hint="default"/>
        <w:lang w:val="zh-CN" w:eastAsia="zh-CN" w:bidi="zh-CN"/>
      </w:rPr>
    </w:lvl>
    <w:lvl w:ilvl="7">
      <w:start w:val="0"/>
      <w:numFmt w:val="bullet"/>
      <w:lvlText w:val="•"/>
      <w:lvlJc w:val="left"/>
      <w:pPr>
        <w:ind w:left="7324" w:hanging="601"/>
      </w:pPr>
      <w:rPr>
        <w:rFonts w:hint="default"/>
        <w:lang w:val="zh-CN" w:eastAsia="zh-CN" w:bidi="zh-CN"/>
      </w:rPr>
    </w:lvl>
    <w:lvl w:ilvl="8">
      <w:start w:val="0"/>
      <w:numFmt w:val="bullet"/>
      <w:lvlText w:val="•"/>
      <w:lvlJc w:val="left"/>
      <w:pPr>
        <w:ind w:left="8105" w:hanging="601"/>
      </w:pPr>
      <w:rPr>
        <w:rFonts w:hint="default"/>
        <w:lang w:val="zh-CN" w:eastAsia="zh-CN" w:bidi="zh-CN"/>
      </w:rPr>
    </w:lvl>
  </w:abstractNum>
  <w:abstractNum w:abstractNumId="14">
    <w:nsid w:val="10D591E5"/>
    <w:multiLevelType w:val="multilevel"/>
    <w:tmpl w:val="10D591E5"/>
    <w:lvl w:ilvl="0">
      <w:start w:val="1"/>
      <w:numFmt w:val="decimal"/>
      <w:lvlText w:val="%1."/>
      <w:lvlJc w:val="left"/>
      <w:pPr>
        <w:ind w:left="111"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475" w:hanging="159"/>
      </w:pPr>
      <w:rPr>
        <w:rFonts w:hint="default"/>
        <w:lang w:val="zh-CN" w:eastAsia="zh-CN" w:bidi="zh-CN"/>
      </w:rPr>
    </w:lvl>
    <w:lvl w:ilvl="2">
      <w:start w:val="0"/>
      <w:numFmt w:val="bullet"/>
      <w:lvlText w:val="•"/>
      <w:lvlJc w:val="left"/>
      <w:pPr>
        <w:ind w:left="830" w:hanging="159"/>
      </w:pPr>
      <w:rPr>
        <w:rFonts w:hint="default"/>
        <w:lang w:val="zh-CN" w:eastAsia="zh-CN" w:bidi="zh-CN"/>
      </w:rPr>
    </w:lvl>
    <w:lvl w:ilvl="3">
      <w:start w:val="0"/>
      <w:numFmt w:val="bullet"/>
      <w:lvlText w:val="•"/>
      <w:lvlJc w:val="left"/>
      <w:pPr>
        <w:ind w:left="1186" w:hanging="159"/>
      </w:pPr>
      <w:rPr>
        <w:rFonts w:hint="default"/>
        <w:lang w:val="zh-CN" w:eastAsia="zh-CN" w:bidi="zh-CN"/>
      </w:rPr>
    </w:lvl>
    <w:lvl w:ilvl="4">
      <w:start w:val="0"/>
      <w:numFmt w:val="bullet"/>
      <w:lvlText w:val="•"/>
      <w:lvlJc w:val="left"/>
      <w:pPr>
        <w:ind w:left="1541" w:hanging="159"/>
      </w:pPr>
      <w:rPr>
        <w:rFonts w:hint="default"/>
        <w:lang w:val="zh-CN" w:eastAsia="zh-CN" w:bidi="zh-CN"/>
      </w:rPr>
    </w:lvl>
    <w:lvl w:ilvl="5">
      <w:start w:val="0"/>
      <w:numFmt w:val="bullet"/>
      <w:lvlText w:val="•"/>
      <w:lvlJc w:val="left"/>
      <w:pPr>
        <w:ind w:left="1897" w:hanging="159"/>
      </w:pPr>
      <w:rPr>
        <w:rFonts w:hint="default"/>
        <w:lang w:val="zh-CN" w:eastAsia="zh-CN" w:bidi="zh-CN"/>
      </w:rPr>
    </w:lvl>
    <w:lvl w:ilvl="6">
      <w:start w:val="0"/>
      <w:numFmt w:val="bullet"/>
      <w:lvlText w:val="•"/>
      <w:lvlJc w:val="left"/>
      <w:pPr>
        <w:ind w:left="2252" w:hanging="159"/>
      </w:pPr>
      <w:rPr>
        <w:rFonts w:hint="default"/>
        <w:lang w:val="zh-CN" w:eastAsia="zh-CN" w:bidi="zh-CN"/>
      </w:rPr>
    </w:lvl>
    <w:lvl w:ilvl="7">
      <w:start w:val="0"/>
      <w:numFmt w:val="bullet"/>
      <w:lvlText w:val="•"/>
      <w:lvlJc w:val="left"/>
      <w:pPr>
        <w:ind w:left="2607" w:hanging="159"/>
      </w:pPr>
      <w:rPr>
        <w:rFonts w:hint="default"/>
        <w:lang w:val="zh-CN" w:eastAsia="zh-CN" w:bidi="zh-CN"/>
      </w:rPr>
    </w:lvl>
    <w:lvl w:ilvl="8">
      <w:start w:val="0"/>
      <w:numFmt w:val="bullet"/>
      <w:lvlText w:val="•"/>
      <w:lvlJc w:val="left"/>
      <w:pPr>
        <w:ind w:left="2963" w:hanging="159"/>
      </w:pPr>
      <w:rPr>
        <w:rFonts w:hint="default"/>
        <w:lang w:val="zh-CN" w:eastAsia="zh-CN" w:bidi="zh-CN"/>
      </w:rPr>
    </w:lvl>
  </w:abstractNum>
  <w:abstractNum w:abstractNumId="15">
    <w:nsid w:val="1450273B"/>
    <w:multiLevelType w:val="multilevel"/>
    <w:tmpl w:val="1450273B"/>
    <w:lvl w:ilvl="0">
      <w:start w:val="1"/>
      <w:numFmt w:val="decimal"/>
      <w:lvlText w:val="（%1）"/>
      <w:lvlJc w:val="left"/>
      <w:pPr>
        <w:ind w:left="2672" w:hanging="603"/>
        <w:jc w:val="left"/>
      </w:pPr>
      <w:rPr>
        <w:rFonts w:ascii="宋体" w:eastAsia="宋体" w:hAnsi="宋体" w:cs="宋体" w:hint="default"/>
        <w:b/>
        <w:bCs/>
        <w:w w:val="99"/>
        <w:sz w:val="22"/>
        <w:szCs w:val="22"/>
        <w:lang w:val="zh-CN" w:eastAsia="zh-CN" w:bidi="zh-CN"/>
      </w:rPr>
    </w:lvl>
    <w:lvl w:ilvl="1">
      <w:start w:val="0"/>
      <w:numFmt w:val="bullet"/>
      <w:lvlText w:val="•"/>
      <w:lvlJc w:val="left"/>
      <w:pPr>
        <w:ind w:left="3378" w:hanging="603"/>
      </w:pPr>
      <w:rPr>
        <w:rFonts w:hint="default"/>
        <w:lang w:val="zh-CN" w:eastAsia="zh-CN" w:bidi="zh-CN"/>
      </w:rPr>
    </w:lvl>
    <w:lvl w:ilvl="2">
      <w:start w:val="0"/>
      <w:numFmt w:val="bullet"/>
      <w:lvlText w:val="•"/>
      <w:lvlJc w:val="left"/>
      <w:pPr>
        <w:ind w:left="4077" w:hanging="603"/>
      </w:pPr>
      <w:rPr>
        <w:rFonts w:hint="default"/>
        <w:lang w:val="zh-CN" w:eastAsia="zh-CN" w:bidi="zh-CN"/>
      </w:rPr>
    </w:lvl>
    <w:lvl w:ilvl="3">
      <w:start w:val="0"/>
      <w:numFmt w:val="bullet"/>
      <w:lvlText w:val="•"/>
      <w:lvlJc w:val="left"/>
      <w:pPr>
        <w:ind w:left="4776" w:hanging="603"/>
      </w:pPr>
      <w:rPr>
        <w:rFonts w:hint="default"/>
        <w:lang w:val="zh-CN" w:eastAsia="zh-CN" w:bidi="zh-CN"/>
      </w:rPr>
    </w:lvl>
    <w:lvl w:ilvl="4">
      <w:start w:val="0"/>
      <w:numFmt w:val="bullet"/>
      <w:lvlText w:val="•"/>
      <w:lvlJc w:val="left"/>
      <w:pPr>
        <w:ind w:left="5474" w:hanging="603"/>
      </w:pPr>
      <w:rPr>
        <w:rFonts w:hint="default"/>
        <w:lang w:val="zh-CN" w:eastAsia="zh-CN" w:bidi="zh-CN"/>
      </w:rPr>
    </w:lvl>
    <w:lvl w:ilvl="5">
      <w:start w:val="0"/>
      <w:numFmt w:val="bullet"/>
      <w:lvlText w:val="•"/>
      <w:lvlJc w:val="left"/>
      <w:pPr>
        <w:ind w:left="6173" w:hanging="603"/>
      </w:pPr>
      <w:rPr>
        <w:rFonts w:hint="default"/>
        <w:lang w:val="zh-CN" w:eastAsia="zh-CN" w:bidi="zh-CN"/>
      </w:rPr>
    </w:lvl>
    <w:lvl w:ilvl="6">
      <w:start w:val="0"/>
      <w:numFmt w:val="bullet"/>
      <w:lvlText w:val="•"/>
      <w:lvlJc w:val="left"/>
      <w:pPr>
        <w:ind w:left="6872" w:hanging="603"/>
      </w:pPr>
      <w:rPr>
        <w:rFonts w:hint="default"/>
        <w:lang w:val="zh-CN" w:eastAsia="zh-CN" w:bidi="zh-CN"/>
      </w:rPr>
    </w:lvl>
    <w:lvl w:ilvl="7">
      <w:start w:val="0"/>
      <w:numFmt w:val="bullet"/>
      <w:lvlText w:val="•"/>
      <w:lvlJc w:val="left"/>
      <w:pPr>
        <w:ind w:left="7570" w:hanging="603"/>
      </w:pPr>
      <w:rPr>
        <w:rFonts w:hint="default"/>
        <w:lang w:val="zh-CN" w:eastAsia="zh-CN" w:bidi="zh-CN"/>
      </w:rPr>
    </w:lvl>
    <w:lvl w:ilvl="8">
      <w:start w:val="0"/>
      <w:numFmt w:val="bullet"/>
      <w:lvlText w:val="•"/>
      <w:lvlJc w:val="left"/>
      <w:pPr>
        <w:ind w:left="8269" w:hanging="603"/>
      </w:pPr>
      <w:rPr>
        <w:rFonts w:hint="default"/>
        <w:lang w:val="zh-CN" w:eastAsia="zh-CN" w:bidi="zh-CN"/>
      </w:rPr>
    </w:lvl>
  </w:abstractNum>
  <w:abstractNum w:abstractNumId="16">
    <w:nsid w:val="1AD50295"/>
    <w:multiLevelType w:val="multilevel"/>
    <w:tmpl w:val="1AD50295"/>
    <w:lvl w:ilvl="0">
      <w:start w:val="1"/>
      <w:numFmt w:val="decimal"/>
      <w:lvlText w:val="%1."/>
      <w:lvlJc w:val="left"/>
      <w:pPr>
        <w:ind w:left="111"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363" w:hanging="159"/>
      </w:pPr>
      <w:rPr>
        <w:rFonts w:hint="default"/>
        <w:lang w:val="zh-CN" w:eastAsia="zh-CN" w:bidi="zh-CN"/>
      </w:rPr>
    </w:lvl>
    <w:lvl w:ilvl="2">
      <w:start w:val="0"/>
      <w:numFmt w:val="bullet"/>
      <w:lvlText w:val="•"/>
      <w:lvlJc w:val="left"/>
      <w:pPr>
        <w:ind w:left="607" w:hanging="159"/>
      </w:pPr>
      <w:rPr>
        <w:rFonts w:hint="default"/>
        <w:lang w:val="zh-CN" w:eastAsia="zh-CN" w:bidi="zh-CN"/>
      </w:rPr>
    </w:lvl>
    <w:lvl w:ilvl="3">
      <w:start w:val="0"/>
      <w:numFmt w:val="bullet"/>
      <w:lvlText w:val="•"/>
      <w:lvlJc w:val="left"/>
      <w:pPr>
        <w:ind w:left="850" w:hanging="159"/>
      </w:pPr>
      <w:rPr>
        <w:rFonts w:hint="default"/>
        <w:lang w:val="zh-CN" w:eastAsia="zh-CN" w:bidi="zh-CN"/>
      </w:rPr>
    </w:lvl>
    <w:lvl w:ilvl="4">
      <w:start w:val="0"/>
      <w:numFmt w:val="bullet"/>
      <w:lvlText w:val="•"/>
      <w:lvlJc w:val="left"/>
      <w:pPr>
        <w:ind w:left="1094" w:hanging="159"/>
      </w:pPr>
      <w:rPr>
        <w:rFonts w:hint="default"/>
        <w:lang w:val="zh-CN" w:eastAsia="zh-CN" w:bidi="zh-CN"/>
      </w:rPr>
    </w:lvl>
    <w:lvl w:ilvl="5">
      <w:start w:val="0"/>
      <w:numFmt w:val="bullet"/>
      <w:lvlText w:val="•"/>
      <w:lvlJc w:val="left"/>
      <w:pPr>
        <w:ind w:left="1337" w:hanging="159"/>
      </w:pPr>
      <w:rPr>
        <w:rFonts w:hint="default"/>
        <w:lang w:val="zh-CN" w:eastAsia="zh-CN" w:bidi="zh-CN"/>
      </w:rPr>
    </w:lvl>
    <w:lvl w:ilvl="6">
      <w:start w:val="0"/>
      <w:numFmt w:val="bullet"/>
      <w:lvlText w:val="•"/>
      <w:lvlJc w:val="left"/>
      <w:pPr>
        <w:ind w:left="1581" w:hanging="159"/>
      </w:pPr>
      <w:rPr>
        <w:rFonts w:hint="default"/>
        <w:lang w:val="zh-CN" w:eastAsia="zh-CN" w:bidi="zh-CN"/>
      </w:rPr>
    </w:lvl>
    <w:lvl w:ilvl="7">
      <w:start w:val="0"/>
      <w:numFmt w:val="bullet"/>
      <w:lvlText w:val="•"/>
      <w:lvlJc w:val="left"/>
      <w:pPr>
        <w:ind w:left="1824" w:hanging="159"/>
      </w:pPr>
      <w:rPr>
        <w:rFonts w:hint="default"/>
        <w:lang w:val="zh-CN" w:eastAsia="zh-CN" w:bidi="zh-CN"/>
      </w:rPr>
    </w:lvl>
    <w:lvl w:ilvl="8">
      <w:start w:val="0"/>
      <w:numFmt w:val="bullet"/>
      <w:lvlText w:val="•"/>
      <w:lvlJc w:val="left"/>
      <w:pPr>
        <w:ind w:left="2068" w:hanging="159"/>
      </w:pPr>
      <w:rPr>
        <w:rFonts w:hint="default"/>
        <w:lang w:val="zh-CN" w:eastAsia="zh-CN" w:bidi="zh-CN"/>
      </w:rPr>
    </w:lvl>
  </w:abstractNum>
  <w:abstractNum w:abstractNumId="17">
    <w:nsid w:val="2F91CA4F"/>
    <w:multiLevelType w:val="multilevel"/>
    <w:tmpl w:val="1450273B"/>
    <w:lvl w:ilvl="0">
      <w:start w:val="1"/>
      <w:numFmt w:val="decimal"/>
      <w:lvlText w:val="（%1）"/>
      <w:lvlJc w:val="left"/>
      <w:pPr>
        <w:ind w:left="2672" w:hanging="603"/>
        <w:jc w:val="left"/>
      </w:pPr>
      <w:rPr>
        <w:rFonts w:ascii="宋体" w:eastAsia="宋体" w:hAnsi="宋体" w:cs="宋体" w:hint="default"/>
        <w:b/>
        <w:bCs/>
        <w:w w:val="99"/>
        <w:sz w:val="22"/>
        <w:szCs w:val="22"/>
        <w:lang w:val="zh-CN" w:eastAsia="zh-CN" w:bidi="zh-CN"/>
      </w:rPr>
    </w:lvl>
    <w:lvl w:ilvl="1">
      <w:start w:val="0"/>
      <w:numFmt w:val="bullet"/>
      <w:lvlText w:val="•"/>
      <w:lvlJc w:val="left"/>
      <w:pPr>
        <w:ind w:left="3378" w:hanging="603"/>
      </w:pPr>
      <w:rPr>
        <w:rFonts w:hint="default"/>
        <w:lang w:val="zh-CN" w:eastAsia="zh-CN" w:bidi="zh-CN"/>
      </w:rPr>
    </w:lvl>
    <w:lvl w:ilvl="2">
      <w:start w:val="0"/>
      <w:numFmt w:val="bullet"/>
      <w:lvlText w:val="•"/>
      <w:lvlJc w:val="left"/>
      <w:pPr>
        <w:ind w:left="4077" w:hanging="603"/>
      </w:pPr>
      <w:rPr>
        <w:rFonts w:hint="default"/>
        <w:lang w:val="zh-CN" w:eastAsia="zh-CN" w:bidi="zh-CN"/>
      </w:rPr>
    </w:lvl>
    <w:lvl w:ilvl="3">
      <w:start w:val="0"/>
      <w:numFmt w:val="bullet"/>
      <w:lvlText w:val="•"/>
      <w:lvlJc w:val="left"/>
      <w:pPr>
        <w:ind w:left="4776" w:hanging="603"/>
      </w:pPr>
      <w:rPr>
        <w:rFonts w:hint="default"/>
        <w:lang w:val="zh-CN" w:eastAsia="zh-CN" w:bidi="zh-CN"/>
      </w:rPr>
    </w:lvl>
    <w:lvl w:ilvl="4">
      <w:start w:val="0"/>
      <w:numFmt w:val="bullet"/>
      <w:lvlText w:val="•"/>
      <w:lvlJc w:val="left"/>
      <w:pPr>
        <w:ind w:left="5474" w:hanging="603"/>
      </w:pPr>
      <w:rPr>
        <w:rFonts w:hint="default"/>
        <w:lang w:val="zh-CN" w:eastAsia="zh-CN" w:bidi="zh-CN"/>
      </w:rPr>
    </w:lvl>
    <w:lvl w:ilvl="5">
      <w:start w:val="0"/>
      <w:numFmt w:val="bullet"/>
      <w:lvlText w:val="•"/>
      <w:lvlJc w:val="left"/>
      <w:pPr>
        <w:ind w:left="6173" w:hanging="603"/>
      </w:pPr>
      <w:rPr>
        <w:rFonts w:hint="default"/>
        <w:lang w:val="zh-CN" w:eastAsia="zh-CN" w:bidi="zh-CN"/>
      </w:rPr>
    </w:lvl>
    <w:lvl w:ilvl="6">
      <w:start w:val="0"/>
      <w:numFmt w:val="bullet"/>
      <w:lvlText w:val="•"/>
      <w:lvlJc w:val="left"/>
      <w:pPr>
        <w:ind w:left="6872" w:hanging="603"/>
      </w:pPr>
      <w:rPr>
        <w:rFonts w:hint="default"/>
        <w:lang w:val="zh-CN" w:eastAsia="zh-CN" w:bidi="zh-CN"/>
      </w:rPr>
    </w:lvl>
    <w:lvl w:ilvl="7">
      <w:start w:val="0"/>
      <w:numFmt w:val="bullet"/>
      <w:lvlText w:val="•"/>
      <w:lvlJc w:val="left"/>
      <w:pPr>
        <w:ind w:left="7570" w:hanging="603"/>
      </w:pPr>
      <w:rPr>
        <w:rFonts w:hint="default"/>
        <w:lang w:val="zh-CN" w:eastAsia="zh-CN" w:bidi="zh-CN"/>
      </w:rPr>
    </w:lvl>
    <w:lvl w:ilvl="8">
      <w:start w:val="0"/>
      <w:numFmt w:val="bullet"/>
      <w:lvlText w:val="•"/>
      <w:lvlJc w:val="left"/>
      <w:pPr>
        <w:ind w:left="8269" w:hanging="603"/>
      </w:pPr>
      <w:rPr>
        <w:rFonts w:hint="default"/>
        <w:lang w:val="zh-CN" w:eastAsia="zh-CN" w:bidi="zh-CN"/>
      </w:rPr>
    </w:lvl>
  </w:abstractNum>
  <w:abstractNum w:abstractNumId="18">
    <w:nsid w:val="4A51D704"/>
    <w:multiLevelType w:val="multilevel"/>
    <w:tmpl w:val="4A51D704"/>
    <w:lvl w:ilvl="0">
      <w:start w:val="1"/>
      <w:numFmt w:val="decimal"/>
      <w:lvlText w:val="（%1）"/>
      <w:lvlJc w:val="left"/>
      <w:pPr>
        <w:ind w:left="11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13" w:hanging="601"/>
      </w:pPr>
      <w:rPr>
        <w:rFonts w:hint="default"/>
        <w:lang w:val="zh-CN" w:eastAsia="zh-CN" w:bidi="zh-CN"/>
      </w:rPr>
    </w:lvl>
    <w:lvl w:ilvl="2">
      <w:start w:val="0"/>
      <w:numFmt w:val="bullet"/>
      <w:lvlText w:val="•"/>
      <w:lvlJc w:val="left"/>
      <w:pPr>
        <w:ind w:left="2626" w:hanging="601"/>
      </w:pPr>
      <w:rPr>
        <w:rFonts w:hint="default"/>
        <w:lang w:val="zh-CN" w:eastAsia="zh-CN" w:bidi="zh-CN"/>
      </w:rPr>
    </w:lvl>
    <w:lvl w:ilvl="3">
      <w:start w:val="0"/>
      <w:numFmt w:val="bullet"/>
      <w:lvlText w:val="•"/>
      <w:lvlJc w:val="left"/>
      <w:pPr>
        <w:ind w:left="3339" w:hanging="601"/>
      </w:pPr>
      <w:rPr>
        <w:rFonts w:hint="default"/>
        <w:lang w:val="zh-CN" w:eastAsia="zh-CN" w:bidi="zh-CN"/>
      </w:rPr>
    </w:lvl>
    <w:lvl w:ilvl="4">
      <w:start w:val="0"/>
      <w:numFmt w:val="bullet"/>
      <w:lvlText w:val="•"/>
      <w:lvlJc w:val="left"/>
      <w:pPr>
        <w:ind w:left="4052" w:hanging="601"/>
      </w:pPr>
      <w:rPr>
        <w:rFonts w:hint="default"/>
        <w:lang w:val="zh-CN" w:eastAsia="zh-CN" w:bidi="zh-CN"/>
      </w:rPr>
    </w:lvl>
    <w:lvl w:ilvl="5">
      <w:start w:val="0"/>
      <w:numFmt w:val="bullet"/>
      <w:lvlText w:val="•"/>
      <w:lvlJc w:val="left"/>
      <w:pPr>
        <w:ind w:left="4766" w:hanging="601"/>
      </w:pPr>
      <w:rPr>
        <w:rFonts w:hint="default"/>
        <w:lang w:val="zh-CN" w:eastAsia="zh-CN" w:bidi="zh-CN"/>
      </w:rPr>
    </w:lvl>
    <w:lvl w:ilvl="6">
      <w:start w:val="0"/>
      <w:numFmt w:val="bullet"/>
      <w:lvlText w:val="•"/>
      <w:lvlJc w:val="left"/>
      <w:pPr>
        <w:ind w:left="5479" w:hanging="601"/>
      </w:pPr>
      <w:rPr>
        <w:rFonts w:hint="default"/>
        <w:lang w:val="zh-CN" w:eastAsia="zh-CN" w:bidi="zh-CN"/>
      </w:rPr>
    </w:lvl>
    <w:lvl w:ilvl="7">
      <w:start w:val="0"/>
      <w:numFmt w:val="bullet"/>
      <w:lvlText w:val="•"/>
      <w:lvlJc w:val="left"/>
      <w:pPr>
        <w:ind w:left="6192" w:hanging="601"/>
      </w:pPr>
      <w:rPr>
        <w:rFonts w:hint="default"/>
        <w:lang w:val="zh-CN" w:eastAsia="zh-CN" w:bidi="zh-CN"/>
      </w:rPr>
    </w:lvl>
    <w:lvl w:ilvl="8">
      <w:start w:val="0"/>
      <w:numFmt w:val="bullet"/>
      <w:lvlText w:val="•"/>
      <w:lvlJc w:val="left"/>
      <w:pPr>
        <w:ind w:left="6905" w:hanging="601"/>
      </w:pPr>
      <w:rPr>
        <w:rFonts w:hint="default"/>
        <w:lang w:val="zh-CN" w:eastAsia="zh-CN" w:bidi="zh-CN"/>
      </w:rPr>
    </w:lvl>
  </w:abstractNum>
  <w:abstractNum w:abstractNumId="19">
    <w:nsid w:val="4C4422EF"/>
    <w:multiLevelType w:val="multilevel"/>
    <w:tmpl w:val="4A51D704"/>
    <w:lvl w:ilvl="0">
      <w:start w:val="1"/>
      <w:numFmt w:val="decimal"/>
      <w:lvlText w:val="（%1）"/>
      <w:lvlJc w:val="left"/>
      <w:pPr>
        <w:ind w:left="11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13" w:hanging="601"/>
      </w:pPr>
      <w:rPr>
        <w:rFonts w:hint="default"/>
        <w:lang w:val="zh-CN" w:eastAsia="zh-CN" w:bidi="zh-CN"/>
      </w:rPr>
    </w:lvl>
    <w:lvl w:ilvl="2">
      <w:start w:val="0"/>
      <w:numFmt w:val="bullet"/>
      <w:lvlText w:val="•"/>
      <w:lvlJc w:val="left"/>
      <w:pPr>
        <w:ind w:left="2626" w:hanging="601"/>
      </w:pPr>
      <w:rPr>
        <w:rFonts w:hint="default"/>
        <w:lang w:val="zh-CN" w:eastAsia="zh-CN" w:bidi="zh-CN"/>
      </w:rPr>
    </w:lvl>
    <w:lvl w:ilvl="3">
      <w:start w:val="0"/>
      <w:numFmt w:val="bullet"/>
      <w:lvlText w:val="•"/>
      <w:lvlJc w:val="left"/>
      <w:pPr>
        <w:ind w:left="3339" w:hanging="601"/>
      </w:pPr>
      <w:rPr>
        <w:rFonts w:hint="default"/>
        <w:lang w:val="zh-CN" w:eastAsia="zh-CN" w:bidi="zh-CN"/>
      </w:rPr>
    </w:lvl>
    <w:lvl w:ilvl="4">
      <w:start w:val="0"/>
      <w:numFmt w:val="bullet"/>
      <w:lvlText w:val="•"/>
      <w:lvlJc w:val="left"/>
      <w:pPr>
        <w:ind w:left="4052" w:hanging="601"/>
      </w:pPr>
      <w:rPr>
        <w:rFonts w:hint="default"/>
        <w:lang w:val="zh-CN" w:eastAsia="zh-CN" w:bidi="zh-CN"/>
      </w:rPr>
    </w:lvl>
    <w:lvl w:ilvl="5">
      <w:start w:val="0"/>
      <w:numFmt w:val="bullet"/>
      <w:lvlText w:val="•"/>
      <w:lvlJc w:val="left"/>
      <w:pPr>
        <w:ind w:left="4766" w:hanging="601"/>
      </w:pPr>
      <w:rPr>
        <w:rFonts w:hint="default"/>
        <w:lang w:val="zh-CN" w:eastAsia="zh-CN" w:bidi="zh-CN"/>
      </w:rPr>
    </w:lvl>
    <w:lvl w:ilvl="6">
      <w:start w:val="0"/>
      <w:numFmt w:val="bullet"/>
      <w:lvlText w:val="•"/>
      <w:lvlJc w:val="left"/>
      <w:pPr>
        <w:ind w:left="5479" w:hanging="601"/>
      </w:pPr>
      <w:rPr>
        <w:rFonts w:hint="default"/>
        <w:lang w:val="zh-CN" w:eastAsia="zh-CN" w:bidi="zh-CN"/>
      </w:rPr>
    </w:lvl>
    <w:lvl w:ilvl="7">
      <w:start w:val="0"/>
      <w:numFmt w:val="bullet"/>
      <w:lvlText w:val="•"/>
      <w:lvlJc w:val="left"/>
      <w:pPr>
        <w:ind w:left="6192" w:hanging="601"/>
      </w:pPr>
      <w:rPr>
        <w:rFonts w:hint="default"/>
        <w:lang w:val="zh-CN" w:eastAsia="zh-CN" w:bidi="zh-CN"/>
      </w:rPr>
    </w:lvl>
    <w:lvl w:ilvl="8">
      <w:start w:val="0"/>
      <w:numFmt w:val="bullet"/>
      <w:lvlText w:val="•"/>
      <w:lvlJc w:val="left"/>
      <w:pPr>
        <w:ind w:left="6905" w:hanging="601"/>
      </w:pPr>
      <w:rPr>
        <w:rFonts w:hint="default"/>
        <w:lang w:val="zh-CN" w:eastAsia="zh-CN" w:bidi="zh-CN"/>
      </w:rPr>
    </w:lvl>
  </w:abstractNum>
  <w:abstractNum w:abstractNumId="20">
    <w:nsid w:val="4CD1E351"/>
    <w:multiLevelType w:val="multilevel"/>
    <w:tmpl w:val="4CD1E351"/>
    <w:lvl w:ilvl="0">
      <w:start w:val="3"/>
      <w:numFmt w:val="decimal"/>
      <w:lvlText w:val="%1."/>
      <w:lvlJc w:val="left"/>
      <w:pPr>
        <w:ind w:left="111" w:hanging="171"/>
        <w:jc w:val="left"/>
      </w:pPr>
      <w:rPr>
        <w:rFonts w:ascii="Times New Roman" w:eastAsia="Times New Roman" w:hAnsi="Times New Roman" w:cs="Times New Roman" w:hint="default"/>
        <w:spacing w:val="3"/>
        <w:w w:val="99"/>
        <w:sz w:val="19"/>
        <w:szCs w:val="19"/>
        <w:lang w:val="zh-CN" w:eastAsia="zh-CN" w:bidi="zh-CN"/>
      </w:rPr>
    </w:lvl>
    <w:lvl w:ilvl="1">
      <w:start w:val="0"/>
      <w:numFmt w:val="bullet"/>
      <w:lvlText w:val="•"/>
      <w:lvlJc w:val="left"/>
      <w:pPr>
        <w:ind w:left="363" w:hanging="171"/>
      </w:pPr>
      <w:rPr>
        <w:rFonts w:hint="default"/>
        <w:lang w:val="zh-CN" w:eastAsia="zh-CN" w:bidi="zh-CN"/>
      </w:rPr>
    </w:lvl>
    <w:lvl w:ilvl="2">
      <w:start w:val="0"/>
      <w:numFmt w:val="bullet"/>
      <w:lvlText w:val="•"/>
      <w:lvlJc w:val="left"/>
      <w:pPr>
        <w:ind w:left="607" w:hanging="171"/>
      </w:pPr>
      <w:rPr>
        <w:rFonts w:hint="default"/>
        <w:lang w:val="zh-CN" w:eastAsia="zh-CN" w:bidi="zh-CN"/>
      </w:rPr>
    </w:lvl>
    <w:lvl w:ilvl="3">
      <w:start w:val="0"/>
      <w:numFmt w:val="bullet"/>
      <w:lvlText w:val="•"/>
      <w:lvlJc w:val="left"/>
      <w:pPr>
        <w:ind w:left="850" w:hanging="171"/>
      </w:pPr>
      <w:rPr>
        <w:rFonts w:hint="default"/>
        <w:lang w:val="zh-CN" w:eastAsia="zh-CN" w:bidi="zh-CN"/>
      </w:rPr>
    </w:lvl>
    <w:lvl w:ilvl="4">
      <w:start w:val="0"/>
      <w:numFmt w:val="bullet"/>
      <w:lvlText w:val="•"/>
      <w:lvlJc w:val="left"/>
      <w:pPr>
        <w:ind w:left="1094" w:hanging="171"/>
      </w:pPr>
      <w:rPr>
        <w:rFonts w:hint="default"/>
        <w:lang w:val="zh-CN" w:eastAsia="zh-CN" w:bidi="zh-CN"/>
      </w:rPr>
    </w:lvl>
    <w:lvl w:ilvl="5">
      <w:start w:val="0"/>
      <w:numFmt w:val="bullet"/>
      <w:lvlText w:val="•"/>
      <w:lvlJc w:val="left"/>
      <w:pPr>
        <w:ind w:left="1337" w:hanging="171"/>
      </w:pPr>
      <w:rPr>
        <w:rFonts w:hint="default"/>
        <w:lang w:val="zh-CN" w:eastAsia="zh-CN" w:bidi="zh-CN"/>
      </w:rPr>
    </w:lvl>
    <w:lvl w:ilvl="6">
      <w:start w:val="0"/>
      <w:numFmt w:val="bullet"/>
      <w:lvlText w:val="•"/>
      <w:lvlJc w:val="left"/>
      <w:pPr>
        <w:ind w:left="1581" w:hanging="171"/>
      </w:pPr>
      <w:rPr>
        <w:rFonts w:hint="default"/>
        <w:lang w:val="zh-CN" w:eastAsia="zh-CN" w:bidi="zh-CN"/>
      </w:rPr>
    </w:lvl>
    <w:lvl w:ilvl="7">
      <w:start w:val="0"/>
      <w:numFmt w:val="bullet"/>
      <w:lvlText w:val="•"/>
      <w:lvlJc w:val="left"/>
      <w:pPr>
        <w:ind w:left="1824" w:hanging="171"/>
      </w:pPr>
      <w:rPr>
        <w:rFonts w:hint="default"/>
        <w:lang w:val="zh-CN" w:eastAsia="zh-CN" w:bidi="zh-CN"/>
      </w:rPr>
    </w:lvl>
    <w:lvl w:ilvl="8">
      <w:start w:val="0"/>
      <w:numFmt w:val="bullet"/>
      <w:lvlText w:val="•"/>
      <w:lvlJc w:val="left"/>
      <w:pPr>
        <w:ind w:left="2068" w:hanging="171"/>
      </w:pPr>
      <w:rPr>
        <w:rFonts w:hint="default"/>
        <w:lang w:val="zh-CN" w:eastAsia="zh-CN" w:bidi="zh-CN"/>
      </w:rPr>
    </w:lvl>
  </w:abstractNum>
  <w:abstractNum w:abstractNumId="21">
    <w:nsid w:val="4F969B65"/>
    <w:multiLevelType w:val="multilevel"/>
    <w:tmpl w:val="BE8A4F4C"/>
    <w:lvl w:ilvl="0">
      <w:start w:val="2"/>
      <w:numFmt w:val="decimal"/>
      <w:lvlText w:val="%1."/>
      <w:lvlJc w:val="left"/>
      <w:pPr>
        <w:ind w:left="107" w:hanging="161"/>
        <w:jc w:val="left"/>
      </w:pPr>
      <w:rPr>
        <w:rFonts w:ascii="Times New Roman" w:eastAsia="Times New Roman" w:hAnsi="Times New Roman" w:cs="Times New Roman" w:hint="default"/>
        <w:b/>
        <w:bCs/>
        <w:spacing w:val="1"/>
        <w:w w:val="99"/>
        <w:sz w:val="19"/>
        <w:szCs w:val="19"/>
        <w:lang w:val="zh-CN" w:eastAsia="zh-CN" w:bidi="zh-CN"/>
      </w:rPr>
    </w:lvl>
    <w:lvl w:ilvl="1">
      <w:start w:val="0"/>
      <w:numFmt w:val="bullet"/>
      <w:lvlText w:val="•"/>
      <w:lvlJc w:val="left"/>
      <w:pPr>
        <w:ind w:left="875" w:hanging="161"/>
      </w:pPr>
      <w:rPr>
        <w:rFonts w:hint="default"/>
        <w:lang w:val="zh-CN" w:eastAsia="zh-CN" w:bidi="zh-CN"/>
      </w:rPr>
    </w:lvl>
    <w:lvl w:ilvl="2">
      <w:start w:val="0"/>
      <w:numFmt w:val="bullet"/>
      <w:lvlText w:val="•"/>
      <w:lvlJc w:val="left"/>
      <w:pPr>
        <w:ind w:left="1650" w:hanging="161"/>
      </w:pPr>
      <w:rPr>
        <w:rFonts w:hint="default"/>
        <w:lang w:val="zh-CN" w:eastAsia="zh-CN" w:bidi="zh-CN"/>
      </w:rPr>
    </w:lvl>
    <w:lvl w:ilvl="3">
      <w:start w:val="0"/>
      <w:numFmt w:val="bullet"/>
      <w:lvlText w:val="•"/>
      <w:lvlJc w:val="left"/>
      <w:pPr>
        <w:ind w:left="2425" w:hanging="161"/>
      </w:pPr>
      <w:rPr>
        <w:rFonts w:hint="default"/>
        <w:lang w:val="zh-CN" w:eastAsia="zh-CN" w:bidi="zh-CN"/>
      </w:rPr>
    </w:lvl>
    <w:lvl w:ilvl="4">
      <w:start w:val="0"/>
      <w:numFmt w:val="bullet"/>
      <w:lvlText w:val="•"/>
      <w:lvlJc w:val="left"/>
      <w:pPr>
        <w:ind w:left="3200" w:hanging="161"/>
      </w:pPr>
      <w:rPr>
        <w:rFonts w:hint="default"/>
        <w:lang w:val="zh-CN" w:eastAsia="zh-CN" w:bidi="zh-CN"/>
      </w:rPr>
    </w:lvl>
    <w:lvl w:ilvl="5">
      <w:start w:val="0"/>
      <w:numFmt w:val="bullet"/>
      <w:lvlText w:val="•"/>
      <w:lvlJc w:val="left"/>
      <w:pPr>
        <w:ind w:left="3975" w:hanging="161"/>
      </w:pPr>
      <w:rPr>
        <w:rFonts w:hint="default"/>
        <w:lang w:val="zh-CN" w:eastAsia="zh-CN" w:bidi="zh-CN"/>
      </w:rPr>
    </w:lvl>
    <w:lvl w:ilvl="6">
      <w:start w:val="0"/>
      <w:numFmt w:val="bullet"/>
      <w:lvlText w:val="•"/>
      <w:lvlJc w:val="left"/>
      <w:pPr>
        <w:ind w:left="4750" w:hanging="161"/>
      </w:pPr>
      <w:rPr>
        <w:rFonts w:hint="default"/>
        <w:lang w:val="zh-CN" w:eastAsia="zh-CN" w:bidi="zh-CN"/>
      </w:rPr>
    </w:lvl>
    <w:lvl w:ilvl="7">
      <w:start w:val="0"/>
      <w:numFmt w:val="bullet"/>
      <w:lvlText w:val="•"/>
      <w:lvlJc w:val="left"/>
      <w:pPr>
        <w:ind w:left="5525" w:hanging="161"/>
      </w:pPr>
      <w:rPr>
        <w:rFonts w:hint="default"/>
        <w:lang w:val="zh-CN" w:eastAsia="zh-CN" w:bidi="zh-CN"/>
      </w:rPr>
    </w:lvl>
    <w:lvl w:ilvl="8">
      <w:start w:val="0"/>
      <w:numFmt w:val="bullet"/>
      <w:lvlText w:val="•"/>
      <w:lvlJc w:val="left"/>
      <w:pPr>
        <w:ind w:left="6300" w:hanging="161"/>
      </w:pPr>
      <w:rPr>
        <w:rFonts w:hint="default"/>
        <w:lang w:val="zh-CN" w:eastAsia="zh-CN" w:bidi="zh-CN"/>
      </w:rPr>
    </w:lvl>
  </w:abstractNum>
  <w:abstractNum w:abstractNumId="22">
    <w:nsid w:val="610EFE5C"/>
    <w:multiLevelType w:val="multilevel"/>
    <w:tmpl w:val="610EFE5C"/>
    <w:lvl w:ilvl="0">
      <w:start w:val="1"/>
      <w:numFmt w:val="decimal"/>
      <w:lvlText w:val="（%1）"/>
      <w:lvlJc w:val="left"/>
      <w:pPr>
        <w:ind w:left="11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20" w:hanging="601"/>
      </w:pPr>
      <w:rPr>
        <w:rFonts w:hint="default"/>
        <w:lang w:val="zh-CN" w:eastAsia="zh-CN" w:bidi="zh-CN"/>
      </w:rPr>
    </w:lvl>
    <w:lvl w:ilvl="2">
      <w:start w:val="0"/>
      <w:numFmt w:val="bullet"/>
      <w:lvlText w:val="•"/>
      <w:lvlJc w:val="left"/>
      <w:pPr>
        <w:ind w:left="2641" w:hanging="601"/>
      </w:pPr>
      <w:rPr>
        <w:rFonts w:hint="default"/>
        <w:lang w:val="zh-CN" w:eastAsia="zh-CN" w:bidi="zh-CN"/>
      </w:rPr>
    </w:lvl>
    <w:lvl w:ilvl="3">
      <w:start w:val="0"/>
      <w:numFmt w:val="bullet"/>
      <w:lvlText w:val="•"/>
      <w:lvlJc w:val="left"/>
      <w:pPr>
        <w:ind w:left="3361" w:hanging="601"/>
      </w:pPr>
      <w:rPr>
        <w:rFonts w:hint="default"/>
        <w:lang w:val="zh-CN" w:eastAsia="zh-CN" w:bidi="zh-CN"/>
      </w:rPr>
    </w:lvl>
    <w:lvl w:ilvl="4">
      <w:start w:val="0"/>
      <w:numFmt w:val="bullet"/>
      <w:lvlText w:val="•"/>
      <w:lvlJc w:val="left"/>
      <w:pPr>
        <w:ind w:left="4082" w:hanging="601"/>
      </w:pPr>
      <w:rPr>
        <w:rFonts w:hint="default"/>
        <w:lang w:val="zh-CN" w:eastAsia="zh-CN" w:bidi="zh-CN"/>
      </w:rPr>
    </w:lvl>
    <w:lvl w:ilvl="5">
      <w:start w:val="0"/>
      <w:numFmt w:val="bullet"/>
      <w:lvlText w:val="•"/>
      <w:lvlJc w:val="left"/>
      <w:pPr>
        <w:ind w:left="4802" w:hanging="601"/>
      </w:pPr>
      <w:rPr>
        <w:rFonts w:hint="default"/>
        <w:lang w:val="zh-CN" w:eastAsia="zh-CN" w:bidi="zh-CN"/>
      </w:rPr>
    </w:lvl>
    <w:lvl w:ilvl="6">
      <w:start w:val="0"/>
      <w:numFmt w:val="bullet"/>
      <w:lvlText w:val="•"/>
      <w:lvlJc w:val="left"/>
      <w:pPr>
        <w:ind w:left="5523" w:hanging="601"/>
      </w:pPr>
      <w:rPr>
        <w:rFonts w:hint="default"/>
        <w:lang w:val="zh-CN" w:eastAsia="zh-CN" w:bidi="zh-CN"/>
      </w:rPr>
    </w:lvl>
    <w:lvl w:ilvl="7">
      <w:start w:val="0"/>
      <w:numFmt w:val="bullet"/>
      <w:lvlText w:val="•"/>
      <w:lvlJc w:val="left"/>
      <w:pPr>
        <w:ind w:left="6243" w:hanging="601"/>
      </w:pPr>
      <w:rPr>
        <w:rFonts w:hint="default"/>
        <w:lang w:val="zh-CN" w:eastAsia="zh-CN" w:bidi="zh-CN"/>
      </w:rPr>
    </w:lvl>
    <w:lvl w:ilvl="8">
      <w:start w:val="0"/>
      <w:numFmt w:val="bullet"/>
      <w:lvlText w:val="•"/>
      <w:lvlJc w:val="left"/>
      <w:pPr>
        <w:ind w:left="6964" w:hanging="601"/>
      </w:pPr>
      <w:rPr>
        <w:rFonts w:hint="default"/>
        <w:lang w:val="zh-CN" w:eastAsia="zh-CN" w:bidi="zh-CN"/>
      </w:rPr>
    </w:lvl>
  </w:abstractNum>
  <w:abstractNum w:abstractNumId="23">
    <w:nsid w:val="68B298F7"/>
    <w:multiLevelType w:val="multilevel"/>
    <w:tmpl w:val="68B298F7"/>
    <w:lvl w:ilvl="0">
      <w:start w:val="3"/>
      <w:numFmt w:val="decimal"/>
      <w:lvlText w:val="%1."/>
      <w:lvlJc w:val="left"/>
      <w:pPr>
        <w:ind w:left="111"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363" w:hanging="159"/>
      </w:pPr>
      <w:rPr>
        <w:rFonts w:hint="default"/>
        <w:lang w:val="zh-CN" w:eastAsia="zh-CN" w:bidi="zh-CN"/>
      </w:rPr>
    </w:lvl>
    <w:lvl w:ilvl="2">
      <w:start w:val="0"/>
      <w:numFmt w:val="bullet"/>
      <w:lvlText w:val="•"/>
      <w:lvlJc w:val="left"/>
      <w:pPr>
        <w:ind w:left="607" w:hanging="159"/>
      </w:pPr>
      <w:rPr>
        <w:rFonts w:hint="default"/>
        <w:lang w:val="zh-CN" w:eastAsia="zh-CN" w:bidi="zh-CN"/>
      </w:rPr>
    </w:lvl>
    <w:lvl w:ilvl="3">
      <w:start w:val="0"/>
      <w:numFmt w:val="bullet"/>
      <w:lvlText w:val="•"/>
      <w:lvlJc w:val="left"/>
      <w:pPr>
        <w:ind w:left="850" w:hanging="159"/>
      </w:pPr>
      <w:rPr>
        <w:rFonts w:hint="default"/>
        <w:lang w:val="zh-CN" w:eastAsia="zh-CN" w:bidi="zh-CN"/>
      </w:rPr>
    </w:lvl>
    <w:lvl w:ilvl="4">
      <w:start w:val="0"/>
      <w:numFmt w:val="bullet"/>
      <w:lvlText w:val="•"/>
      <w:lvlJc w:val="left"/>
      <w:pPr>
        <w:ind w:left="1094" w:hanging="159"/>
      </w:pPr>
      <w:rPr>
        <w:rFonts w:hint="default"/>
        <w:lang w:val="zh-CN" w:eastAsia="zh-CN" w:bidi="zh-CN"/>
      </w:rPr>
    </w:lvl>
    <w:lvl w:ilvl="5">
      <w:start w:val="0"/>
      <w:numFmt w:val="bullet"/>
      <w:lvlText w:val="•"/>
      <w:lvlJc w:val="left"/>
      <w:pPr>
        <w:ind w:left="1337" w:hanging="159"/>
      </w:pPr>
      <w:rPr>
        <w:rFonts w:hint="default"/>
        <w:lang w:val="zh-CN" w:eastAsia="zh-CN" w:bidi="zh-CN"/>
      </w:rPr>
    </w:lvl>
    <w:lvl w:ilvl="6">
      <w:start w:val="0"/>
      <w:numFmt w:val="bullet"/>
      <w:lvlText w:val="•"/>
      <w:lvlJc w:val="left"/>
      <w:pPr>
        <w:ind w:left="1581" w:hanging="159"/>
      </w:pPr>
      <w:rPr>
        <w:rFonts w:hint="default"/>
        <w:lang w:val="zh-CN" w:eastAsia="zh-CN" w:bidi="zh-CN"/>
      </w:rPr>
    </w:lvl>
    <w:lvl w:ilvl="7">
      <w:start w:val="0"/>
      <w:numFmt w:val="bullet"/>
      <w:lvlText w:val="•"/>
      <w:lvlJc w:val="left"/>
      <w:pPr>
        <w:ind w:left="1824" w:hanging="159"/>
      </w:pPr>
      <w:rPr>
        <w:rFonts w:hint="default"/>
        <w:lang w:val="zh-CN" w:eastAsia="zh-CN" w:bidi="zh-CN"/>
      </w:rPr>
    </w:lvl>
    <w:lvl w:ilvl="8">
      <w:start w:val="0"/>
      <w:numFmt w:val="bullet"/>
      <w:lvlText w:val="•"/>
      <w:lvlJc w:val="left"/>
      <w:pPr>
        <w:ind w:left="2068" w:hanging="159"/>
      </w:pPr>
      <w:rPr>
        <w:rFonts w:hint="default"/>
        <w:lang w:val="zh-CN" w:eastAsia="zh-CN" w:bidi="zh-CN"/>
      </w:rPr>
    </w:lvl>
  </w:abstractNum>
  <w:num w:numId="1">
    <w:abstractNumId w:val="7"/>
  </w:num>
  <w:num w:numId="2">
    <w:abstractNumId w:val="15"/>
  </w:num>
  <w:num w:numId="3">
    <w:abstractNumId w:val="10"/>
  </w:num>
  <w:num w:numId="4">
    <w:abstractNumId w:val="23"/>
  </w:num>
  <w:num w:numId="5">
    <w:abstractNumId w:val="0"/>
  </w:num>
  <w:num w:numId="6">
    <w:abstractNumId w:val="6"/>
  </w:num>
  <w:num w:numId="7">
    <w:abstractNumId w:val="12"/>
  </w:num>
  <w:num w:numId="8">
    <w:abstractNumId w:val="20"/>
  </w:num>
  <w:num w:numId="9">
    <w:abstractNumId w:val="14"/>
  </w:num>
  <w:num w:numId="10">
    <w:abstractNumId w:val="3"/>
  </w:num>
  <w:num w:numId="11">
    <w:abstractNumId w:val="11"/>
  </w:num>
  <w:num w:numId="12">
    <w:abstractNumId w:val="16"/>
  </w:num>
  <w:num w:numId="13">
    <w:abstractNumId w:val="18"/>
  </w:num>
  <w:num w:numId="14">
    <w:abstractNumId w:val="5"/>
  </w:num>
  <w:num w:numId="15">
    <w:abstractNumId w:val="22"/>
  </w:num>
  <w:num w:numId="16">
    <w:abstractNumId w:val="1"/>
  </w:num>
  <w:num w:numId="17">
    <w:abstractNumId w:val="2"/>
  </w:num>
  <w:num w:numId="18">
    <w:abstractNumId w:val="13"/>
  </w:num>
  <w:num w:numId="19">
    <w:abstractNumId w:val="4"/>
  </w:num>
  <w:num w:numId="20">
    <w:abstractNumId w:val="8"/>
  </w:num>
  <w:num w:numId="21">
    <w:abstractNumId w:val="9"/>
  </w:num>
  <w:num w:numId="22">
    <w:abstractNumId w:val="21"/>
  </w:num>
  <w:num w:numId="23">
    <w:abstractNumId w:val="17"/>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47867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1" w:unhideWhenUsed="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1"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45"/>
      <w:ind w:left="839"/>
      <w:jc w:val="center"/>
      <w:outlineLvl w:val="0"/>
    </w:pPr>
    <w:rPr>
      <w:rFonts w:ascii="宋体" w:eastAsia="宋体" w:hAnsi="宋体" w:cs="宋体"/>
      <w:b/>
      <w:bCs/>
      <w:sz w:val="30"/>
      <w:szCs w:val="30"/>
      <w:lang w:val="zh-CN" w:eastAsia="zh-CN" w:bidi="zh-CN"/>
    </w:rPr>
  </w:style>
  <w:style w:type="paragraph" w:styleId="Heading2">
    <w:name w:val="heading 2"/>
    <w:basedOn w:val="Normal"/>
    <w:next w:val="Normal"/>
    <w:uiPriority w:val="1"/>
    <w:qFormat/>
    <w:pPr>
      <w:ind w:left="100"/>
      <w:outlineLvl w:val="1"/>
    </w:pPr>
    <w:rPr>
      <w:rFonts w:ascii="仿宋" w:eastAsia="仿宋" w:hAnsi="仿宋" w:cs="仿宋"/>
      <w:sz w:val="30"/>
      <w:szCs w:val="30"/>
      <w:lang w:val="zh-CN" w:eastAsia="zh-CN" w:bidi="zh-CN"/>
    </w:rPr>
  </w:style>
  <w:style w:type="paragraph" w:styleId="Heading3">
    <w:name w:val="heading 3"/>
    <w:basedOn w:val="Normal"/>
    <w:next w:val="Normal"/>
    <w:uiPriority w:val="1"/>
    <w:qFormat/>
    <w:pPr>
      <w:ind w:left="1330"/>
      <w:outlineLvl w:val="2"/>
    </w:pPr>
    <w:rPr>
      <w:rFonts w:ascii="宋体" w:eastAsia="宋体" w:hAnsi="宋体" w:cs="宋体"/>
      <w:b/>
      <w:bCs/>
      <w:sz w:val="28"/>
      <w:szCs w:val="28"/>
      <w:lang w:val="zh-CN" w:eastAsia="zh-CN" w:bidi="zh-CN"/>
    </w:rPr>
  </w:style>
  <w:style w:type="paragraph" w:styleId="Heading4">
    <w:name w:val="heading 4"/>
    <w:basedOn w:val="Normal"/>
    <w:next w:val="Normal"/>
    <w:uiPriority w:val="1"/>
    <w:qFormat/>
    <w:pPr>
      <w:outlineLvl w:val="3"/>
    </w:pPr>
    <w:rPr>
      <w:rFonts w:ascii="仿宋" w:eastAsia="仿宋" w:hAnsi="仿宋" w:cs="仿宋"/>
      <w:sz w:val="28"/>
      <w:szCs w:val="28"/>
      <w:lang w:val="zh-CN" w:eastAsia="zh-CN" w:bidi="zh-CN"/>
    </w:rPr>
  </w:style>
  <w:style w:type="paragraph" w:styleId="Heading5">
    <w:name w:val="heading 5"/>
    <w:basedOn w:val="Normal"/>
    <w:next w:val="Normal"/>
    <w:uiPriority w:val="1"/>
    <w:qFormat/>
    <w:pPr>
      <w:ind w:left="1248"/>
      <w:outlineLvl w:val="4"/>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paragraph" w:styleId="TOC1">
    <w:name w:val="toc 1"/>
    <w:basedOn w:val="Normal"/>
    <w:next w:val="Normal"/>
    <w:uiPriority w:val="1"/>
    <w:qFormat/>
    <w:pPr>
      <w:spacing w:before="278"/>
      <w:ind w:left="411"/>
    </w:pPr>
    <w:rPr>
      <w:rFonts w:ascii="宋体" w:eastAsia="宋体" w:hAnsi="宋体" w:cs="宋体"/>
      <w:b/>
      <w:bCs/>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1849" w:hanging="602"/>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image" Target="media/image1.png"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image" Target="media/image2.png" /><Relationship Id="rId26" Type="http://schemas.openxmlformats.org/officeDocument/2006/relationships/footer" Target="footer20.xml" /><Relationship Id="rId27" Type="http://schemas.openxmlformats.org/officeDocument/2006/relationships/footer" Target="footer21.xml" /><Relationship Id="rId28" Type="http://schemas.openxmlformats.org/officeDocument/2006/relationships/footer" Target="footer22.xml" /><Relationship Id="rId29" Type="http://schemas.openxmlformats.org/officeDocument/2006/relationships/hyperlink" Target="https://d.book118.com/725111230101011114" TargetMode="External" /><Relationship Id="rId3" Type="http://schemas.openxmlformats.org/officeDocument/2006/relationships/fontTable" Target="fontTable.xml" /><Relationship Id="rId30" Type="http://schemas.openxmlformats.org/officeDocument/2006/relationships/footer" Target="footer23.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7"/>
    <customShpInfo spid="_x0000_s1038"/>
    <customShpInfo spid="_x0000_s1036"/>
    <customShpInfo spid="_x0000_s1039"/>
    <customShpInfo spid="_x0000_s1041"/>
    <customShpInfo spid="_x0000_s1042"/>
    <customShpInfo spid="_x0000_s1040"/>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8"/>
    <customShpInfo spid="_x0000_s1069"/>
    <customShpInfo spid="_x0000_s1070"/>
    <customShpInfo spid="_x0000_s1067"/>
    <customShpInfo spid="_x0000_s1072"/>
    <customShpInfo spid="_x0000_s1073"/>
    <customShpInfo spid="_x0000_s1074"/>
    <customShpInfo spid="_x0000_s1071"/>
    <customShpInfo spid="_x0000_s1075"/>
    <customShpInfo spid="_x0000_s107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龙风呈祥</cp:lastModifiedBy>
  <cp:revision>0</cp:revision>
  <dcterms:created xsi:type="dcterms:W3CDTF">2024-03-02T10:52:00Z</dcterms:created>
  <dcterms:modified xsi:type="dcterms:W3CDTF">2024-03-02T10:57:37Z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2023-12-22T00:00:00Z</vt:filetime>
  </property>
  <property fmtid="{D5CDD505-2E9C-101B-9397-08002B2CF9AE}" pid="3" name="Creator">
    <vt:lpwstr>WPS 文字</vt:lpwstr>
  </property>
  <property fmtid="{D5CDD505-2E9C-101B-9397-08002B2CF9AE}" pid="4" name="ICV">
    <vt:lpwstr>B0DCBCA368F2462EA8DA69813FD1E58C</vt:lpwstr>
  </property>
  <property fmtid="{D5CDD505-2E9C-101B-9397-08002B2CF9AE}" pid="5" name="KSOProductBuildVer">
    <vt:lpwstr>2052-11.1.0.10463</vt:lpwstr>
  </property>
  <property fmtid="{D5CDD505-2E9C-101B-9397-08002B2CF9AE}" pid="6" name="LastSaved">
    <vt:filetime>2024-03-02T00:00:00Z</vt:filetime>
  </property>
</Properties>
</file>