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有机肥料及微生物肥料项目规划设计方案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83" w:history="1">
        <w:r>
          <w:rPr>
            <w:rFonts w:ascii="仿宋" w:eastAsia="仿宋" w:hAnsi="仿宋" w:cs="仿宋" w:hint="eastAsia"/>
            <w:lang w:eastAsia="zh-CN"/>
          </w:rPr>
          <w:t>序言</w:t>
        </w:r>
        <w:r>
          <w:tab/>
        </w:r>
        <w:r>
          <w:fldChar w:fldCharType="begin"/>
        </w:r>
        <w:r>
          <w:instrText xml:space="preserve"> PAGEREF _Toc4383 \h </w:instrText>
        </w:r>
        <w:r>
          <w:fldChar w:fldCharType="separate"/>
        </w:r>
        <w:r>
          <w:t>3</w:t>
        </w:r>
        <w:r>
          <w:fldChar w:fldCharType="end"/>
        </w:r>
      </w:hyperlink>
    </w:p>
    <w:p>
      <w:pPr>
        <w:pStyle w:val="TOC1"/>
        <w:tabs>
          <w:tab w:val="right" w:leader="dot" w:pos="8306"/>
        </w:tabs>
      </w:pPr>
      <w:hyperlink w:anchor="_Toc6954" w:history="1">
        <w:r>
          <w:rPr>
            <w:rFonts w:ascii="仿宋" w:eastAsia="仿宋" w:hAnsi="仿宋" w:cs="仿宋" w:hint="eastAsia"/>
            <w:lang w:eastAsia="zh-CN"/>
          </w:rPr>
          <w:t>一、市场分析、调研</w:t>
        </w:r>
        <w:r>
          <w:tab/>
        </w:r>
        <w:r>
          <w:fldChar w:fldCharType="begin"/>
        </w:r>
        <w:r>
          <w:instrText xml:space="preserve"> PAGEREF _Toc6954 \h </w:instrText>
        </w:r>
        <w:r>
          <w:fldChar w:fldCharType="separate"/>
        </w:r>
        <w:r>
          <w:t>3</w:t>
        </w:r>
        <w:r>
          <w:fldChar w:fldCharType="end"/>
        </w:r>
      </w:hyperlink>
    </w:p>
    <w:p>
      <w:pPr>
        <w:pStyle w:val="TOC2"/>
        <w:tabs>
          <w:tab w:val="right" w:leader="dot" w:pos="8306"/>
        </w:tabs>
      </w:pPr>
      <w:hyperlink w:anchor="_Toc25823" w:history="1">
        <w:r>
          <w:rPr>
            <w:rFonts w:ascii="仿宋" w:eastAsia="仿宋" w:hAnsi="仿宋" w:cs="仿宋" w:hint="eastAsia"/>
            <w:lang w:eastAsia="zh-CN"/>
          </w:rPr>
          <w:t>(一)、有机肥料及微生物肥料行业分析</w:t>
        </w:r>
        <w:r>
          <w:tab/>
        </w:r>
        <w:r>
          <w:fldChar w:fldCharType="begin"/>
        </w:r>
        <w:r>
          <w:instrText xml:space="preserve"> PAGEREF _Toc25823 \h </w:instrText>
        </w:r>
        <w:r>
          <w:fldChar w:fldCharType="separate"/>
        </w:r>
        <w:r>
          <w:t>3</w:t>
        </w:r>
        <w:r>
          <w:fldChar w:fldCharType="end"/>
        </w:r>
      </w:hyperlink>
    </w:p>
    <w:p>
      <w:pPr>
        <w:pStyle w:val="TOC2"/>
        <w:tabs>
          <w:tab w:val="right" w:leader="dot" w:pos="8306"/>
        </w:tabs>
      </w:pPr>
      <w:hyperlink w:anchor="_Toc28339" w:history="1">
        <w:r>
          <w:rPr>
            <w:rFonts w:ascii="仿宋" w:eastAsia="仿宋" w:hAnsi="仿宋" w:cs="仿宋" w:hint="eastAsia"/>
            <w:lang w:eastAsia="zh-CN"/>
          </w:rPr>
          <w:t>(二)、有机肥料及微生物肥料市场分析预测</w:t>
        </w:r>
        <w:r>
          <w:tab/>
        </w:r>
        <w:r>
          <w:fldChar w:fldCharType="begin"/>
        </w:r>
        <w:r>
          <w:instrText xml:space="preserve"> PAGEREF _Toc28339 \h </w:instrText>
        </w:r>
        <w:r>
          <w:fldChar w:fldCharType="separate"/>
        </w:r>
        <w:r>
          <w:t>4</w:t>
        </w:r>
        <w:r>
          <w:fldChar w:fldCharType="end"/>
        </w:r>
      </w:hyperlink>
    </w:p>
    <w:p>
      <w:pPr>
        <w:pStyle w:val="TOC1"/>
        <w:tabs>
          <w:tab w:val="right" w:leader="dot" w:pos="8306"/>
        </w:tabs>
      </w:pPr>
      <w:hyperlink w:anchor="_Toc274" w:history="1">
        <w:r>
          <w:rPr>
            <w:rFonts w:ascii="仿宋" w:eastAsia="仿宋" w:hAnsi="仿宋" w:cs="仿宋" w:hint="eastAsia"/>
            <w:lang w:eastAsia="zh-CN"/>
          </w:rPr>
          <w:t>二、有机肥料及微生物肥料项目土建工程</w:t>
        </w:r>
        <w:r>
          <w:tab/>
        </w:r>
        <w:r>
          <w:fldChar w:fldCharType="begin"/>
        </w:r>
        <w:r>
          <w:instrText xml:space="preserve"> PAGEREF _Toc274 \h </w:instrText>
        </w:r>
        <w:r>
          <w:fldChar w:fldCharType="separate"/>
        </w:r>
        <w:r>
          <w:t>5</w:t>
        </w:r>
        <w:r>
          <w:fldChar w:fldCharType="end"/>
        </w:r>
      </w:hyperlink>
    </w:p>
    <w:p>
      <w:pPr>
        <w:pStyle w:val="TOC2"/>
        <w:tabs>
          <w:tab w:val="right" w:leader="dot" w:pos="8306"/>
        </w:tabs>
      </w:pPr>
      <w:hyperlink w:anchor="_Toc19539" w:history="1">
        <w:r>
          <w:rPr>
            <w:rFonts w:ascii="仿宋" w:eastAsia="仿宋" w:hAnsi="仿宋" w:cs="仿宋" w:hint="eastAsia"/>
            <w:lang w:eastAsia="zh-CN"/>
          </w:rPr>
          <w:t>(一)、建筑工程设计原则</w:t>
        </w:r>
        <w:r>
          <w:tab/>
        </w:r>
        <w:r>
          <w:fldChar w:fldCharType="begin"/>
        </w:r>
        <w:r>
          <w:instrText xml:space="preserve"> PAGEREF _Toc19539 \h </w:instrText>
        </w:r>
        <w:r>
          <w:fldChar w:fldCharType="separate"/>
        </w:r>
        <w:r>
          <w:t>5</w:t>
        </w:r>
        <w:r>
          <w:fldChar w:fldCharType="end"/>
        </w:r>
      </w:hyperlink>
    </w:p>
    <w:p>
      <w:pPr>
        <w:pStyle w:val="TOC2"/>
        <w:tabs>
          <w:tab w:val="right" w:leader="dot" w:pos="8306"/>
        </w:tabs>
      </w:pPr>
      <w:hyperlink w:anchor="_Toc28072" w:history="1">
        <w:r>
          <w:rPr>
            <w:rFonts w:ascii="仿宋" w:eastAsia="仿宋" w:hAnsi="仿宋" w:cs="仿宋" w:hint="eastAsia"/>
            <w:lang w:eastAsia="zh-CN"/>
          </w:rPr>
          <w:t>(二)、土建工程设计年限及安全等级</w:t>
        </w:r>
        <w:r>
          <w:tab/>
        </w:r>
        <w:r>
          <w:fldChar w:fldCharType="begin"/>
        </w:r>
        <w:r>
          <w:instrText xml:space="preserve"> PAGEREF _Toc28072 \h </w:instrText>
        </w:r>
        <w:r>
          <w:fldChar w:fldCharType="separate"/>
        </w:r>
        <w:r>
          <w:t>6</w:t>
        </w:r>
        <w:r>
          <w:fldChar w:fldCharType="end"/>
        </w:r>
      </w:hyperlink>
    </w:p>
    <w:p>
      <w:pPr>
        <w:pStyle w:val="TOC2"/>
        <w:tabs>
          <w:tab w:val="right" w:leader="dot" w:pos="8306"/>
        </w:tabs>
      </w:pPr>
      <w:hyperlink w:anchor="_Toc8651" w:history="1">
        <w:r>
          <w:rPr>
            <w:rFonts w:ascii="仿宋" w:eastAsia="仿宋" w:hAnsi="仿宋" w:cs="仿宋" w:hint="eastAsia"/>
            <w:lang w:eastAsia="zh-CN"/>
          </w:rPr>
          <w:t>(三)、建筑工程设计总体要求</w:t>
        </w:r>
        <w:r>
          <w:tab/>
        </w:r>
        <w:r>
          <w:fldChar w:fldCharType="begin"/>
        </w:r>
        <w:r>
          <w:instrText xml:space="preserve"> PAGEREF _Toc8651 \h </w:instrText>
        </w:r>
        <w:r>
          <w:fldChar w:fldCharType="separate"/>
        </w:r>
        <w:r>
          <w:t>7</w:t>
        </w:r>
        <w:r>
          <w:fldChar w:fldCharType="end"/>
        </w:r>
      </w:hyperlink>
    </w:p>
    <w:p>
      <w:pPr>
        <w:pStyle w:val="TOC2"/>
        <w:tabs>
          <w:tab w:val="right" w:leader="dot" w:pos="8306"/>
        </w:tabs>
      </w:pPr>
      <w:hyperlink w:anchor="_Toc6313" w:history="1">
        <w:r>
          <w:rPr>
            <w:rFonts w:ascii="仿宋" w:eastAsia="仿宋" w:hAnsi="仿宋" w:cs="仿宋" w:hint="eastAsia"/>
            <w:lang w:eastAsia="zh-CN"/>
          </w:rPr>
          <w:t>(四)、土建工程建设指标</w:t>
        </w:r>
        <w:r>
          <w:tab/>
        </w:r>
        <w:r>
          <w:fldChar w:fldCharType="begin"/>
        </w:r>
        <w:r>
          <w:instrText xml:space="preserve"> PAGEREF _Toc6313 \h </w:instrText>
        </w:r>
        <w:r>
          <w:fldChar w:fldCharType="separate"/>
        </w:r>
        <w:r>
          <w:t>8</w:t>
        </w:r>
        <w:r>
          <w:fldChar w:fldCharType="end"/>
        </w:r>
      </w:hyperlink>
    </w:p>
    <w:p>
      <w:pPr>
        <w:pStyle w:val="TOC1"/>
        <w:tabs>
          <w:tab w:val="right" w:leader="dot" w:pos="8306"/>
        </w:tabs>
      </w:pPr>
      <w:hyperlink w:anchor="_Toc10027" w:history="1">
        <w:r>
          <w:rPr>
            <w:rFonts w:ascii="仿宋" w:eastAsia="仿宋" w:hAnsi="仿宋" w:cs="仿宋" w:hint="eastAsia"/>
            <w:lang w:eastAsia="zh-CN"/>
          </w:rPr>
          <w:t>三、有机肥料及微生物肥料项目概论</w:t>
        </w:r>
        <w:r>
          <w:tab/>
        </w:r>
        <w:r>
          <w:fldChar w:fldCharType="begin"/>
        </w:r>
        <w:r>
          <w:instrText xml:space="preserve"> PAGEREF _Toc10027 \h </w:instrText>
        </w:r>
        <w:r>
          <w:fldChar w:fldCharType="separate"/>
        </w:r>
        <w:r>
          <w:t>8</w:t>
        </w:r>
        <w:r>
          <w:fldChar w:fldCharType="end"/>
        </w:r>
      </w:hyperlink>
    </w:p>
    <w:p>
      <w:pPr>
        <w:pStyle w:val="TOC2"/>
        <w:tabs>
          <w:tab w:val="right" w:leader="dot" w:pos="8306"/>
        </w:tabs>
      </w:pPr>
      <w:hyperlink w:anchor="_Toc23423" w:history="1">
        <w:r>
          <w:rPr>
            <w:rFonts w:ascii="仿宋" w:eastAsia="仿宋" w:hAnsi="仿宋" w:cs="仿宋" w:hint="eastAsia"/>
            <w:lang w:eastAsia="zh-CN"/>
          </w:rPr>
          <w:t>(一)、有机肥料及微生物肥料项目概况</w:t>
        </w:r>
        <w:r>
          <w:tab/>
        </w:r>
        <w:r>
          <w:fldChar w:fldCharType="begin"/>
        </w:r>
        <w:r>
          <w:instrText xml:space="preserve"> PAGEREF _Toc23423 \h </w:instrText>
        </w:r>
        <w:r>
          <w:fldChar w:fldCharType="separate"/>
        </w:r>
        <w:r>
          <w:t>8</w:t>
        </w:r>
        <w:r>
          <w:fldChar w:fldCharType="end"/>
        </w:r>
      </w:hyperlink>
    </w:p>
    <w:p>
      <w:pPr>
        <w:pStyle w:val="TOC2"/>
        <w:tabs>
          <w:tab w:val="right" w:leader="dot" w:pos="8306"/>
        </w:tabs>
      </w:pPr>
      <w:hyperlink w:anchor="_Toc13156" w:history="1">
        <w:r>
          <w:rPr>
            <w:rFonts w:ascii="仿宋" w:eastAsia="仿宋" w:hAnsi="仿宋" w:cs="仿宋" w:hint="eastAsia"/>
            <w:lang w:eastAsia="zh-CN"/>
          </w:rPr>
          <w:t>(二)、有机肥料及微生物肥料项目目标</w:t>
        </w:r>
        <w:r>
          <w:tab/>
        </w:r>
        <w:r>
          <w:fldChar w:fldCharType="begin"/>
        </w:r>
        <w:r>
          <w:instrText xml:space="preserve"> PAGEREF _Toc13156 \h </w:instrText>
        </w:r>
        <w:r>
          <w:fldChar w:fldCharType="separate"/>
        </w:r>
        <w:r>
          <w:t>11</w:t>
        </w:r>
        <w:r>
          <w:fldChar w:fldCharType="end"/>
        </w:r>
      </w:hyperlink>
    </w:p>
    <w:p>
      <w:pPr>
        <w:pStyle w:val="TOC2"/>
        <w:tabs>
          <w:tab w:val="right" w:leader="dot" w:pos="8306"/>
        </w:tabs>
      </w:pPr>
      <w:hyperlink w:anchor="_Toc20419" w:history="1">
        <w:r>
          <w:rPr>
            <w:rFonts w:ascii="仿宋" w:eastAsia="仿宋" w:hAnsi="仿宋" w:cs="仿宋" w:hint="eastAsia"/>
            <w:lang w:eastAsia="zh-CN"/>
          </w:rPr>
          <w:t>(三)、有机肥料及微生物肥料项目提出的理由</w:t>
        </w:r>
        <w:r>
          <w:tab/>
        </w:r>
        <w:r>
          <w:fldChar w:fldCharType="begin"/>
        </w:r>
        <w:r>
          <w:instrText xml:space="preserve"> PAGEREF _Toc20419 \h </w:instrText>
        </w:r>
        <w:r>
          <w:fldChar w:fldCharType="separate"/>
        </w:r>
        <w:r>
          <w:t>12</w:t>
        </w:r>
        <w:r>
          <w:fldChar w:fldCharType="end"/>
        </w:r>
      </w:hyperlink>
    </w:p>
    <w:p>
      <w:pPr>
        <w:pStyle w:val="TOC2"/>
        <w:tabs>
          <w:tab w:val="right" w:leader="dot" w:pos="8306"/>
        </w:tabs>
      </w:pPr>
      <w:hyperlink w:anchor="_Toc18031" w:history="1">
        <w:r>
          <w:rPr>
            <w:rFonts w:ascii="仿宋" w:eastAsia="仿宋" w:hAnsi="仿宋" w:cs="仿宋" w:hint="eastAsia"/>
            <w:lang w:eastAsia="zh-CN"/>
          </w:rPr>
          <w:t>(四)、有机肥料及微生物肥料项目意义</w:t>
        </w:r>
        <w:r>
          <w:tab/>
        </w:r>
        <w:r>
          <w:fldChar w:fldCharType="begin"/>
        </w:r>
        <w:r>
          <w:instrText xml:space="preserve"> PAGEREF _Toc18031 \h </w:instrText>
        </w:r>
        <w:r>
          <w:fldChar w:fldCharType="separate"/>
        </w:r>
        <w:r>
          <w:t>13</w:t>
        </w:r>
        <w:r>
          <w:fldChar w:fldCharType="end"/>
        </w:r>
      </w:hyperlink>
    </w:p>
    <w:p>
      <w:pPr>
        <w:pStyle w:val="TOC2"/>
        <w:tabs>
          <w:tab w:val="right" w:leader="dot" w:pos="8306"/>
        </w:tabs>
      </w:pPr>
      <w:hyperlink w:anchor="_Toc5955" w:history="1">
        <w:r>
          <w:rPr>
            <w:rFonts w:ascii="仿宋" w:eastAsia="仿宋" w:hAnsi="仿宋" w:cs="仿宋" w:hint="eastAsia"/>
            <w:lang w:eastAsia="zh-CN"/>
          </w:rPr>
          <w:t>(五)、有机肥料及微生物肥料项目背景</w:t>
        </w:r>
        <w:r>
          <w:tab/>
        </w:r>
        <w:r>
          <w:fldChar w:fldCharType="begin"/>
        </w:r>
        <w:r>
          <w:instrText xml:space="preserve"> PAGEREF _Toc5955 \h </w:instrText>
        </w:r>
        <w:r>
          <w:fldChar w:fldCharType="separate"/>
        </w:r>
        <w:r>
          <w:t>14</w:t>
        </w:r>
        <w:r>
          <w:fldChar w:fldCharType="end"/>
        </w:r>
      </w:hyperlink>
    </w:p>
    <w:p>
      <w:pPr>
        <w:pStyle w:val="TOC1"/>
        <w:tabs>
          <w:tab w:val="right" w:leader="dot" w:pos="8306"/>
        </w:tabs>
      </w:pPr>
      <w:hyperlink w:anchor="_Toc32177" w:history="1">
        <w:r>
          <w:rPr>
            <w:rFonts w:ascii="仿宋" w:eastAsia="仿宋" w:hAnsi="仿宋" w:cs="仿宋" w:hint="eastAsia"/>
            <w:lang w:eastAsia="zh-CN"/>
          </w:rPr>
          <w:t>四、有机肥料及微生物肥料项目选址可行性分析</w:t>
        </w:r>
        <w:r>
          <w:tab/>
        </w:r>
        <w:r>
          <w:fldChar w:fldCharType="begin"/>
        </w:r>
        <w:r>
          <w:instrText xml:space="preserve"> PAGEREF _Toc32177 \h </w:instrText>
        </w:r>
        <w:r>
          <w:fldChar w:fldCharType="separate"/>
        </w:r>
        <w:r>
          <w:t>15</w:t>
        </w:r>
        <w:r>
          <w:fldChar w:fldCharType="end"/>
        </w:r>
      </w:hyperlink>
    </w:p>
    <w:p>
      <w:pPr>
        <w:pStyle w:val="TOC2"/>
        <w:tabs>
          <w:tab w:val="right" w:leader="dot" w:pos="8306"/>
        </w:tabs>
      </w:pPr>
      <w:hyperlink w:anchor="_Toc6486" w:history="1">
        <w:r>
          <w:rPr>
            <w:rFonts w:ascii="仿宋" w:eastAsia="仿宋" w:hAnsi="仿宋" w:cs="仿宋" w:hint="eastAsia"/>
            <w:lang w:eastAsia="zh-CN"/>
          </w:rPr>
          <w:t>(一)、有机肥料及微生物肥料项目选址</w:t>
        </w:r>
        <w:r>
          <w:tab/>
        </w:r>
        <w:r>
          <w:fldChar w:fldCharType="begin"/>
        </w:r>
        <w:r>
          <w:instrText xml:space="preserve"> PAGEREF _Toc6486 \h </w:instrText>
        </w:r>
        <w:r>
          <w:fldChar w:fldCharType="separate"/>
        </w:r>
        <w:r>
          <w:t>15</w:t>
        </w:r>
        <w:r>
          <w:fldChar w:fldCharType="end"/>
        </w:r>
      </w:hyperlink>
    </w:p>
    <w:p>
      <w:pPr>
        <w:pStyle w:val="TOC2"/>
        <w:tabs>
          <w:tab w:val="right" w:leader="dot" w:pos="8306"/>
        </w:tabs>
      </w:pPr>
      <w:hyperlink w:anchor="_Toc3209" w:history="1">
        <w:r>
          <w:rPr>
            <w:rFonts w:ascii="仿宋" w:eastAsia="仿宋" w:hAnsi="仿宋" w:cs="仿宋" w:hint="eastAsia"/>
            <w:lang w:eastAsia="zh-CN"/>
          </w:rPr>
          <w:t>(二)、用地控制指标</w:t>
        </w:r>
        <w:r>
          <w:tab/>
        </w:r>
        <w:r>
          <w:fldChar w:fldCharType="begin"/>
        </w:r>
        <w:r>
          <w:instrText xml:space="preserve"> PAGEREF _Toc3209 \h </w:instrText>
        </w:r>
        <w:r>
          <w:fldChar w:fldCharType="separate"/>
        </w:r>
        <w:r>
          <w:t>15</w:t>
        </w:r>
        <w:r>
          <w:fldChar w:fldCharType="end"/>
        </w:r>
      </w:hyperlink>
    </w:p>
    <w:p>
      <w:pPr>
        <w:pStyle w:val="TOC2"/>
        <w:tabs>
          <w:tab w:val="right" w:leader="dot" w:pos="8306"/>
        </w:tabs>
      </w:pPr>
      <w:hyperlink w:anchor="_Toc1982" w:history="1">
        <w:r>
          <w:rPr>
            <w:rFonts w:ascii="仿宋" w:eastAsia="仿宋" w:hAnsi="仿宋" w:cs="仿宋" w:hint="eastAsia"/>
            <w:lang w:eastAsia="zh-CN"/>
          </w:rPr>
          <w:t>(三)、节约用地措施</w:t>
        </w:r>
        <w:r>
          <w:tab/>
        </w:r>
        <w:r>
          <w:fldChar w:fldCharType="begin"/>
        </w:r>
        <w:r>
          <w:instrText xml:space="preserve"> PAGEREF _Toc1982 \h </w:instrText>
        </w:r>
        <w:r>
          <w:fldChar w:fldCharType="separate"/>
        </w:r>
        <w:r>
          <w:t>18</w:t>
        </w:r>
        <w:r>
          <w:fldChar w:fldCharType="end"/>
        </w:r>
      </w:hyperlink>
    </w:p>
    <w:p>
      <w:pPr>
        <w:pStyle w:val="TOC2"/>
        <w:tabs>
          <w:tab w:val="right" w:leader="dot" w:pos="8306"/>
        </w:tabs>
      </w:pPr>
      <w:hyperlink w:anchor="_Toc25121" w:history="1">
        <w:r>
          <w:rPr>
            <w:rFonts w:ascii="仿宋" w:eastAsia="仿宋" w:hAnsi="仿宋" w:cs="仿宋" w:hint="eastAsia"/>
            <w:lang w:eastAsia="zh-CN"/>
          </w:rPr>
          <w:t>(四)、总图布置方案</w:t>
        </w:r>
        <w:r>
          <w:tab/>
        </w:r>
        <w:r>
          <w:fldChar w:fldCharType="begin"/>
        </w:r>
        <w:r>
          <w:instrText xml:space="preserve"> PAGEREF _Toc25121 \h </w:instrText>
        </w:r>
        <w:r>
          <w:fldChar w:fldCharType="separate"/>
        </w:r>
        <w:r>
          <w:t>19</w:t>
        </w:r>
        <w:r>
          <w:fldChar w:fldCharType="end"/>
        </w:r>
      </w:hyperlink>
    </w:p>
    <w:p>
      <w:pPr>
        <w:pStyle w:val="TOC2"/>
        <w:tabs>
          <w:tab w:val="right" w:leader="dot" w:pos="8306"/>
        </w:tabs>
      </w:pPr>
      <w:hyperlink w:anchor="_Toc20389" w:history="1">
        <w:r>
          <w:rPr>
            <w:rFonts w:ascii="仿宋" w:eastAsia="仿宋" w:hAnsi="仿宋" w:cs="仿宋" w:hint="eastAsia"/>
            <w:lang w:eastAsia="zh-CN"/>
          </w:rPr>
          <w:t>(五)、选址综合评价</w:t>
        </w:r>
        <w:r>
          <w:tab/>
        </w:r>
        <w:r>
          <w:fldChar w:fldCharType="begin"/>
        </w:r>
        <w:r>
          <w:instrText xml:space="preserve"> PAGEREF _Toc20389 \h </w:instrText>
        </w:r>
        <w:r>
          <w:fldChar w:fldCharType="separate"/>
        </w:r>
        <w:r>
          <w:t>20</w:t>
        </w:r>
        <w:r>
          <w:fldChar w:fldCharType="end"/>
        </w:r>
      </w:hyperlink>
    </w:p>
    <w:p>
      <w:pPr>
        <w:pStyle w:val="TOC1"/>
        <w:tabs>
          <w:tab w:val="right" w:leader="dot" w:pos="8306"/>
        </w:tabs>
      </w:pPr>
      <w:hyperlink w:anchor="_Toc12029" w:history="1">
        <w:r>
          <w:rPr>
            <w:rFonts w:ascii="仿宋" w:eastAsia="仿宋" w:hAnsi="仿宋" w:cs="仿宋" w:hint="eastAsia"/>
            <w:lang w:eastAsia="zh-CN"/>
          </w:rPr>
          <w:t>五、有机肥料及微生物肥料项目危机管理</w:t>
        </w:r>
        <w:r>
          <w:tab/>
        </w:r>
        <w:r>
          <w:fldChar w:fldCharType="begin"/>
        </w:r>
        <w:r>
          <w:instrText xml:space="preserve"> PAGEREF _Toc12029 \h </w:instrText>
        </w:r>
        <w:r>
          <w:fldChar w:fldCharType="separate"/>
        </w:r>
        <w:r>
          <w:t>21</w:t>
        </w:r>
        <w:r>
          <w:fldChar w:fldCharType="end"/>
        </w:r>
      </w:hyperlink>
    </w:p>
    <w:p>
      <w:pPr>
        <w:pStyle w:val="TOC2"/>
        <w:tabs>
          <w:tab w:val="right" w:leader="dot" w:pos="8306"/>
        </w:tabs>
      </w:pPr>
      <w:hyperlink w:anchor="_Toc32635" w:history="1">
        <w:r>
          <w:rPr>
            <w:rFonts w:ascii="仿宋" w:eastAsia="仿宋" w:hAnsi="仿宋" w:cs="仿宋" w:hint="eastAsia"/>
            <w:lang w:eastAsia="zh-CN"/>
          </w:rPr>
          <w:t>(一)、危机预警与识别</w:t>
        </w:r>
        <w:r>
          <w:tab/>
        </w:r>
        <w:r>
          <w:fldChar w:fldCharType="begin"/>
        </w:r>
        <w:r>
          <w:instrText xml:space="preserve"> PAGEREF _Toc32635 \h </w:instrText>
        </w:r>
        <w:r>
          <w:fldChar w:fldCharType="separate"/>
        </w:r>
        <w:r>
          <w:t>21</w:t>
        </w:r>
        <w:r>
          <w:fldChar w:fldCharType="end"/>
        </w:r>
      </w:hyperlink>
    </w:p>
    <w:p>
      <w:pPr>
        <w:pStyle w:val="TOC2"/>
        <w:tabs>
          <w:tab w:val="right" w:leader="dot" w:pos="8306"/>
        </w:tabs>
      </w:pPr>
      <w:hyperlink w:anchor="_Toc20449" w:history="1">
        <w:r>
          <w:rPr>
            <w:rFonts w:ascii="仿宋" w:eastAsia="仿宋" w:hAnsi="仿宋" w:cs="仿宋" w:hint="eastAsia"/>
            <w:lang w:eastAsia="zh-CN"/>
          </w:rPr>
          <w:t>(二)、危机应对与恢复</w:t>
        </w:r>
        <w:r>
          <w:tab/>
        </w:r>
        <w:r>
          <w:fldChar w:fldCharType="begin"/>
        </w:r>
        <w:r>
          <w:instrText xml:space="preserve"> PAGEREF _Toc20449 \h </w:instrText>
        </w:r>
        <w:r>
          <w:fldChar w:fldCharType="separate"/>
        </w:r>
        <w:r>
          <w:t>22</w:t>
        </w:r>
        <w:r>
          <w:fldChar w:fldCharType="end"/>
        </w:r>
      </w:hyperlink>
    </w:p>
    <w:p>
      <w:pPr>
        <w:pStyle w:val="TOC1"/>
        <w:tabs>
          <w:tab w:val="right" w:leader="dot" w:pos="8306"/>
        </w:tabs>
      </w:pPr>
      <w:hyperlink w:anchor="_Toc12474" w:history="1">
        <w:r>
          <w:rPr>
            <w:rFonts w:ascii="仿宋" w:eastAsia="仿宋" w:hAnsi="仿宋" w:cs="仿宋" w:hint="eastAsia"/>
            <w:lang w:eastAsia="zh-CN"/>
          </w:rPr>
          <w:t>六、工艺说明</w:t>
        </w:r>
        <w:r>
          <w:tab/>
        </w:r>
        <w:r>
          <w:fldChar w:fldCharType="begin"/>
        </w:r>
        <w:r>
          <w:instrText xml:space="preserve"> PAGEREF _Toc12474 \h </w:instrText>
        </w:r>
        <w:r>
          <w:fldChar w:fldCharType="separate"/>
        </w:r>
        <w:r>
          <w:t>24</w:t>
        </w:r>
        <w:r>
          <w:fldChar w:fldCharType="end"/>
        </w:r>
      </w:hyperlink>
    </w:p>
    <w:p>
      <w:pPr>
        <w:pStyle w:val="TOC2"/>
        <w:tabs>
          <w:tab w:val="right" w:leader="dot" w:pos="8306"/>
        </w:tabs>
      </w:pPr>
      <w:hyperlink w:anchor="_Toc4355" w:history="1">
        <w:r>
          <w:rPr>
            <w:rFonts w:ascii="仿宋" w:eastAsia="仿宋" w:hAnsi="仿宋" w:cs="仿宋" w:hint="eastAsia"/>
            <w:lang w:eastAsia="zh-CN"/>
          </w:rPr>
          <w:t>(一)、技术管理特点</w:t>
        </w:r>
        <w:r>
          <w:tab/>
        </w:r>
        <w:r>
          <w:fldChar w:fldCharType="begin"/>
        </w:r>
        <w:r>
          <w:instrText xml:space="preserve"> PAGEREF _Toc4355 \h </w:instrText>
        </w:r>
        <w:r>
          <w:fldChar w:fldCharType="separate"/>
        </w:r>
        <w:r>
          <w:t>24</w:t>
        </w:r>
        <w:r>
          <w:fldChar w:fldCharType="end"/>
        </w:r>
      </w:hyperlink>
    </w:p>
    <w:p>
      <w:pPr>
        <w:pStyle w:val="TOC2"/>
        <w:tabs>
          <w:tab w:val="right" w:leader="dot" w:pos="8306"/>
        </w:tabs>
      </w:pPr>
      <w:hyperlink w:anchor="_Toc15580" w:history="1">
        <w:r>
          <w:rPr>
            <w:rFonts w:ascii="仿宋" w:eastAsia="仿宋" w:hAnsi="仿宋" w:cs="仿宋" w:hint="eastAsia"/>
            <w:lang w:eastAsia="zh-CN"/>
          </w:rPr>
          <w:t>(二)、有机肥料及微生物肥料项目工艺技术设计方案</w:t>
        </w:r>
        <w:r>
          <w:tab/>
        </w:r>
        <w:r>
          <w:fldChar w:fldCharType="begin"/>
        </w:r>
        <w:r>
          <w:instrText xml:space="preserve"> PAGEREF _Toc15580 \h </w:instrText>
        </w:r>
        <w:r>
          <w:fldChar w:fldCharType="separate"/>
        </w:r>
        <w:r>
          <w:t>25</w:t>
        </w:r>
        <w:r>
          <w:fldChar w:fldCharType="end"/>
        </w:r>
      </w:hyperlink>
    </w:p>
    <w:p>
      <w:pPr>
        <w:pStyle w:val="TOC2"/>
        <w:tabs>
          <w:tab w:val="right" w:leader="dot" w:pos="8306"/>
        </w:tabs>
      </w:pPr>
      <w:hyperlink w:anchor="_Toc5026" w:history="1">
        <w:r>
          <w:rPr>
            <w:rFonts w:ascii="仿宋" w:eastAsia="仿宋" w:hAnsi="仿宋" w:cs="仿宋" w:hint="eastAsia"/>
            <w:lang w:eastAsia="zh-CN"/>
          </w:rPr>
          <w:t>(三)、设备选型方案</w:t>
        </w:r>
        <w:r>
          <w:tab/>
        </w:r>
        <w:r>
          <w:fldChar w:fldCharType="begin"/>
        </w:r>
        <w:r>
          <w:instrText xml:space="preserve"> PAGEREF _Toc5026 \h </w:instrText>
        </w:r>
        <w:r>
          <w:fldChar w:fldCharType="separate"/>
        </w:r>
        <w:r>
          <w:t>26</w:t>
        </w:r>
        <w:r>
          <w:fldChar w:fldCharType="end"/>
        </w:r>
      </w:hyperlink>
    </w:p>
    <w:p>
      <w:pPr>
        <w:pStyle w:val="TOC1"/>
        <w:tabs>
          <w:tab w:val="right" w:leader="dot" w:pos="8306"/>
        </w:tabs>
      </w:pPr>
      <w:hyperlink w:anchor="_Toc32528" w:history="1">
        <w:r>
          <w:rPr>
            <w:rFonts w:ascii="仿宋" w:eastAsia="仿宋" w:hAnsi="仿宋" w:cs="仿宋" w:hint="eastAsia"/>
            <w:lang w:eastAsia="zh-CN"/>
          </w:rPr>
          <w:t>七、有机肥料及微生物肥料项目社会影响</w:t>
        </w:r>
        <w:r>
          <w:tab/>
        </w:r>
        <w:r>
          <w:fldChar w:fldCharType="begin"/>
        </w:r>
        <w:r>
          <w:instrText xml:space="preserve"> PAGEREF _Toc32528 \h </w:instrText>
        </w:r>
        <w:r>
          <w:fldChar w:fldCharType="separate"/>
        </w:r>
        <w:r>
          <w:t>28</w:t>
        </w:r>
        <w:r>
          <w:fldChar w:fldCharType="end"/>
        </w:r>
      </w:hyperlink>
    </w:p>
    <w:p>
      <w:pPr>
        <w:pStyle w:val="TOC2"/>
        <w:tabs>
          <w:tab w:val="right" w:leader="dot" w:pos="8306"/>
        </w:tabs>
      </w:pPr>
      <w:hyperlink w:anchor="_Toc12661" w:history="1">
        <w:r>
          <w:rPr>
            <w:rFonts w:ascii="仿宋" w:eastAsia="仿宋" w:hAnsi="仿宋" w:cs="仿宋" w:hint="eastAsia"/>
            <w:lang w:eastAsia="zh-CN"/>
          </w:rPr>
          <w:t>(一)、社会责任与义务</w:t>
        </w:r>
        <w:r>
          <w:tab/>
        </w:r>
        <w:r>
          <w:fldChar w:fldCharType="begin"/>
        </w:r>
        <w:r>
          <w:instrText xml:space="preserve"> PAGEREF _Toc12661 \h </w:instrText>
        </w:r>
        <w:r>
          <w:fldChar w:fldCharType="separate"/>
        </w:r>
        <w:r>
          <w:t>28</w:t>
        </w:r>
        <w:r>
          <w:fldChar w:fldCharType="end"/>
        </w:r>
      </w:hyperlink>
    </w:p>
    <w:p>
      <w:pPr>
        <w:pStyle w:val="TOC2"/>
        <w:tabs>
          <w:tab w:val="right" w:leader="dot" w:pos="8306"/>
        </w:tabs>
      </w:pPr>
      <w:hyperlink w:anchor="_Toc12391" w:history="1">
        <w:r>
          <w:rPr>
            <w:rFonts w:ascii="仿宋" w:eastAsia="仿宋" w:hAnsi="仿宋" w:cs="仿宋" w:hint="eastAsia"/>
            <w:lang w:eastAsia="zh-CN"/>
          </w:rPr>
          <w:t>(二)、社会参与与沟通</w:t>
        </w:r>
        <w:r>
          <w:tab/>
        </w:r>
        <w:r>
          <w:fldChar w:fldCharType="begin"/>
        </w:r>
        <w:r>
          <w:instrText xml:space="preserve"> PAGEREF _Toc12391 \h </w:instrText>
        </w:r>
        <w:r>
          <w:fldChar w:fldCharType="separate"/>
        </w:r>
        <w:r>
          <w:t>28</w:t>
        </w:r>
        <w:r>
          <w:fldChar w:fldCharType="end"/>
        </w:r>
      </w:hyperlink>
    </w:p>
    <w:p>
      <w:pPr>
        <w:pStyle w:val="TOC1"/>
        <w:tabs>
          <w:tab w:val="right" w:leader="dot" w:pos="8306"/>
        </w:tabs>
      </w:pPr>
      <w:hyperlink w:anchor="_Toc21660" w:history="1">
        <w:r>
          <w:rPr>
            <w:rFonts w:ascii="仿宋" w:eastAsia="仿宋" w:hAnsi="仿宋" w:cs="仿宋" w:hint="eastAsia"/>
            <w:lang w:eastAsia="zh-CN"/>
          </w:rPr>
          <w:t>八、有机肥料及微生物肥料项目创新与研发</w:t>
        </w:r>
        <w:r>
          <w:tab/>
        </w:r>
        <w:r>
          <w:fldChar w:fldCharType="begin"/>
        </w:r>
        <w:r>
          <w:instrText xml:space="preserve"> PAGEREF _Toc21660 \h </w:instrText>
        </w:r>
        <w:r>
          <w:fldChar w:fldCharType="separate"/>
        </w:r>
        <w:r>
          <w:t>29</w:t>
        </w:r>
        <w:r>
          <w:fldChar w:fldCharType="end"/>
        </w:r>
      </w:hyperlink>
    </w:p>
    <w:p>
      <w:pPr>
        <w:pStyle w:val="TOC2"/>
        <w:tabs>
          <w:tab w:val="right" w:leader="dot" w:pos="8306"/>
        </w:tabs>
      </w:pPr>
      <w:hyperlink w:anchor="_Toc6800" w:history="1">
        <w:r>
          <w:rPr>
            <w:rFonts w:ascii="仿宋" w:eastAsia="仿宋" w:hAnsi="仿宋" w:cs="仿宋" w:hint="eastAsia"/>
            <w:lang w:eastAsia="zh-CN"/>
          </w:rPr>
          <w:t>(一)、创新策略与方向</w:t>
        </w:r>
        <w:r>
          <w:tab/>
        </w:r>
        <w:r>
          <w:fldChar w:fldCharType="begin"/>
        </w:r>
        <w:r>
          <w:instrText xml:space="preserve"> PAGEREF _Toc6800 \h </w:instrText>
        </w:r>
        <w:r>
          <w:fldChar w:fldCharType="separate"/>
        </w:r>
        <w:r>
          <w:t>29</w:t>
        </w:r>
        <w:r>
          <w:fldChar w:fldCharType="end"/>
        </w:r>
      </w:hyperlink>
    </w:p>
    <w:p>
      <w:pPr>
        <w:pStyle w:val="TOC2"/>
        <w:tabs>
          <w:tab w:val="right" w:leader="dot" w:pos="8306"/>
        </w:tabs>
      </w:pPr>
      <w:hyperlink w:anchor="_Toc12268" w:history="1">
        <w:r>
          <w:rPr>
            <w:rFonts w:ascii="仿宋" w:eastAsia="仿宋" w:hAnsi="仿宋" w:cs="仿宋" w:hint="eastAsia"/>
            <w:lang w:eastAsia="zh-CN"/>
          </w:rPr>
          <w:t>(二)、研发规划与投入</w:t>
        </w:r>
        <w:r>
          <w:tab/>
        </w:r>
        <w:r>
          <w:fldChar w:fldCharType="begin"/>
        </w:r>
        <w:r>
          <w:instrText xml:space="preserve"> PAGEREF _Toc12268 \h </w:instrText>
        </w:r>
        <w:r>
          <w:fldChar w:fldCharType="separate"/>
        </w:r>
        <w:r>
          <w:t>31</w:t>
        </w:r>
        <w:r>
          <w:fldChar w:fldCharType="end"/>
        </w:r>
      </w:hyperlink>
    </w:p>
    <w:p>
      <w:pPr>
        <w:pStyle w:val="TOC1"/>
        <w:tabs>
          <w:tab w:val="right" w:leader="dot" w:pos="8306"/>
        </w:tabs>
      </w:pPr>
      <w:hyperlink w:anchor="_Toc32097" w:history="1">
        <w:r>
          <w:rPr>
            <w:rFonts w:ascii="仿宋" w:eastAsia="仿宋" w:hAnsi="仿宋" w:cs="仿宋" w:hint="eastAsia"/>
            <w:lang w:eastAsia="zh-CN"/>
          </w:rPr>
          <w:t>九、有机肥料及微生物肥料项目计划安排</w:t>
        </w:r>
        <w:r>
          <w:tab/>
        </w:r>
        <w:r>
          <w:fldChar w:fldCharType="begin"/>
        </w:r>
        <w:r>
          <w:instrText xml:space="preserve"> PAGEREF _Toc32097 \h </w:instrText>
        </w:r>
        <w:r>
          <w:fldChar w:fldCharType="separate"/>
        </w:r>
        <w:r>
          <w:t>33</w:t>
        </w:r>
        <w:r>
          <w:fldChar w:fldCharType="end"/>
        </w:r>
      </w:hyperlink>
    </w:p>
    <w:p>
      <w:pPr>
        <w:pStyle w:val="TOC2"/>
        <w:tabs>
          <w:tab w:val="right" w:leader="dot" w:pos="8306"/>
        </w:tabs>
      </w:pPr>
      <w:hyperlink w:anchor="_Toc25299" w:history="1">
        <w:r>
          <w:rPr>
            <w:rFonts w:ascii="仿宋" w:eastAsia="仿宋" w:hAnsi="仿宋" w:cs="仿宋" w:hint="eastAsia"/>
            <w:lang w:eastAsia="zh-CN"/>
          </w:rPr>
          <w:t>(一)、建设周期</w:t>
        </w:r>
        <w:r>
          <w:tab/>
        </w:r>
        <w:r>
          <w:fldChar w:fldCharType="begin"/>
        </w:r>
        <w:r>
          <w:instrText xml:space="preserve"> PAGEREF _Toc25299 \h </w:instrText>
        </w:r>
        <w:r>
          <w:fldChar w:fldCharType="separate"/>
        </w:r>
        <w:r>
          <w:t>33</w:t>
        </w:r>
        <w:r>
          <w:fldChar w:fldCharType="end"/>
        </w:r>
      </w:hyperlink>
    </w:p>
    <w:p>
      <w:pPr>
        <w:pStyle w:val="TOC2"/>
        <w:tabs>
          <w:tab w:val="right" w:leader="dot" w:pos="8306"/>
        </w:tabs>
      </w:pPr>
      <w:hyperlink w:anchor="_Toc9662" w:history="1">
        <w:r>
          <w:rPr>
            <w:rFonts w:ascii="仿宋" w:eastAsia="仿宋" w:hAnsi="仿宋" w:cs="仿宋" w:hint="eastAsia"/>
            <w:lang w:eastAsia="zh-CN"/>
          </w:rPr>
          <w:t>(二)、建设进度</w:t>
        </w:r>
        <w:r>
          <w:tab/>
        </w:r>
        <w:r>
          <w:fldChar w:fldCharType="begin"/>
        </w:r>
        <w:r>
          <w:instrText xml:space="preserve"> PAGEREF _Toc9662 \h </w:instrText>
        </w:r>
        <w:r>
          <w:fldChar w:fldCharType="separate"/>
        </w:r>
        <w:r>
          <w:t>34</w:t>
        </w:r>
        <w:r>
          <w:fldChar w:fldCharType="end"/>
        </w:r>
      </w:hyperlink>
    </w:p>
    <w:p>
      <w:pPr>
        <w:pStyle w:val="TOC2"/>
        <w:tabs>
          <w:tab w:val="right" w:leader="dot" w:pos="8306"/>
        </w:tabs>
      </w:pPr>
      <w:hyperlink w:anchor="_Toc11559" w:history="1">
        <w:r>
          <w:rPr>
            <w:rFonts w:ascii="仿宋" w:eastAsia="仿宋" w:hAnsi="仿宋" w:cs="仿宋" w:hint="eastAsia"/>
            <w:lang w:eastAsia="zh-CN"/>
          </w:rPr>
          <w:t>(三)、进度安排注意事项</w:t>
        </w:r>
        <w:r>
          <w:tab/>
        </w:r>
        <w:r>
          <w:fldChar w:fldCharType="begin"/>
        </w:r>
        <w:r>
          <w:instrText xml:space="preserve"> PAGEREF _Toc11559 \h </w:instrText>
        </w:r>
        <w:r>
          <w:fldChar w:fldCharType="separate"/>
        </w:r>
        <w:r>
          <w:t>35</w:t>
        </w:r>
        <w:r>
          <w:fldChar w:fldCharType="end"/>
        </w:r>
      </w:hyperlink>
    </w:p>
    <w:p>
      <w:pPr>
        <w:pStyle w:val="TOC2"/>
        <w:tabs>
          <w:tab w:val="right" w:leader="dot" w:pos="8306"/>
        </w:tabs>
      </w:pPr>
      <w:hyperlink w:anchor="_Toc26782" w:history="1">
        <w:r>
          <w:rPr>
            <w:rFonts w:ascii="仿宋" w:eastAsia="仿宋" w:hAnsi="仿宋" w:cs="仿宋" w:hint="eastAsia"/>
            <w:lang w:eastAsia="zh-CN"/>
          </w:rPr>
          <w:t>(四)、人力资源配置</w:t>
        </w:r>
        <w:r>
          <w:tab/>
        </w:r>
        <w:r>
          <w:fldChar w:fldCharType="begin"/>
        </w:r>
        <w:r>
          <w:instrText xml:space="preserve"> PAGEREF _Toc26782 \h </w:instrText>
        </w:r>
        <w:r>
          <w:fldChar w:fldCharType="separate"/>
        </w:r>
        <w:r>
          <w:t>36</w:t>
        </w:r>
        <w:r>
          <w:fldChar w:fldCharType="end"/>
        </w:r>
      </w:hyperlink>
    </w:p>
    <w:p>
      <w:pPr>
        <w:pStyle w:val="TOC1"/>
        <w:tabs>
          <w:tab w:val="right" w:leader="dot" w:pos="8306"/>
        </w:tabs>
      </w:pPr>
      <w:hyperlink w:anchor="_Toc15001" w:history="1">
        <w:r>
          <w:rPr>
            <w:rFonts w:ascii="仿宋" w:eastAsia="仿宋" w:hAnsi="仿宋" w:cs="仿宋" w:hint="eastAsia"/>
            <w:lang w:eastAsia="zh-CN"/>
          </w:rPr>
          <w:t>十、生产安全保护</w:t>
        </w:r>
        <w:r>
          <w:tab/>
        </w:r>
        <w:r>
          <w:fldChar w:fldCharType="begin"/>
        </w:r>
        <w:r>
          <w:instrText xml:space="preserve"> PAGEREF _Toc15001 \h </w:instrText>
        </w:r>
        <w:r>
          <w:fldChar w:fldCharType="separate"/>
        </w:r>
        <w:r>
          <w:t>37</w:t>
        </w:r>
        <w:r>
          <w:fldChar w:fldCharType="end"/>
        </w:r>
      </w:hyperlink>
    </w:p>
    <w:p>
      <w:pPr>
        <w:pStyle w:val="TOC2"/>
        <w:tabs>
          <w:tab w:val="right" w:leader="dot" w:pos="8306"/>
        </w:tabs>
      </w:pPr>
      <w:hyperlink w:anchor="_Toc2869" w:history="1">
        <w:r>
          <w:rPr>
            <w:rFonts w:ascii="仿宋" w:eastAsia="仿宋" w:hAnsi="仿宋" w:cs="仿宋" w:hint="eastAsia"/>
            <w:lang w:eastAsia="zh-CN"/>
          </w:rPr>
          <w:t>(一)、消防安全</w:t>
        </w:r>
        <w:r>
          <w:tab/>
        </w:r>
        <w:r>
          <w:fldChar w:fldCharType="begin"/>
        </w:r>
        <w:r>
          <w:instrText xml:space="preserve"> PAGEREF _Toc2869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2" w:history="1">
        <w:r>
          <w:rPr>
            <w:rFonts w:ascii="仿宋" w:eastAsia="仿宋" w:hAnsi="仿宋" w:cs="仿宋" w:hint="eastAsia"/>
            <w:lang w:eastAsia="zh-CN"/>
          </w:rPr>
          <w:t>(二)、防火防爆总图布置措施</w:t>
        </w:r>
        <w:r>
          <w:tab/>
        </w:r>
        <w:r>
          <w:fldChar w:fldCharType="begin"/>
        </w:r>
        <w:r>
          <w:instrText xml:space="preserve"> PAGEREF _Toc2732 \h </w:instrText>
        </w:r>
        <w:r>
          <w:fldChar w:fldCharType="separate"/>
        </w:r>
        <w:r>
          <w:t>39</w:t>
        </w:r>
        <w:r>
          <w:fldChar w:fldCharType="end"/>
        </w:r>
      </w:hyperlink>
    </w:p>
    <w:p>
      <w:pPr>
        <w:pStyle w:val="TOC2"/>
        <w:tabs>
          <w:tab w:val="right" w:leader="dot" w:pos="8306"/>
        </w:tabs>
      </w:pPr>
      <w:hyperlink w:anchor="_Toc10647" w:history="1">
        <w:r>
          <w:rPr>
            <w:rFonts w:ascii="仿宋" w:eastAsia="仿宋" w:hAnsi="仿宋" w:cs="仿宋" w:hint="eastAsia"/>
            <w:lang w:eastAsia="zh-CN"/>
          </w:rPr>
          <w:t>(三)、自然灾害防范措施</w:t>
        </w:r>
        <w:r>
          <w:tab/>
        </w:r>
        <w:r>
          <w:fldChar w:fldCharType="begin"/>
        </w:r>
        <w:r>
          <w:instrText xml:space="preserve"> PAGEREF _Toc10647 \h </w:instrText>
        </w:r>
        <w:r>
          <w:fldChar w:fldCharType="separate"/>
        </w:r>
        <w:r>
          <w:t>40</w:t>
        </w:r>
        <w:r>
          <w:fldChar w:fldCharType="end"/>
        </w:r>
      </w:hyperlink>
    </w:p>
    <w:p>
      <w:pPr>
        <w:pStyle w:val="TOC2"/>
        <w:tabs>
          <w:tab w:val="right" w:leader="dot" w:pos="8306"/>
        </w:tabs>
      </w:pPr>
      <w:hyperlink w:anchor="_Toc24916" w:history="1">
        <w:r>
          <w:rPr>
            <w:rFonts w:ascii="仿宋" w:eastAsia="仿宋" w:hAnsi="仿宋" w:cs="仿宋" w:hint="eastAsia"/>
            <w:lang w:eastAsia="zh-CN"/>
          </w:rPr>
          <w:t>(四)、安全色及安全标志使用要求</w:t>
        </w:r>
        <w:r>
          <w:tab/>
        </w:r>
        <w:r>
          <w:fldChar w:fldCharType="begin"/>
        </w:r>
        <w:r>
          <w:instrText xml:space="preserve"> PAGEREF _Toc24916 \h </w:instrText>
        </w:r>
        <w:r>
          <w:fldChar w:fldCharType="separate"/>
        </w:r>
        <w:r>
          <w:t>41</w:t>
        </w:r>
        <w:r>
          <w:fldChar w:fldCharType="end"/>
        </w:r>
      </w:hyperlink>
    </w:p>
    <w:p>
      <w:pPr>
        <w:pStyle w:val="TOC2"/>
        <w:tabs>
          <w:tab w:val="right" w:leader="dot" w:pos="8306"/>
        </w:tabs>
      </w:pPr>
      <w:hyperlink w:anchor="_Toc30545" w:history="1">
        <w:r>
          <w:rPr>
            <w:rFonts w:ascii="仿宋" w:eastAsia="仿宋" w:hAnsi="仿宋" w:cs="仿宋" w:hint="eastAsia"/>
            <w:lang w:eastAsia="zh-CN"/>
          </w:rPr>
          <w:t>(五)、防尘防毒措施</w:t>
        </w:r>
        <w:r>
          <w:tab/>
        </w:r>
        <w:r>
          <w:fldChar w:fldCharType="begin"/>
        </w:r>
        <w:r>
          <w:instrText xml:space="preserve"> PAGEREF _Toc30545 \h </w:instrText>
        </w:r>
        <w:r>
          <w:fldChar w:fldCharType="separate"/>
        </w:r>
        <w:r>
          <w:t>42</w:t>
        </w:r>
        <w:r>
          <w:fldChar w:fldCharType="end"/>
        </w:r>
      </w:hyperlink>
    </w:p>
    <w:p>
      <w:pPr>
        <w:pStyle w:val="TOC2"/>
        <w:tabs>
          <w:tab w:val="right" w:leader="dot" w:pos="8306"/>
        </w:tabs>
      </w:pPr>
      <w:hyperlink w:anchor="_Toc19889" w:history="1">
        <w:r>
          <w:rPr>
            <w:rFonts w:ascii="仿宋" w:eastAsia="仿宋" w:hAnsi="仿宋" w:cs="仿宋" w:hint="eastAsia"/>
            <w:lang w:eastAsia="zh-CN"/>
          </w:rPr>
          <w:t>(六)、防静电、触电防护及防雷措施</w:t>
        </w:r>
        <w:r>
          <w:tab/>
        </w:r>
        <w:r>
          <w:fldChar w:fldCharType="begin"/>
        </w:r>
        <w:r>
          <w:instrText xml:space="preserve"> PAGEREF _Toc19889 \h </w:instrText>
        </w:r>
        <w:r>
          <w:fldChar w:fldCharType="separate"/>
        </w:r>
        <w:r>
          <w:t>43</w:t>
        </w:r>
        <w:r>
          <w:fldChar w:fldCharType="end"/>
        </w:r>
      </w:hyperlink>
    </w:p>
    <w:p>
      <w:pPr>
        <w:pStyle w:val="TOC2"/>
        <w:tabs>
          <w:tab w:val="right" w:leader="dot" w:pos="8306"/>
        </w:tabs>
      </w:pPr>
      <w:hyperlink w:anchor="_Toc20925" w:history="1">
        <w:r>
          <w:rPr>
            <w:rFonts w:ascii="仿宋" w:eastAsia="仿宋" w:hAnsi="仿宋" w:cs="仿宋" w:hint="eastAsia"/>
            <w:lang w:eastAsia="zh-CN"/>
          </w:rPr>
          <w:t>(七)、机械设备安全保障措施</w:t>
        </w:r>
        <w:r>
          <w:tab/>
        </w:r>
        <w:r>
          <w:fldChar w:fldCharType="begin"/>
        </w:r>
        <w:r>
          <w:instrText xml:space="preserve"> PAGEREF _Toc20925 \h </w:instrText>
        </w:r>
        <w:r>
          <w:fldChar w:fldCharType="separate"/>
        </w:r>
        <w:r>
          <w:t>44</w:t>
        </w:r>
        <w:r>
          <w:fldChar w:fldCharType="end"/>
        </w:r>
      </w:hyperlink>
    </w:p>
    <w:p>
      <w:pPr>
        <w:pStyle w:val="TOC1"/>
        <w:tabs>
          <w:tab w:val="right" w:leader="dot" w:pos="8306"/>
        </w:tabs>
      </w:pPr>
      <w:hyperlink w:anchor="_Toc32641" w:history="1">
        <w:r>
          <w:rPr>
            <w:rFonts w:ascii="仿宋" w:eastAsia="仿宋" w:hAnsi="仿宋" w:cs="仿宋" w:hint="eastAsia"/>
            <w:lang w:eastAsia="zh-CN"/>
          </w:rPr>
          <w:t>十一、有机肥料及微生物肥料项目投资规划</w:t>
        </w:r>
        <w:r>
          <w:tab/>
        </w:r>
        <w:r>
          <w:fldChar w:fldCharType="begin"/>
        </w:r>
        <w:r>
          <w:instrText xml:space="preserve"> PAGEREF _Toc32641 \h </w:instrText>
        </w:r>
        <w:r>
          <w:fldChar w:fldCharType="separate"/>
        </w:r>
        <w:r>
          <w:t>46</w:t>
        </w:r>
        <w:r>
          <w:fldChar w:fldCharType="end"/>
        </w:r>
      </w:hyperlink>
    </w:p>
    <w:p>
      <w:pPr>
        <w:pStyle w:val="TOC2"/>
        <w:tabs>
          <w:tab w:val="right" w:leader="dot" w:pos="8306"/>
        </w:tabs>
      </w:pPr>
      <w:hyperlink w:anchor="_Toc6699" w:history="1">
        <w:r>
          <w:rPr>
            <w:rFonts w:ascii="仿宋" w:eastAsia="仿宋" w:hAnsi="仿宋" w:cs="仿宋" w:hint="eastAsia"/>
            <w:lang w:eastAsia="zh-CN"/>
          </w:rPr>
          <w:t>(一)、有机肥料及微生物肥料项目总投资估算</w:t>
        </w:r>
        <w:r>
          <w:tab/>
        </w:r>
        <w:r>
          <w:fldChar w:fldCharType="begin"/>
        </w:r>
        <w:r>
          <w:instrText xml:space="preserve"> PAGEREF _Toc6699 \h </w:instrText>
        </w:r>
        <w:r>
          <w:fldChar w:fldCharType="separate"/>
        </w:r>
        <w:r>
          <w:t>46</w:t>
        </w:r>
        <w:r>
          <w:fldChar w:fldCharType="end"/>
        </w:r>
      </w:hyperlink>
    </w:p>
    <w:p>
      <w:pPr>
        <w:pStyle w:val="TOC2"/>
        <w:tabs>
          <w:tab w:val="right" w:leader="dot" w:pos="8306"/>
        </w:tabs>
      </w:pPr>
      <w:hyperlink w:anchor="_Toc10556" w:history="1">
        <w:r>
          <w:rPr>
            <w:rFonts w:ascii="仿宋" w:eastAsia="仿宋" w:hAnsi="仿宋" w:cs="仿宋" w:hint="eastAsia"/>
            <w:lang w:eastAsia="zh-CN"/>
          </w:rPr>
          <w:t>(二)、资金筹措</w:t>
        </w:r>
        <w:r>
          <w:tab/>
        </w:r>
        <w:r>
          <w:fldChar w:fldCharType="begin"/>
        </w:r>
        <w:r>
          <w:instrText xml:space="preserve"> PAGEREF _Toc10556 \h </w:instrText>
        </w:r>
        <w:r>
          <w:fldChar w:fldCharType="separate"/>
        </w:r>
        <w:r>
          <w:t>47</w:t>
        </w:r>
        <w:r>
          <w:fldChar w:fldCharType="end"/>
        </w:r>
      </w:hyperlink>
    </w:p>
    <w:p>
      <w:pPr>
        <w:pStyle w:val="TOC1"/>
        <w:tabs>
          <w:tab w:val="right" w:leader="dot" w:pos="8306"/>
        </w:tabs>
      </w:pPr>
      <w:hyperlink w:anchor="_Toc15885" w:history="1">
        <w:r>
          <w:rPr>
            <w:rFonts w:ascii="仿宋" w:eastAsia="仿宋" w:hAnsi="仿宋" w:cs="仿宋" w:hint="eastAsia"/>
            <w:lang w:eastAsia="zh-CN"/>
          </w:rPr>
          <w:t>十二、有机肥料及微生物肥料项目技术管理</w:t>
        </w:r>
        <w:r>
          <w:tab/>
        </w:r>
        <w:r>
          <w:fldChar w:fldCharType="begin"/>
        </w:r>
        <w:r>
          <w:instrText xml:space="preserve"> PAGEREF _Toc15885 \h </w:instrText>
        </w:r>
        <w:r>
          <w:fldChar w:fldCharType="separate"/>
        </w:r>
        <w:r>
          <w:t>48</w:t>
        </w:r>
        <w:r>
          <w:fldChar w:fldCharType="end"/>
        </w:r>
      </w:hyperlink>
    </w:p>
    <w:p>
      <w:pPr>
        <w:pStyle w:val="TOC2"/>
        <w:tabs>
          <w:tab w:val="right" w:leader="dot" w:pos="8306"/>
        </w:tabs>
      </w:pPr>
      <w:hyperlink w:anchor="_Toc23545" w:history="1">
        <w:r>
          <w:rPr>
            <w:rFonts w:ascii="仿宋" w:eastAsia="仿宋" w:hAnsi="仿宋" w:cs="仿宋" w:hint="eastAsia"/>
            <w:lang w:eastAsia="zh-CN"/>
          </w:rPr>
          <w:t>(一)、技术方案选用方向</w:t>
        </w:r>
        <w:r>
          <w:tab/>
        </w:r>
        <w:r>
          <w:fldChar w:fldCharType="begin"/>
        </w:r>
        <w:r>
          <w:instrText xml:space="preserve"> PAGEREF _Toc23545 \h </w:instrText>
        </w:r>
        <w:r>
          <w:fldChar w:fldCharType="separate"/>
        </w:r>
        <w:r>
          <w:t>48</w:t>
        </w:r>
        <w:r>
          <w:fldChar w:fldCharType="end"/>
        </w:r>
      </w:hyperlink>
    </w:p>
    <w:p>
      <w:pPr>
        <w:pStyle w:val="TOC2"/>
        <w:tabs>
          <w:tab w:val="right" w:leader="dot" w:pos="8306"/>
        </w:tabs>
      </w:pPr>
      <w:hyperlink w:anchor="_Toc17866" w:history="1">
        <w:r>
          <w:rPr>
            <w:rFonts w:ascii="仿宋" w:eastAsia="仿宋" w:hAnsi="仿宋" w:cs="仿宋" w:hint="eastAsia"/>
            <w:lang w:eastAsia="zh-CN"/>
          </w:rPr>
          <w:t>(二)、工艺技术方案选用原则</w:t>
        </w:r>
        <w:r>
          <w:tab/>
        </w:r>
        <w:r>
          <w:fldChar w:fldCharType="begin"/>
        </w:r>
        <w:r>
          <w:instrText xml:space="preserve"> PAGEREF _Toc17866 \h </w:instrText>
        </w:r>
        <w:r>
          <w:fldChar w:fldCharType="separate"/>
        </w:r>
        <w:r>
          <w:t>50</w:t>
        </w:r>
        <w:r>
          <w:fldChar w:fldCharType="end"/>
        </w:r>
      </w:hyperlink>
    </w:p>
    <w:p>
      <w:pPr>
        <w:pStyle w:val="TOC2"/>
        <w:tabs>
          <w:tab w:val="right" w:leader="dot" w:pos="8306"/>
        </w:tabs>
      </w:pPr>
      <w:hyperlink w:anchor="_Toc29578" w:history="1">
        <w:r>
          <w:rPr>
            <w:rFonts w:ascii="仿宋" w:eastAsia="仿宋" w:hAnsi="仿宋" w:cs="仿宋" w:hint="eastAsia"/>
            <w:lang w:eastAsia="zh-CN"/>
          </w:rPr>
          <w:t>(三)、工艺技术方案要求</w:t>
        </w:r>
        <w:r>
          <w:tab/>
        </w:r>
        <w:r>
          <w:fldChar w:fldCharType="begin"/>
        </w:r>
        <w:r>
          <w:instrText xml:space="preserve"> PAGEREF _Toc29578 \h </w:instrText>
        </w:r>
        <w:r>
          <w:fldChar w:fldCharType="separate"/>
        </w:r>
        <w:r>
          <w:t>52</w:t>
        </w:r>
        <w:r>
          <w:fldChar w:fldCharType="end"/>
        </w:r>
      </w:hyperlink>
    </w:p>
    <w:p>
      <w:pPr>
        <w:pStyle w:val="TOC1"/>
        <w:tabs>
          <w:tab w:val="right" w:leader="dot" w:pos="8306"/>
        </w:tabs>
      </w:pPr>
      <w:hyperlink w:anchor="_Toc18149" w:history="1">
        <w:r>
          <w:rPr>
            <w:rFonts w:ascii="仿宋" w:eastAsia="仿宋" w:hAnsi="仿宋" w:cs="仿宋" w:hint="eastAsia"/>
            <w:lang w:eastAsia="zh-CN"/>
          </w:rPr>
          <w:t>十三、有机肥料及微生物肥料项目实施时间节点</w:t>
        </w:r>
        <w:r>
          <w:tab/>
        </w:r>
        <w:r>
          <w:fldChar w:fldCharType="begin"/>
        </w:r>
        <w:r>
          <w:instrText xml:space="preserve"> PAGEREF _Toc18149 \h </w:instrText>
        </w:r>
        <w:r>
          <w:fldChar w:fldCharType="separate"/>
        </w:r>
        <w:r>
          <w:t>54</w:t>
        </w:r>
        <w:r>
          <w:fldChar w:fldCharType="end"/>
        </w:r>
      </w:hyperlink>
    </w:p>
    <w:p>
      <w:pPr>
        <w:pStyle w:val="TOC2"/>
        <w:tabs>
          <w:tab w:val="right" w:leader="dot" w:pos="8306"/>
        </w:tabs>
      </w:pPr>
      <w:hyperlink w:anchor="_Toc7283" w:history="1">
        <w:r>
          <w:rPr>
            <w:rFonts w:ascii="仿宋" w:eastAsia="仿宋" w:hAnsi="仿宋" w:cs="仿宋" w:hint="eastAsia"/>
            <w:lang w:eastAsia="zh-CN"/>
          </w:rPr>
          <w:t>(一)、有机肥料及微生物肥料项目启动阶段时间节点</w:t>
        </w:r>
        <w:r>
          <w:tab/>
        </w:r>
        <w:r>
          <w:fldChar w:fldCharType="begin"/>
        </w:r>
        <w:r>
          <w:instrText xml:space="preserve"> PAGEREF _Toc7283 \h </w:instrText>
        </w:r>
        <w:r>
          <w:fldChar w:fldCharType="separate"/>
        </w:r>
        <w:r>
          <w:t>54</w:t>
        </w:r>
        <w:r>
          <w:fldChar w:fldCharType="end"/>
        </w:r>
      </w:hyperlink>
    </w:p>
    <w:p>
      <w:pPr>
        <w:pStyle w:val="TOC2"/>
        <w:tabs>
          <w:tab w:val="right" w:leader="dot" w:pos="8306"/>
        </w:tabs>
      </w:pPr>
      <w:hyperlink w:anchor="_Toc15511" w:history="1">
        <w:r>
          <w:rPr>
            <w:rFonts w:ascii="仿宋" w:eastAsia="仿宋" w:hAnsi="仿宋" w:cs="仿宋" w:hint="eastAsia"/>
            <w:lang w:eastAsia="zh-CN"/>
          </w:rPr>
          <w:t>(二)、有机肥料及微生物肥料项目执行阶段时间节点</w:t>
        </w:r>
        <w:r>
          <w:tab/>
        </w:r>
        <w:r>
          <w:fldChar w:fldCharType="begin"/>
        </w:r>
        <w:r>
          <w:instrText xml:space="preserve"> PAGEREF _Toc15511 \h </w:instrText>
        </w:r>
        <w:r>
          <w:fldChar w:fldCharType="separate"/>
        </w:r>
        <w:r>
          <w:t>56</w:t>
        </w:r>
        <w:r>
          <w:fldChar w:fldCharType="end"/>
        </w:r>
      </w:hyperlink>
    </w:p>
    <w:p>
      <w:pPr>
        <w:pStyle w:val="TOC2"/>
        <w:tabs>
          <w:tab w:val="right" w:leader="dot" w:pos="8306"/>
        </w:tabs>
      </w:pPr>
      <w:hyperlink w:anchor="_Toc2734" w:history="1">
        <w:r>
          <w:rPr>
            <w:rFonts w:ascii="仿宋" w:eastAsia="仿宋" w:hAnsi="仿宋" w:cs="仿宋" w:hint="eastAsia"/>
            <w:lang w:eastAsia="zh-CN"/>
          </w:rPr>
          <w:t>(三)、有机肥料及微生物肥料项目完成阶段时间节点</w:t>
        </w:r>
        <w:r>
          <w:tab/>
        </w:r>
        <w:r>
          <w:fldChar w:fldCharType="begin"/>
        </w:r>
        <w:r>
          <w:instrText xml:space="preserve"> PAGEREF _Toc2734 \h </w:instrText>
        </w:r>
        <w:r>
          <w:fldChar w:fldCharType="separate"/>
        </w:r>
        <w:r>
          <w:t>57</w:t>
        </w:r>
        <w:r>
          <w:fldChar w:fldCharType="end"/>
        </w:r>
      </w:hyperlink>
    </w:p>
    <w:p>
      <w:pPr>
        <w:pStyle w:val="TOC1"/>
        <w:tabs>
          <w:tab w:val="right" w:leader="dot" w:pos="8306"/>
        </w:tabs>
      </w:pPr>
      <w:hyperlink w:anchor="_Toc8726" w:history="1">
        <w:r>
          <w:rPr>
            <w:rFonts w:ascii="仿宋" w:eastAsia="仿宋" w:hAnsi="仿宋" w:cs="仿宋" w:hint="eastAsia"/>
            <w:lang w:eastAsia="zh-CN"/>
          </w:rPr>
          <w:t>十四、供应链管理</w:t>
        </w:r>
        <w:r>
          <w:tab/>
        </w:r>
        <w:r>
          <w:fldChar w:fldCharType="begin"/>
        </w:r>
        <w:r>
          <w:instrText xml:space="preserve"> PAGEREF _Toc8726 \h </w:instrText>
        </w:r>
        <w:r>
          <w:fldChar w:fldCharType="separate"/>
        </w:r>
        <w:r>
          <w:t>58</w:t>
        </w:r>
        <w:r>
          <w:fldChar w:fldCharType="end"/>
        </w:r>
      </w:hyperlink>
    </w:p>
    <w:p>
      <w:pPr>
        <w:pStyle w:val="TOC2"/>
        <w:tabs>
          <w:tab w:val="right" w:leader="dot" w:pos="8306"/>
        </w:tabs>
      </w:pPr>
      <w:hyperlink w:anchor="_Toc28491" w:history="1">
        <w:r>
          <w:rPr>
            <w:rFonts w:ascii="仿宋" w:eastAsia="仿宋" w:hAnsi="仿宋" w:cs="仿宋" w:hint="eastAsia"/>
            <w:lang w:eastAsia="zh-CN"/>
          </w:rPr>
          <w:t>(一)、供应链战略规划</w:t>
        </w:r>
        <w:r>
          <w:tab/>
        </w:r>
        <w:r>
          <w:fldChar w:fldCharType="begin"/>
        </w:r>
        <w:r>
          <w:instrText xml:space="preserve"> PAGEREF _Toc28491 \h </w:instrText>
        </w:r>
        <w:r>
          <w:fldChar w:fldCharType="separate"/>
        </w:r>
        <w:r>
          <w:t>58</w:t>
        </w:r>
        <w:r>
          <w:fldChar w:fldCharType="end"/>
        </w:r>
      </w:hyperlink>
    </w:p>
    <w:p>
      <w:pPr>
        <w:pStyle w:val="TOC2"/>
        <w:tabs>
          <w:tab w:val="right" w:leader="dot" w:pos="8306"/>
        </w:tabs>
      </w:pPr>
      <w:hyperlink w:anchor="_Toc17426" w:history="1">
        <w:r>
          <w:rPr>
            <w:rFonts w:ascii="仿宋" w:eastAsia="仿宋" w:hAnsi="仿宋" w:cs="仿宋" w:hint="eastAsia"/>
            <w:lang w:eastAsia="zh-CN"/>
          </w:rPr>
          <w:t>(二)、供应商选择与合作</w:t>
        </w:r>
        <w:r>
          <w:tab/>
        </w:r>
        <w:r>
          <w:fldChar w:fldCharType="begin"/>
        </w:r>
        <w:r>
          <w:instrText xml:space="preserve"> PAGEREF _Toc17426 \h </w:instrText>
        </w:r>
        <w:r>
          <w:fldChar w:fldCharType="separate"/>
        </w:r>
        <w:r>
          <w:t>59</w:t>
        </w:r>
        <w:r>
          <w:fldChar w:fldCharType="end"/>
        </w:r>
      </w:hyperlink>
    </w:p>
    <w:p>
      <w:pPr>
        <w:pStyle w:val="TOC2"/>
        <w:tabs>
          <w:tab w:val="right" w:leader="dot" w:pos="8306"/>
        </w:tabs>
      </w:pPr>
      <w:hyperlink w:anchor="_Toc27770" w:history="1">
        <w:r>
          <w:rPr>
            <w:rFonts w:ascii="仿宋" w:eastAsia="仿宋" w:hAnsi="仿宋" w:cs="仿宋" w:hint="eastAsia"/>
            <w:lang w:eastAsia="zh-CN"/>
          </w:rPr>
          <w:t>(三)、物流与库存管理</w:t>
        </w:r>
        <w:r>
          <w:tab/>
        </w:r>
        <w:r>
          <w:fldChar w:fldCharType="begin"/>
        </w:r>
        <w:r>
          <w:instrText xml:space="preserve"> PAGEREF _Toc27770 \h </w:instrText>
        </w:r>
        <w:r>
          <w:fldChar w:fldCharType="separate"/>
        </w:r>
        <w:r>
          <w:t>61</w:t>
        </w:r>
        <w:r>
          <w:fldChar w:fldCharType="end"/>
        </w:r>
      </w:hyperlink>
    </w:p>
    <w:p>
      <w:pPr>
        <w:pStyle w:val="TOC1"/>
        <w:tabs>
          <w:tab w:val="right" w:leader="dot" w:pos="8306"/>
        </w:tabs>
      </w:pPr>
      <w:hyperlink w:anchor="_Toc11066" w:history="1">
        <w:r>
          <w:rPr>
            <w:rFonts w:ascii="仿宋" w:eastAsia="仿宋" w:hAnsi="仿宋" w:cs="仿宋" w:hint="eastAsia"/>
            <w:lang w:eastAsia="zh-CN"/>
          </w:rPr>
          <w:t>十五、有机肥料及微生物肥料项目实施保障措施</w:t>
        </w:r>
        <w:r>
          <w:tab/>
        </w:r>
        <w:r>
          <w:fldChar w:fldCharType="begin"/>
        </w:r>
        <w:r>
          <w:instrText xml:space="preserve"> PAGEREF _Toc11066 \h </w:instrText>
        </w:r>
        <w:r>
          <w:fldChar w:fldCharType="separate"/>
        </w:r>
        <w:r>
          <w:t>62</w:t>
        </w:r>
        <w:r>
          <w:fldChar w:fldCharType="end"/>
        </w:r>
      </w:hyperlink>
    </w:p>
    <w:p>
      <w:pPr>
        <w:pStyle w:val="TOC2"/>
        <w:tabs>
          <w:tab w:val="right" w:leader="dot" w:pos="8306"/>
        </w:tabs>
      </w:pPr>
      <w:hyperlink w:anchor="_Toc642" w:history="1">
        <w:r>
          <w:rPr>
            <w:rFonts w:ascii="仿宋" w:eastAsia="仿宋" w:hAnsi="仿宋" w:cs="仿宋" w:hint="eastAsia"/>
            <w:lang w:eastAsia="zh-CN"/>
          </w:rPr>
          <w:t>(一)、有机肥料及微生物肥料项目实施保障机制</w:t>
        </w:r>
        <w:r>
          <w:tab/>
        </w:r>
        <w:r>
          <w:fldChar w:fldCharType="begin"/>
        </w:r>
        <w:r>
          <w:instrText xml:space="preserve"> PAGEREF _Toc642 \h </w:instrText>
        </w:r>
        <w:r>
          <w:fldChar w:fldCharType="separate"/>
        </w:r>
        <w:r>
          <w:t>62</w:t>
        </w:r>
        <w:r>
          <w:fldChar w:fldCharType="end"/>
        </w:r>
      </w:hyperlink>
    </w:p>
    <w:p>
      <w:pPr>
        <w:pStyle w:val="TOC2"/>
        <w:tabs>
          <w:tab w:val="right" w:leader="dot" w:pos="8306"/>
        </w:tabs>
      </w:pPr>
      <w:hyperlink w:anchor="_Toc20420" w:history="1">
        <w:r>
          <w:rPr>
            <w:rFonts w:ascii="仿宋" w:eastAsia="仿宋" w:hAnsi="仿宋" w:cs="仿宋" w:hint="eastAsia"/>
            <w:lang w:eastAsia="zh-CN"/>
          </w:rPr>
          <w:t>(二)、有机肥料及微生物肥料项目法律合规要求</w:t>
        </w:r>
        <w:r>
          <w:tab/>
        </w:r>
        <w:r>
          <w:fldChar w:fldCharType="begin"/>
        </w:r>
        <w:r>
          <w:instrText xml:space="preserve"> PAGEREF _Toc20420 \h </w:instrText>
        </w:r>
        <w:r>
          <w:fldChar w:fldCharType="separate"/>
        </w:r>
        <w:r>
          <w:t>66</w:t>
        </w:r>
        <w:r>
          <w:fldChar w:fldCharType="end"/>
        </w:r>
      </w:hyperlink>
    </w:p>
    <w:p>
      <w:pPr>
        <w:pStyle w:val="TOC2"/>
        <w:tabs>
          <w:tab w:val="right" w:leader="dot" w:pos="8306"/>
        </w:tabs>
      </w:pPr>
      <w:hyperlink w:anchor="_Toc1442" w:history="1">
        <w:r>
          <w:rPr>
            <w:rFonts w:ascii="仿宋" w:eastAsia="仿宋" w:hAnsi="仿宋" w:cs="仿宋" w:hint="eastAsia"/>
            <w:lang w:eastAsia="zh-CN"/>
          </w:rPr>
          <w:t>(三)、有机肥料及微生物肥料项目合同管理与法律事务</w:t>
        </w:r>
        <w:r>
          <w:tab/>
        </w:r>
        <w:r>
          <w:fldChar w:fldCharType="begin"/>
        </w:r>
        <w:r>
          <w:instrText xml:space="preserve"> PAGEREF _Toc1442 \h </w:instrText>
        </w:r>
        <w:r>
          <w:fldChar w:fldCharType="separate"/>
        </w:r>
        <w:r>
          <w:t>71</w:t>
        </w:r>
        <w:r>
          <w:fldChar w:fldCharType="end"/>
        </w:r>
      </w:hyperlink>
    </w:p>
    <w:p>
      <w:pPr>
        <w:pStyle w:val="TOC2"/>
        <w:tabs>
          <w:tab w:val="right" w:leader="dot" w:pos="8306"/>
        </w:tabs>
      </w:pPr>
      <w:hyperlink w:anchor="_Toc1608" w:history="1">
        <w:r>
          <w:rPr>
            <w:rFonts w:ascii="仿宋" w:eastAsia="仿宋" w:hAnsi="仿宋" w:cs="仿宋" w:hint="eastAsia"/>
            <w:lang w:eastAsia="zh-CN"/>
          </w:rPr>
          <w:t>(四)、有机肥料及微生物肥料项目知识产权保护策略</w:t>
        </w:r>
        <w:r>
          <w:tab/>
        </w:r>
        <w:r>
          <w:fldChar w:fldCharType="begin"/>
        </w:r>
        <w:r>
          <w:instrText xml:space="preserve"> PAGEREF _Toc1608 \h </w:instrText>
        </w:r>
        <w:r>
          <w:fldChar w:fldCharType="separate"/>
        </w:r>
        <w:r>
          <w:t>77</w:t>
        </w:r>
        <w:r>
          <w:fldChar w:fldCharType="end"/>
        </w:r>
      </w:hyperlink>
    </w:p>
    <w:p>
      <w:pPr>
        <w:pStyle w:val="TOC1"/>
        <w:tabs>
          <w:tab w:val="right" w:leader="dot" w:pos="8306"/>
        </w:tabs>
      </w:pPr>
      <w:hyperlink w:anchor="_Toc27653" w:history="1">
        <w:r>
          <w:rPr>
            <w:rFonts w:ascii="仿宋" w:eastAsia="仿宋" w:hAnsi="仿宋" w:cs="仿宋" w:hint="eastAsia"/>
            <w:lang w:eastAsia="zh-CN"/>
          </w:rPr>
          <w:t>十六、有机肥料及微生物肥料项目变更管理</w:t>
        </w:r>
        <w:r>
          <w:tab/>
        </w:r>
        <w:r>
          <w:fldChar w:fldCharType="begin"/>
        </w:r>
        <w:r>
          <w:instrText xml:space="preserve"> PAGEREF _Toc27653 \h </w:instrText>
        </w:r>
        <w:r>
          <w:fldChar w:fldCharType="separate"/>
        </w:r>
        <w:r>
          <w:t>80</w:t>
        </w:r>
        <w:r>
          <w:fldChar w:fldCharType="end"/>
        </w:r>
      </w:hyperlink>
    </w:p>
    <w:p>
      <w:pPr>
        <w:pStyle w:val="TOC2"/>
        <w:tabs>
          <w:tab w:val="right" w:leader="dot" w:pos="8306"/>
        </w:tabs>
      </w:pPr>
      <w:hyperlink w:anchor="_Toc22644" w:history="1">
        <w:r>
          <w:rPr>
            <w:rFonts w:ascii="仿宋" w:eastAsia="仿宋" w:hAnsi="仿宋" w:cs="仿宋" w:hint="eastAsia"/>
            <w:lang w:eastAsia="zh-CN"/>
          </w:rPr>
          <w:t>(一)、变更申请与评估</w:t>
        </w:r>
        <w:r>
          <w:tab/>
        </w:r>
        <w:r>
          <w:fldChar w:fldCharType="begin"/>
        </w:r>
        <w:r>
          <w:instrText xml:space="preserve"> PAGEREF _Toc22644 \h </w:instrText>
        </w:r>
        <w:r>
          <w:fldChar w:fldCharType="separate"/>
        </w:r>
        <w:r>
          <w:t>80</w:t>
        </w:r>
        <w:r>
          <w:fldChar w:fldCharType="end"/>
        </w:r>
      </w:hyperlink>
    </w:p>
    <w:p>
      <w:pPr>
        <w:pStyle w:val="TOC2"/>
        <w:tabs>
          <w:tab w:val="right" w:leader="dot" w:pos="8306"/>
        </w:tabs>
      </w:pPr>
      <w:hyperlink w:anchor="_Toc31775" w:history="1">
        <w:r>
          <w:rPr>
            <w:rFonts w:ascii="仿宋" w:eastAsia="仿宋" w:hAnsi="仿宋" w:cs="仿宋" w:hint="eastAsia"/>
            <w:lang w:eastAsia="zh-CN"/>
          </w:rPr>
          <w:t>(二)、变更实施与控制</w:t>
        </w:r>
        <w:r>
          <w:tab/>
        </w:r>
        <w:r>
          <w:fldChar w:fldCharType="begin"/>
        </w:r>
        <w:r>
          <w:instrText xml:space="preserve"> PAGEREF _Toc31775 \h </w:instrText>
        </w:r>
        <w:r>
          <w:fldChar w:fldCharType="separate"/>
        </w:r>
        <w:r>
          <w:t>80</w:t>
        </w:r>
        <w:r>
          <w:fldChar w:fldCharType="end"/>
        </w:r>
      </w:hyperlink>
    </w:p>
    <w:p>
      <w:pPr>
        <w:pStyle w:val="TOC1"/>
        <w:tabs>
          <w:tab w:val="right" w:leader="dot" w:pos="8306"/>
        </w:tabs>
      </w:pPr>
      <w:hyperlink w:anchor="_Toc20581" w:history="1">
        <w:r>
          <w:rPr>
            <w:rFonts w:ascii="仿宋" w:eastAsia="仿宋" w:hAnsi="仿宋" w:cs="仿宋" w:hint="eastAsia"/>
            <w:lang w:eastAsia="zh-CN"/>
          </w:rPr>
          <w:t>十七、有机肥料及微生物肥料项目工程方案分析</w:t>
        </w:r>
        <w:r>
          <w:tab/>
        </w:r>
        <w:r>
          <w:fldChar w:fldCharType="begin"/>
        </w:r>
        <w:r>
          <w:instrText xml:space="preserve"> PAGEREF _Toc20581 \h </w:instrText>
        </w:r>
        <w:r>
          <w:fldChar w:fldCharType="separate"/>
        </w:r>
        <w:r>
          <w:t>81</w:t>
        </w:r>
        <w:r>
          <w:fldChar w:fldCharType="end"/>
        </w:r>
      </w:hyperlink>
    </w:p>
    <w:p>
      <w:pPr>
        <w:pStyle w:val="TOC2"/>
        <w:tabs>
          <w:tab w:val="right" w:leader="dot" w:pos="8306"/>
        </w:tabs>
      </w:pPr>
      <w:hyperlink w:anchor="_Toc26418" w:history="1">
        <w:r>
          <w:rPr>
            <w:rFonts w:ascii="仿宋" w:eastAsia="仿宋" w:hAnsi="仿宋" w:cs="仿宋" w:hint="eastAsia"/>
            <w:lang w:eastAsia="zh-CN"/>
          </w:rPr>
          <w:t>(一)、建筑工程设计原则</w:t>
        </w:r>
        <w:r>
          <w:tab/>
        </w:r>
        <w:r>
          <w:fldChar w:fldCharType="begin"/>
        </w:r>
        <w:r>
          <w:instrText xml:space="preserve"> PAGEREF _Toc26418 \h </w:instrText>
        </w:r>
        <w:r>
          <w:fldChar w:fldCharType="separate"/>
        </w:r>
        <w:r>
          <w:t>81</w:t>
        </w:r>
        <w:r>
          <w:fldChar w:fldCharType="end"/>
        </w:r>
      </w:hyperlink>
    </w:p>
    <w:p>
      <w:pPr>
        <w:pStyle w:val="TOC2"/>
        <w:tabs>
          <w:tab w:val="right" w:leader="dot" w:pos="8306"/>
        </w:tabs>
      </w:pPr>
      <w:hyperlink w:anchor="_Toc13214" w:history="1">
        <w:r>
          <w:rPr>
            <w:rFonts w:ascii="仿宋" w:eastAsia="仿宋" w:hAnsi="仿宋" w:cs="仿宋" w:hint="eastAsia"/>
            <w:lang w:eastAsia="zh-CN"/>
          </w:rPr>
          <w:t>(二)、土建工程建设指标</w:t>
        </w:r>
        <w:r>
          <w:tab/>
        </w:r>
        <w:r>
          <w:fldChar w:fldCharType="begin"/>
        </w:r>
        <w:r>
          <w:instrText xml:space="preserve"> PAGEREF _Toc13214 \h </w:instrText>
        </w:r>
        <w:r>
          <w:fldChar w:fldCharType="separate"/>
        </w:r>
        <w:r>
          <w:t>84</w:t>
        </w:r>
        <w:r>
          <w:fldChar w:fldCharType="end"/>
        </w:r>
      </w:hyperlink>
    </w:p>
    <w:p>
      <w:pPr>
        <w:pStyle w:val="TOC1"/>
        <w:tabs>
          <w:tab w:val="right" w:leader="dot" w:pos="8306"/>
        </w:tabs>
      </w:pPr>
      <w:hyperlink w:anchor="_Toc30930" w:history="1">
        <w:r>
          <w:rPr>
            <w:rFonts w:ascii="仿宋" w:eastAsia="仿宋" w:hAnsi="仿宋" w:cs="仿宋" w:hint="eastAsia"/>
            <w:lang w:eastAsia="zh-CN"/>
          </w:rPr>
          <w:t>十八、质量管理体系</w:t>
        </w:r>
        <w:r>
          <w:tab/>
        </w:r>
        <w:r>
          <w:fldChar w:fldCharType="begin"/>
        </w:r>
        <w:r>
          <w:instrText xml:space="preserve"> PAGEREF _Toc30930 \h </w:instrText>
        </w:r>
        <w:r>
          <w:fldChar w:fldCharType="separate"/>
        </w:r>
        <w:r>
          <w:t>86</w:t>
        </w:r>
        <w:r>
          <w:fldChar w:fldCharType="end"/>
        </w:r>
      </w:hyperlink>
    </w:p>
    <w:p>
      <w:pPr>
        <w:pStyle w:val="TOC2"/>
        <w:tabs>
          <w:tab w:val="right" w:leader="dot" w:pos="8306"/>
        </w:tabs>
      </w:pPr>
      <w:hyperlink w:anchor="_Toc21245" w:history="1">
        <w:r>
          <w:rPr>
            <w:rFonts w:ascii="仿宋" w:eastAsia="仿宋" w:hAnsi="仿宋" w:cs="仿宋" w:hint="eastAsia"/>
            <w:lang w:eastAsia="zh-CN"/>
          </w:rPr>
          <w:t>(一)、质量目标与方针</w:t>
        </w:r>
        <w:r>
          <w:tab/>
        </w:r>
        <w:r>
          <w:fldChar w:fldCharType="begin"/>
        </w:r>
        <w:r>
          <w:instrText xml:space="preserve"> PAGEREF _Toc21245 \h </w:instrText>
        </w:r>
        <w:r>
          <w:fldChar w:fldCharType="separate"/>
        </w:r>
        <w:r>
          <w:t>86</w:t>
        </w:r>
        <w:r>
          <w:fldChar w:fldCharType="end"/>
        </w:r>
      </w:hyperlink>
    </w:p>
    <w:p>
      <w:pPr>
        <w:pStyle w:val="TOC2"/>
        <w:tabs>
          <w:tab w:val="right" w:leader="dot" w:pos="8306"/>
        </w:tabs>
      </w:pPr>
      <w:hyperlink w:anchor="_Toc2968" w:history="1">
        <w:r>
          <w:rPr>
            <w:rFonts w:ascii="仿宋" w:eastAsia="仿宋" w:hAnsi="仿宋" w:cs="仿宋" w:hint="eastAsia"/>
            <w:lang w:eastAsia="zh-CN"/>
          </w:rPr>
          <w:t>(二)、质量管理责任</w:t>
        </w:r>
        <w:r>
          <w:tab/>
        </w:r>
        <w:r>
          <w:fldChar w:fldCharType="begin"/>
        </w:r>
        <w:r>
          <w:instrText xml:space="preserve"> PAGEREF _Toc2968 \h </w:instrText>
        </w:r>
        <w:r>
          <w:fldChar w:fldCharType="separate"/>
        </w:r>
        <w:r>
          <w:t>87</w:t>
        </w:r>
        <w:r>
          <w:fldChar w:fldCharType="end"/>
        </w:r>
      </w:hyperlink>
    </w:p>
    <w:p>
      <w:pPr>
        <w:pStyle w:val="TOC2"/>
        <w:tabs>
          <w:tab w:val="right" w:leader="dot" w:pos="8306"/>
        </w:tabs>
      </w:pPr>
      <w:hyperlink w:anchor="_Toc32545" w:history="1">
        <w:r>
          <w:rPr>
            <w:rFonts w:ascii="仿宋" w:eastAsia="仿宋" w:hAnsi="仿宋" w:cs="仿宋" w:hint="eastAsia"/>
            <w:lang w:eastAsia="zh-CN"/>
          </w:rPr>
          <w:t>(三)、质量管理体系文件</w:t>
        </w:r>
        <w:r>
          <w:tab/>
        </w:r>
        <w:r>
          <w:fldChar w:fldCharType="begin"/>
        </w:r>
        <w:r>
          <w:instrText xml:space="preserve"> PAGEREF _Toc32545 \h </w:instrText>
        </w:r>
        <w:r>
          <w:fldChar w:fldCharType="separate"/>
        </w:r>
        <w:r>
          <w:t>89</w:t>
        </w:r>
        <w:r>
          <w:fldChar w:fldCharType="end"/>
        </w:r>
      </w:hyperlink>
    </w:p>
    <w:p>
      <w:pPr>
        <w:pStyle w:val="TOC2"/>
        <w:tabs>
          <w:tab w:val="right" w:leader="dot" w:pos="8306"/>
        </w:tabs>
      </w:pPr>
      <w:hyperlink w:anchor="_Toc13418" w:history="1">
        <w:r>
          <w:rPr>
            <w:rFonts w:ascii="仿宋" w:eastAsia="仿宋" w:hAnsi="仿宋" w:cs="仿宋" w:hint="eastAsia"/>
            <w:lang w:eastAsia="zh-CN"/>
          </w:rPr>
          <w:t>(四)、质量培训与教育</w:t>
        </w:r>
        <w:r>
          <w:tab/>
        </w:r>
        <w:r>
          <w:fldChar w:fldCharType="begin"/>
        </w:r>
        <w:r>
          <w:instrText xml:space="preserve"> PAGEREF _Toc13418 \h </w:instrText>
        </w:r>
        <w:r>
          <w:fldChar w:fldCharType="separate"/>
        </w:r>
        <w:r>
          <w:t>91</w:t>
        </w:r>
        <w:r>
          <w:fldChar w:fldCharType="end"/>
        </w:r>
      </w:hyperlink>
    </w:p>
    <w:p>
      <w:pPr>
        <w:pStyle w:val="TOC2"/>
        <w:tabs>
          <w:tab w:val="right" w:leader="dot" w:pos="8306"/>
        </w:tabs>
      </w:pPr>
      <w:hyperlink w:anchor="_Toc27923" w:history="1">
        <w:r>
          <w:rPr>
            <w:rFonts w:ascii="仿宋" w:eastAsia="仿宋" w:hAnsi="仿宋" w:cs="仿宋" w:hint="eastAsia"/>
            <w:lang w:eastAsia="zh-CN"/>
          </w:rPr>
          <w:t>(五)、质量审核与评价</w:t>
        </w:r>
        <w:r>
          <w:tab/>
        </w:r>
        <w:r>
          <w:fldChar w:fldCharType="begin"/>
        </w:r>
        <w:r>
          <w:instrText xml:space="preserve"> PAGEREF _Toc27923 \h </w:instrText>
        </w:r>
        <w:r>
          <w:fldChar w:fldCharType="separate"/>
        </w:r>
        <w:r>
          <w:t>92</w:t>
        </w:r>
        <w:r>
          <w:fldChar w:fldCharType="end"/>
        </w:r>
      </w:hyperlink>
    </w:p>
    <w:p>
      <w:pPr>
        <w:pStyle w:val="TOC2"/>
        <w:tabs>
          <w:tab w:val="right" w:leader="dot" w:pos="8306"/>
        </w:tabs>
      </w:pPr>
      <w:hyperlink w:anchor="_Toc24830" w:history="1">
        <w:r>
          <w:rPr>
            <w:rFonts w:ascii="仿宋" w:eastAsia="仿宋" w:hAnsi="仿宋" w:cs="仿宋" w:hint="eastAsia"/>
            <w:lang w:eastAsia="zh-CN"/>
          </w:rPr>
          <w:t>(六)、不符合与纠正措施</w:t>
        </w:r>
        <w:r>
          <w:tab/>
        </w:r>
        <w:r>
          <w:fldChar w:fldCharType="begin"/>
        </w:r>
        <w:r>
          <w:instrText xml:space="preserve"> PAGEREF _Toc24830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95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823"/>
      <w:r>
        <w:rPr>
          <w:rFonts w:ascii="仿宋" w:eastAsia="仿宋" w:hAnsi="仿宋" w:cs="仿宋" w:hint="eastAsia"/>
          <w:lang w:eastAsia="zh-CN"/>
        </w:rPr>
        <w:t>(一)、有机肥料及微生物肥料行业分析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行业一直以来都是市场的关注焦点。行业内的发展趋势、竞争态势以及潜在机会都对有机肥料及微生物肥料项目的推进产生深远的影响。通过深入研究行业的整体概貌，我们将更好地理解行业的核心特征，为有机肥料及微生物肥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肥料及微生物肥料行业，技术一直是推动创新和发展的关键因素。我们将对当前技术趋势进行详尽分析，包括但不限于人工智能、大数据应用、先进制造技术等。这有助于有机肥料及微生物肥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有机肥料及微生物肥料项目成功的基础。我们将对主要竞争对手进行深入研究，包括其市场份额、产品特点、市场定位等。通过全面了解竞争对手的优势和劣势，有机肥料及微生物肥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339"/>
      <w:r>
        <w:rPr>
          <w:rFonts w:ascii="仿宋" w:eastAsia="仿宋" w:hAnsi="仿宋" w:cs="仿宋" w:hint="eastAsia"/>
          <w:sz w:val="28"/>
          <w:lang w:eastAsia="zh-CN"/>
        </w:rPr>
        <w:t>(二)、有机肥料及微生物肥料市场分析预测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有机肥料及微生物肥料市场未来的增长趋势。这包括市场的整体规模、各细分领域的发展趋势等。有机肥料及微生物肥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有机肥料及微生物肥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有机肥料及微生物肥料项目实施过程中需要充分考虑的因素。我们将对市场风险进行全面评估，包括但不限于政策法规风险、市场竞争风险、技术变革风险等。通过对潜在风险的深入分析，有机肥料及微生物肥料项目可以制定相应的风险缓解策略，降低不确定性对有机肥料及微生物肥料项目的影响。</w:t>
      </w:r>
    </w:p>
    <w:p>
      <w:pPr>
        <w:pStyle w:val="Heading1"/>
        <w:ind w:firstLine="560" w:firstLineChars="200"/>
        <w:rPr>
          <w:rFonts w:ascii="仿宋" w:eastAsia="仿宋" w:hAnsi="仿宋" w:cs="仿宋" w:hint="eastAsia"/>
          <w:sz w:val="28"/>
          <w:lang w:eastAsia="zh-CN"/>
        </w:rPr>
      </w:pPr>
      <w:bookmarkStart w:id="5" w:name="_Toc274"/>
      <w:r>
        <w:rPr>
          <w:rFonts w:ascii="仿宋" w:eastAsia="仿宋" w:hAnsi="仿宋" w:cs="仿宋" w:hint="eastAsia"/>
          <w:sz w:val="28"/>
          <w:lang w:eastAsia="zh-CN"/>
        </w:rPr>
        <w:t>二、有机肥料及微生物肥料项目土建工程</w:t>
      </w:r>
      <w:bookmarkEnd w:id="5"/>
    </w:p>
    <w:p>
      <w:pPr>
        <w:pStyle w:val="Heading2"/>
        <w:rPr>
          <w:rFonts w:ascii="仿宋" w:eastAsia="仿宋" w:hAnsi="仿宋" w:cs="仿宋" w:hint="eastAsia"/>
          <w:lang w:eastAsia="zh-CN"/>
        </w:rPr>
      </w:pPr>
      <w:bookmarkStart w:id="6" w:name="_Toc1953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在有机肥料及微生物肥料项目的建筑工程设计中，我们将秉承一系列重要的设计原则，以确保有机肥料及微生物肥料项目建筑在功能、美观、可持续性等方面达到最佳效果。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首要原则是确保建筑的功能性得到最大化的发挥。我们将充分理解有机肥料及微生物肥料项目的实际需求，合理布局各个功能区域，保证建筑在满足业务需求的同时，提供高效的工作环境。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在建筑设计中，我们将综合考虑建设和运营成本。通过精细的经济效益分析，确保设计方案在高效利用资源的同时，对有机肥料及微生物肥料项目的长期盈利能力有积极的贡献。</w:t>
      </w:r>
    </w:p>
    <w:p>
      <w:pPr>
        <w:pStyle w:val="Heading2"/>
        <w:ind w:firstLine="560" w:firstLineChars="200"/>
        <w:rPr>
          <w:rFonts w:ascii="仿宋" w:eastAsia="仿宋" w:hAnsi="仿宋" w:cs="仿宋" w:hint="eastAsia"/>
          <w:sz w:val="28"/>
          <w:lang w:eastAsia="zh-CN"/>
        </w:rPr>
      </w:pPr>
      <w:bookmarkStart w:id="7" w:name="_Toc2807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肥料及微生物肥料项目的土建工程设计中，我们将精准设定设计年限，结合有机肥料及微生物肥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机肥料及微生物肥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865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有机肥料及微生物肥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有机肥料及微生物肥料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有机肥料及微生物肥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631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本期工程有机肥料及微生物肥料项目预计总建筑面积XXX平方米，其中：计容建筑面积XXX平方米，计划建筑工程投资XX万元，占有机肥料及微生物肥料项目总投资的XX%。</w:t>
      </w:r>
    </w:p>
    <w:p>
      <w:pPr>
        <w:pStyle w:val="Heading1"/>
        <w:ind w:firstLine="560" w:firstLineChars="200"/>
        <w:rPr>
          <w:rFonts w:ascii="仿宋" w:eastAsia="仿宋" w:hAnsi="仿宋" w:cs="仿宋" w:hint="eastAsia"/>
          <w:sz w:val="28"/>
          <w:lang w:eastAsia="zh-CN"/>
        </w:rPr>
      </w:pPr>
      <w:bookmarkStart w:id="10" w:name="_Toc10027"/>
      <w:r>
        <w:rPr>
          <w:rFonts w:ascii="仿宋" w:eastAsia="仿宋" w:hAnsi="仿宋" w:cs="仿宋" w:hint="eastAsia"/>
          <w:sz w:val="28"/>
          <w:lang w:eastAsia="zh-CN"/>
        </w:rPr>
        <w:t>三、有机肥料及微生物肥料项目概论</w:t>
      </w:r>
      <w:bookmarkEnd w:id="10"/>
    </w:p>
    <w:p>
      <w:pPr>
        <w:pStyle w:val="Heading2"/>
        <w:rPr>
          <w:rFonts w:ascii="仿宋" w:eastAsia="仿宋" w:hAnsi="仿宋" w:cs="仿宋" w:hint="eastAsia"/>
          <w:lang w:eastAsia="zh-CN"/>
        </w:rPr>
      </w:pPr>
      <w:bookmarkStart w:id="11" w:name="_Toc23423"/>
      <w:r>
        <w:rPr>
          <w:rFonts w:ascii="仿宋" w:eastAsia="仿宋" w:hAnsi="仿宋" w:cs="仿宋" w:hint="eastAsia"/>
          <w:lang w:eastAsia="zh-CN"/>
        </w:rPr>
        <w:t>(一)、有机肥料及微生物肥料项目概况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项目的起源追溯至对市场的深入洞察。市场的不断演变与变革为有机肥料及微生物肥料项目提供了难得的机遇。当前市场存在的需求缺口和变革的大环境共同构成了有机肥料及微生物肥料项目的背景。这个有机肥料及微生物肥料项目旨在充分利用市场机遇，填补行业中尚未满足的需求，为客户提供全新的解决方案。市场的变革和需求的增长使得这个有机肥料及微生物肥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有机肥料及微生物肥料项目名称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项目正式命名为有机肥料及微生物肥料。这个名称不仅仅是一个标识，更代表了有机肥料及微生物肥料项目的核心理念和愿景。它蕴含着有机肥料及微生物肥料项目所要解决问题的关键字，具有强烈的表达和辨识度，为有机肥料及微生物肥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有机肥料及微生物肥料项目目标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项目的核心目标是提供一种全新、高效的解决方案，满足客户日益增长的需求。有机肥料及微生物肥料项目追求的不仅仅是满足市场需求，更是在市场中获得卓越的竞争优势。通过不断提升产品或服务的质量和创新水平，有机肥料及微生物肥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有机肥料及微生物肥料项目范围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项目全面涵盖了产品研发、制造、市场推广和售后服务，确保从产品设计到最终用户体验的全方位关注。这一全面的有机肥料及微生物肥料项目范围是为了确保有机肥料及微生物肥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有机肥料及微生物肥料项目时间表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项目计划在未来18个月内完成，包括研发、测试、市场试点和正式推出等不同阶段。这个时间表的合理设计是为了确保有机肥料及微生物肥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有机肥料及微生物肥料项目预算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项目总预算估算为XX百万美元，主要分配在研发、市场推广、人员培训和运营等方面。这一充足的预算为有机肥料及微生物肥料项目提供了充足的资源，确保有机肥料及微生物肥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有机肥料及微生物肥料项目风险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项目可能面临的风险包括市场接受度低、技术难题、竞争激烈等。有机肥料及微生物肥料项目团队已经制定了相应的风险应对计划，通过前瞻性的风险管理，确保有机肥料及微生物肥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有机肥料及微生物肥料项目团队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项目汇聚了一支经验丰富、多领域专业素养的核心团队，确保有机肥料及微生物肥料项目在各个方面都能拥有高水平的执行力。团队的协同作战是有机肥料及微生物肥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有机肥料及微生物肥料项目背景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有机肥料及微生物肥料项目的背景根植于市场对更高效、创新产品的渴望，同时也受到科技发展对行业格局的深刻改变的影响。这为有机肥料及微生物肥料项目提供了广阔的发展空间和市场需求。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有机肥料及微生物肥料项目现状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截至目前，有机肥料及微生物肥料项目已完成市场调研和技术验证，取得了初步的成功。这为有机肥料及微生物肥料项目在未来的发展奠定了坚实的基础，为更远大的目标打下了坚实的基石。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3156"/>
      <w:r>
        <w:rPr>
          <w:rFonts w:ascii="仿宋" w:eastAsia="仿宋" w:hAnsi="仿宋" w:cs="仿宋" w:hint="eastAsia"/>
          <w:sz w:val="28"/>
          <w:lang w:eastAsia="zh-CN"/>
        </w:rPr>
        <w:t>(二)、有机肥料及微生物肥料项目目标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机肥料及微生物肥料项目首要业务目标是在市场中占据有利地位，实现产品/服务的成功推广和销售。通过不断提升产品质量、创新性，有机肥料及微生物肥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在科技迅速发展的时代，有机肥料及微生物肥料项目着眼于技术创新。通过持续的研发和技术升级，有机肥料及微生物肥料项目旨在推出更具创新性的产品或服务，以满足市场对新鲜、先进解决方案的需求。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机肥料及微生物肥料项目设定了客户满意度目标。通过提供卓越的产品质量和优质的客户服务，有机肥料及微生物肥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有机肥料及微生物肥料项目注重社会责任和可持续发展。通过实施环保、社会责任有机肥料及微生物肥料项目，有机肥料及微生物肥料项目致力于在经济发展的同时保护环境，促进社会公平，实现可持续经营。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有机肥料及微生物肥料项目的团队是实现目标的核心驱动力。因此，有机肥料及微生物肥料项目设定了团队发展目标，包括提升团队成员的专业技能、培养领导力，以及搭建协同高效的团队工作氛围。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0419"/>
      <w:r>
        <w:rPr>
          <w:rFonts w:ascii="仿宋" w:eastAsia="仿宋" w:hAnsi="仿宋" w:cs="仿宋" w:hint="eastAsia"/>
          <w:sz w:val="28"/>
          <w:lang w:eastAsia="zh-CN"/>
        </w:rPr>
        <w:t>(三)、有机肥料及微生物肥料项目提出的理由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有机肥料及微生物肥料项目提出的理由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项目的提出源于对市场机遇的深刻洞察。当前市场中存在的需求缺口和行业发展趋势表明，有巨大的商业机会等待被开发。通过准确捕捉市场机遇，有机肥料及微生物肥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项目的理念基于对技术创新的信仰。通过持续的研发和技术投入，有机肥料及微生物肥料项目有望推出更具创新性的产品或服务。在科技飞速发展的当下，有机肥料及微生物肥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项目的提出是为了增强企业的行业竞争力。通过提升产品或服务的质量和独特性，有机肥料及微生物肥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项目响应了消费者需求的变化。随着社会和科技的不断发展，消费者对产品和服务的需求也在发生变化。通过深入了解并及时回应消费者的新需求，有机肥料及微生物肥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项目的提出是企业战略发展规划的一部分。在面对日益激烈的市场竞争和不断变化的商业环境中，有机肥料及微生物肥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项目的提出不仅仅是基于商业考量，还注重社会责任。通过推出环保、社会责任等方面的有机肥料及微生物肥料项目，有机肥料及微生物肥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项目的提出反映了对利益相关者期望的关注。包括客户、员工、投资者等利益相关者在企业发展中都有着各自的期望，有机肥料及微生物肥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8031"/>
      <w:r>
        <w:rPr>
          <w:rFonts w:ascii="仿宋" w:eastAsia="仿宋" w:hAnsi="仿宋" w:cs="仿宋" w:hint="eastAsia"/>
          <w:sz w:val="28"/>
          <w:lang w:eastAsia="zh-CN"/>
        </w:rPr>
        <w:t>(四)、有机肥料及微生物肥料项目意义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在实施有机肥料及微生物肥料项目的过程中，我们不仅仅是在追逐商业成功，更是为企业和社会的多个层面创造了深远的意义。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肥料及微生物肥料项目的首要意义在于提升企业的市场竞争力。通过持续的创新和对产品质量的高标准要求，有机肥料及微生物肥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有机肥料及微生物肥料项目的推进将促使行业技术水平的提升。通过引入先进技术和创新性解决方案，有机肥料及微生物肥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有机肥料及微生物肥料项目不仅创造了大量就业机会，提高了就业水平，还注重社会责任和环保。通过参与社会公益事业和推动环保有机肥料及微生物肥料项目，有机肥料及微生物肥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综合而言，有机肥料及微生物肥料项目意义重大，不仅推动了企业的发展，也为行业和社会的进步贡献了积极力量。这是一个全面而深刻的影响，将在未来产生可持续的正面效应。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5955"/>
      <w:r>
        <w:rPr>
          <w:rFonts w:ascii="仿宋" w:eastAsia="仿宋" w:hAnsi="仿宋" w:cs="仿宋" w:hint="eastAsia"/>
          <w:sz w:val="28"/>
          <w:lang w:eastAsia="zh-CN"/>
        </w:rPr>
        <w:t>(五)、有机肥料及微生物肥料项目背景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在当今迅猛发展的商业环境中，有机肥料及微生物肥料项目的动因根植于对多方面因素的审慎考量。这个有机肥料及微生物肥料项目的提出并非孤立的决策，而是对企业所处背景深入思考的产物。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有机肥料及微生物肥料项目背后的首要原因。科技的迅速发展和全球市场的快速变化使得企业必须灵活应对。有机肥料及微生物肥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有机肥料及微生物肥料项目背景中不可忽视的一环。企业需要在激烈竞争中脱颖而出，为此，有机肥料及微生物肥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技术的迅速发展为企业带来了机遇与挑战。作为有机肥料及微生物肥料项目启动的背景之一，对新兴技术的应用将有助于提升企业的技术水平，使其在不断演进的商业环境中保持竞争优势。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有机肥料及微生物肥料项目充分融入了社会责任的理念，通过可持续经营和社会公益有机肥料及微生物肥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32177"/>
      <w:r>
        <w:rPr>
          <w:rFonts w:ascii="仿宋" w:eastAsia="仿宋" w:hAnsi="仿宋" w:cs="仿宋" w:hint="eastAsia"/>
          <w:sz w:val="28"/>
          <w:lang w:eastAsia="zh-CN"/>
        </w:rPr>
        <w:t>四、有机肥料及微生物肥料项目选址可行性分析</w:t>
      </w:r>
      <w:bookmarkEnd w:id="16"/>
    </w:p>
    <w:p>
      <w:pPr>
        <w:pStyle w:val="Heading2"/>
        <w:rPr>
          <w:rFonts w:ascii="仿宋" w:eastAsia="仿宋" w:hAnsi="仿宋" w:cs="仿宋" w:hint="eastAsia"/>
          <w:lang w:eastAsia="zh-CN"/>
        </w:rPr>
      </w:pPr>
      <w:bookmarkStart w:id="17" w:name="_Toc6486"/>
      <w:r>
        <w:rPr>
          <w:rFonts w:ascii="仿宋" w:eastAsia="仿宋" w:hAnsi="仿宋" w:cs="仿宋" w:hint="eastAsia"/>
          <w:lang w:eastAsia="zh-CN"/>
        </w:rPr>
        <w:t>(一)、有机肥料及微生物肥料项目选址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该有机肥料及微生物肥料项目选址位于XX省XX市XX区XXX街道</w:t>
      </w:r>
    </w:p>
    <w:p>
      <w:pPr>
        <w:pStyle w:val="Heading2"/>
        <w:ind w:firstLine="560" w:firstLineChars="200"/>
        <w:rPr>
          <w:rFonts w:ascii="仿宋" w:eastAsia="仿宋" w:hAnsi="仿宋" w:cs="仿宋" w:hint="eastAsia"/>
          <w:sz w:val="28"/>
          <w:lang w:eastAsia="zh-CN"/>
        </w:rPr>
      </w:pPr>
      <w:bookmarkStart w:id="18" w:name="_Toc320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有机肥料及微生物肥料项目的征地面积将根据有机肥料及微生物肥料项目的实际规模和需求进行精确规划。具体面积XXX平方米，旨在确保有机肥料及微生物肥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净用地面积是在征地面积基础上去除不可利用面积后的实际可开发用地。具体面积XXX平方米，考虑到环保、交通、安全等多方面因素，以确保有机肥料及微生物肥料项目在整体利用效率上达到最优。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有机肥料及微生物肥料项目计划建设的建筑总规模具体面积XXX平方米。这一规模的确定综合考虑了有机肥料及微生物肥料项目的性质、规模，以及城市规划的相关要求，确保建筑布局与周边环境协调一致。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绿地率是有机肥料及微生物肥料项目用地中被规划为绿地的比例。具体面积XXX平方米，旨在通过合理规划绿地，改善有机肥料及微生物肥料项目周边环境，提升居民生活质量，并符合城市整体绿化规划。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容积率是用地上可以建设的建筑总体积与用地面积之比。具体面积XXX，通过合理的容积率规划，确保有机肥料及微生物肥料项目建筑规模与周边环境和谐共生。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有机肥料及微生物肥料项目选址与当地城市规划相一致，具体面积XXX平方米。通过与城市规划部门深入沟通，确保有机肥料及微生物肥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https://d.book118.com/725133034242011121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有机肥料及微生物肥料项目规划设计方案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有机肥料及微生物肥料项目规划设计方案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有机肥料及微生物肥料项目规划设计方案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有机肥料及微生物肥料项目规划设计方案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有机肥料及微生物肥料项目规划设计方案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有机肥料及微生物肥料项目规划设计方案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有机肥料及微生物肥料项目规划设计方案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有机肥料及微生物肥料项目规划设计方案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有机肥料及微生物肥料项目规划设计方案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有机肥料及微生物肥料项目规划设计方案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有机肥料及微生物肥料项目规划设计方案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有机肥料及微生物肥料项目规划设计方案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有机肥料及微生物肥料项目规划设计方案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有机肥料及微生物肥料项目规划设计方案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有机肥料及微生物肥料项目规划设计方案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有机肥料及微生物肥料项目规划设计方案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有机肥料及微生物肥料项目规划设计方案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0103AF"/>
    <w:rsid w:val="760103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13303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2024-02-29T13:43:00Z</dcterms:created>
  <dcterms:modified xsi:type="dcterms:W3CDTF">2024-02-29T13:43:46Z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FA779C120A52498FB0B3227F4C28574A_11</vt:lpwstr>
  </property>
  <property fmtid="{D5CDD505-2E9C-101B-9397-08002B2CF9AE}" pid="3" name="KSOProductBuildVer">
    <vt:lpwstr>2052-12.1.0.16388</vt:lpwstr>
  </property>
</Properties>
</file>