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391" w:right="253" w:hanging="211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付里叶红外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分光光度计项目可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行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14082188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二、技术方案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、付里叶红外分光光度计项目技术工艺分析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)、付里叶红外分光光度计项目技术流程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、付里叶红外分光光度计项目建设背景及必要性分析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一)、付里叶红外分光光度计项目建设期原辅材料供应情况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付里叶红外分光光度计项目运营期原辅材料供应及质量管理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五、付里叶红外分光光度计项目概论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一)、付里叶红外分光光度计项目承办单位基本情况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)、付里叶红外分光光度计项目概况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)、付里叶红外分光光度计项目评价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)、付里叶红外分光光度计项目风险分析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)、付里叶红外分光光度计项目风险对策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)、社会责任付里叶红外分光光度计项目与计划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02927954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)、付里叶红外分光光度计项目实施保障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72417658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5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、公司治理与法律合规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(一)、公司治理结构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三)、内部控制与审计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十三、付里叶红外分光光度计项目管理与团队协作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一)、付里叶红外分光光度计项目管理方法论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6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)、付里叶红外分光光度计项目计划与进度管理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6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)、付里叶红外分光光度计项目风险管理与应对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6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十五、制度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4"/>
              <w:cols w:space="708"/>
            </w:sect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2651471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5"/>
          <w:cols w:space="708"/>
          <w:titlePg w:val="0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1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项目商业计划书是为了规范付里叶红外分光光度计项目的实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施步骤和计划而</w:t>
      </w:r>
      <w:r>
        <w:rPr>
          <w:rFonts w:ascii="FangSong" w:eastAsia="FangSong" w:hAnsi="FangSong" w:cs="FangSong"/>
          <w:spacing w:val="-4"/>
          <w:sz w:val="28"/>
          <w:szCs w:val="28"/>
        </w:rPr>
        <w:t>编</w:t>
      </w:r>
      <w:r>
        <w:rPr>
          <w:rFonts w:ascii="FangSong" w:eastAsia="FangSong" w:hAnsi="FangSong" w:cs="FangSong"/>
          <w:spacing w:val="-3"/>
          <w:sz w:val="28"/>
          <w:szCs w:val="28"/>
        </w:rPr>
        <w:t>写的。通过详细描述付里叶红外分光光度计项目的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背</w:t>
      </w:r>
      <w:r>
        <w:rPr>
          <w:rFonts w:ascii="FangSong" w:eastAsia="FangSong" w:hAnsi="FangSong" w:cs="FangSong"/>
          <w:spacing w:val="-12"/>
          <w:sz w:val="28"/>
          <w:szCs w:val="28"/>
        </w:rPr>
        <w:t>景和目标，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分析项目的可行性和可行方案，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</w:t>
      </w:r>
      <w:r>
        <w:rPr>
          <w:rFonts w:ascii="FangSong" w:eastAsia="FangSong" w:hAnsi="FangSong" w:cs="FangSong"/>
          <w:spacing w:val="-8"/>
          <w:sz w:val="28"/>
          <w:szCs w:val="28"/>
        </w:rPr>
        <w:t>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本方案旨在为项目相关人员提供一个清晰的指导和参考。请注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意，本方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pacing w:val="-2"/>
          <w:sz w:val="28"/>
          <w:szCs w:val="28"/>
        </w:rPr>
        <w:t>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5" w:lineRule="auto"/>
        <w:ind w:left="34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</w:p>
    <w:p>
      <w:pPr>
        <w:sectPr>
          <w:pgSz w:w="11906" w:h="16839"/>
          <w:pgMar w:top="1431" w:right="1704" w:bottom="0" w:left="1785" w:header="0" w:footer="0" w:gutter="0"/>
          <w:pgNumType w:start="6"/>
          <w:cols w:space="708"/>
        </w:sectPr>
      </w:pPr>
    </w:p>
    <w:p>
      <w:pPr>
        <w:spacing w:before="184" w:line="414" w:lineRule="auto"/>
        <w:ind w:left="32" w:right="102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性时能够做出明智的决策。这些方面的有机结合构建了公司健康的</w:t>
      </w:r>
      <w:r>
        <w:rPr>
          <w:rFonts w:ascii="FangSong" w:eastAsia="FangSong" w:hAnsi="FangSong" w:cs="FangSong"/>
          <w:spacing w:val="-2"/>
          <w:sz w:val="28"/>
          <w:szCs w:val="28"/>
        </w:rPr>
        <w:t>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5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89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</w:p>
    <w:p>
      <w:pPr>
        <w:sectPr>
          <w:pgSz w:w="11906" w:h="16839"/>
          <w:pgMar w:top="1431" w:right="1743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416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</w:p>
    <w:p>
      <w:pPr>
        <w:sectPr>
          <w:pgSz w:w="11906" w:h="16839"/>
          <w:pgMar w:top="1431" w:right="1763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289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4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</w:p>
    <w:p>
      <w:pPr>
        <w:sectPr>
          <w:pgSz w:w="11906" w:h="16839"/>
          <w:pgMar w:top="1431" w:right="160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9" w:right="14" w:hanging="8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4" w:right="95" w:firstLine="57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7" w:line="414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</w:p>
    <w:p>
      <w:pPr>
        <w:sectPr>
          <w:pgSz w:w="11906" w:h="16839"/>
          <w:pgMar w:top="1431" w:right="1704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的竞争力。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(二)、付里叶红外分光光度计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6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33" w:right="280" w:firstLine="555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提供优质产品和服务。保障工艺流程能够满足付里叶红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外</w:t>
      </w:r>
      <w:r>
        <w:rPr>
          <w:rFonts w:ascii="FangSong" w:eastAsia="FangSong" w:hAnsi="FangSong" w:cs="FangSong"/>
          <w:spacing w:val="-12"/>
          <w:sz w:val="28"/>
          <w:szCs w:val="28"/>
        </w:rPr>
        <w:t>分光光度计项目产品要求，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术要求进行操作，提高产品合格率。</w:t>
      </w:r>
    </w:p>
    <w:p>
      <w:pPr>
        <w:spacing w:before="1" w:line="411" w:lineRule="auto"/>
        <w:ind w:left="32" w:right="243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8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三</w:t>
      </w:r>
      <w:r>
        <w:rPr>
          <w:rFonts w:ascii="FangSong" w:eastAsia="FangSong" w:hAnsi="FangSong" w:cs="FangSong"/>
          <w:spacing w:val="-7"/>
          <w:sz w:val="28"/>
          <w:szCs w:val="28"/>
        </w:rPr>
        <w:t>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付里叶红外分光光度计项目建设贯彻“三同时”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原</w:t>
      </w:r>
      <w:r>
        <w:rPr>
          <w:rFonts w:ascii="FangSong" w:eastAsia="FangSong" w:hAnsi="FangSong" w:cs="FangSong"/>
          <w:spacing w:val="-8"/>
          <w:sz w:val="28"/>
          <w:szCs w:val="28"/>
        </w:rPr>
        <w:t>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注重环境保护、职业安全卫生、消防及节能等各项措施的落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实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28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付里</w:t>
      </w:r>
      <w:r>
        <w:rPr>
          <w:rFonts w:ascii="FangSong" w:eastAsia="FangSong" w:hAnsi="FangSong" w:cs="FangSong"/>
          <w:spacing w:val="-13"/>
          <w:sz w:val="28"/>
          <w:szCs w:val="28"/>
        </w:rPr>
        <w:t>叶</w:t>
      </w:r>
      <w:r>
        <w:rPr>
          <w:rFonts w:ascii="FangSong" w:eastAsia="FangSong" w:hAnsi="FangSong" w:cs="FangSong"/>
          <w:spacing w:val="-8"/>
          <w:sz w:val="28"/>
          <w:szCs w:val="28"/>
        </w:rPr>
        <w:t>红外分光光度计项目拟采用国内成熟的生产工艺，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术由生产技术人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3"/>
          <w:sz w:val="28"/>
          <w:szCs w:val="28"/>
        </w:rPr>
        <w:t>和研发技术人员共同制定。所采用的技术具有能耗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低</w:t>
      </w:r>
      <w:r>
        <w:rPr>
          <w:rFonts w:ascii="FangSong" w:eastAsia="FangSong" w:hAnsi="FangSong" w:cs="FangSong"/>
          <w:spacing w:val="-8"/>
          <w:sz w:val="28"/>
          <w:szCs w:val="28"/>
        </w:rPr>
        <w:t>、高质量、高环保性的特点，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所生产的产品已经在国内外市场获得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认</w:t>
      </w:r>
      <w:r>
        <w:rPr>
          <w:rFonts w:ascii="FangSong" w:eastAsia="FangSong" w:hAnsi="FangSong" w:cs="FangSong"/>
          <w:spacing w:val="-12"/>
          <w:sz w:val="28"/>
          <w:szCs w:val="28"/>
        </w:rPr>
        <w:t>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6" w:line="414" w:lineRule="auto"/>
        <w:ind w:left="34" w:right="28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付</w:t>
      </w:r>
      <w:r>
        <w:rPr>
          <w:rFonts w:ascii="FangSong" w:eastAsia="FangSong" w:hAnsi="FangSong" w:cs="FangSong"/>
          <w:spacing w:val="-4"/>
          <w:sz w:val="28"/>
          <w:szCs w:val="28"/>
        </w:rPr>
        <w:t>里叶红外分光光度计项目的技术保障措施从设计、施工、试运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到投产、销售等各个环节，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以确保付里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叶红外分</w:t>
      </w:r>
      <w:r>
        <w:rPr>
          <w:rFonts w:ascii="FangSong" w:eastAsia="FangSong" w:hAnsi="FangSong" w:cs="FangSong"/>
          <w:spacing w:val="5"/>
          <w:sz w:val="28"/>
          <w:szCs w:val="28"/>
        </w:rPr>
        <w:t>光光度计项目在技术开发和生产技术应用上达到现代化生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产水平。这种综合的技术支持将确保付里叶红外分光光度计项目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续发展和高效运营。</w:t>
      </w:r>
    </w:p>
    <w:p>
      <w:pPr>
        <w:sectPr>
          <w:pgSz w:w="11906" w:h="16839"/>
          <w:pgMar w:top="1431" w:right="1520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(三)、付里叶红外分光光度计项目技术流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在付里</w:t>
      </w:r>
      <w:r>
        <w:rPr>
          <w:rFonts w:ascii="FangSong" w:eastAsia="FangSong" w:hAnsi="FangSong" w:cs="FangSong"/>
          <w:spacing w:val="-2"/>
          <w:sz w:val="28"/>
          <w:szCs w:val="28"/>
        </w:rPr>
        <w:t>叶红外分光光度计项目运营中，进行技术持续改进。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33" w:right="10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据分析工具监测和分析付里叶红外分光光度计项目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各环节数据。</w:t>
      </w:r>
    </w:p>
    <w:p>
      <w:pPr>
        <w:spacing w:before="1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7" w:line="418" w:lineRule="auto"/>
        <w:ind w:left="34" w:right="102" w:firstLine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共同构建了高效、稳定的付里叶红外分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光</w:t>
      </w:r>
      <w:r>
        <w:rPr>
          <w:rFonts w:ascii="FangSong" w:eastAsia="FangSong" w:hAnsi="FangSong" w:cs="FangSong"/>
          <w:spacing w:val="-8"/>
          <w:sz w:val="28"/>
          <w:szCs w:val="28"/>
        </w:rPr>
        <w:t>光度计项目技术实施框架，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确保付里叶红外分光光度计项目顺利推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0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40" w:right="10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确</w:t>
      </w:r>
      <w:r>
        <w:rPr>
          <w:rFonts w:ascii="FangSong" w:eastAsia="FangSong" w:hAnsi="FangSong" w:cs="FangSong"/>
          <w:spacing w:val="6"/>
          <w:sz w:val="28"/>
          <w:szCs w:val="28"/>
        </w:rPr>
        <w:t>保选用的设备能够满足付里叶红外分光光度计项目的技术要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4"/>
          <w:sz w:val="28"/>
          <w:szCs w:val="28"/>
        </w:rPr>
        <w:t>，例如：</w:t>
      </w:r>
    </w:p>
    <w:p>
      <w:pPr>
        <w:spacing w:before="2" w:line="220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所</w:t>
      </w:r>
      <w:r>
        <w:rPr>
          <w:rFonts w:ascii="FangSong" w:eastAsia="FangSong" w:hAnsi="FangSong" w:cs="FangSong"/>
          <w:spacing w:val="-8"/>
          <w:sz w:val="28"/>
          <w:szCs w:val="28"/>
        </w:rPr>
        <w:t>选设备与付里叶红外分光光度计项目工艺流程相匹配，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如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1" w:line="411" w:lineRule="auto"/>
        <w:ind w:left="49" w:right="14" w:firstLine="6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确认设备的生产能力是否符合付里叶红外分光光度计项目的</w:t>
      </w:r>
      <w:r>
        <w:rPr>
          <w:rFonts w:ascii="FangSong" w:eastAsia="FangSong" w:hAnsi="FangSong" w:cs="FangSong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需求。</w:t>
      </w:r>
    </w:p>
    <w:p>
      <w:pPr>
        <w:spacing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290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before="1"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90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、付里叶红外分光光度计项目建设背景及必要性分析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ectPr>
          <w:footerReference w:type="default" r:id="rId4"/>
          <w:pgSz w:w="11906" w:h="16839"/>
          <w:pgMar w:top="1431" w:right="1603" w:bottom="2312" w:left="1785" w:header="0" w:footer="1977" w:gutter="0"/>
          <w:pgNumType w:start="19"/>
          <w:cols w:space="708"/>
        </w:sectPr>
      </w:pPr>
    </w:p>
    <w:p>
      <w:pPr>
        <w:spacing w:before="185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5" w:line="414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</w:p>
    <w:p>
      <w:pPr>
        <w:sectPr>
          <w:footerReference w:type="default" r:id="rId5"/>
          <w:pgSz w:w="11906" w:h="16839"/>
          <w:pgMar w:top="1431" w:right="1697" w:bottom="400" w:left="1785" w:header="0" w:footer="0" w:gutter="0"/>
          <w:pgNumType w:start="20"/>
          <w:cols w:space="708"/>
        </w:sectPr>
      </w:pPr>
    </w:p>
    <w:p>
      <w:pPr>
        <w:spacing w:before="183" w:line="220" w:lineRule="auto"/>
        <w:ind w:left="67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6"/>
          <w:sz w:val="28"/>
          <w:szCs w:val="28"/>
        </w:rPr>
        <w:t>了更多的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作和创新机会，共同推动整个行业向前发展。</w:t>
      </w:r>
    </w:p>
    <w:p>
      <w:pPr>
        <w:spacing w:before="290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footerReference w:type="default" r:id="rId6"/>
          <w:pgSz w:w="11906" w:h="16839"/>
          <w:pgMar w:top="1431" w:right="1697" w:bottom="400" w:left="1785" w:header="0" w:footer="0" w:gutter="0"/>
          <w:pgNumType w:start="21"/>
          <w:cols w:space="708"/>
        </w:sectPr>
      </w:pPr>
    </w:p>
    <w:p>
      <w:pPr>
        <w:spacing w:before="245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一)、付里叶红外分光光度计项目建设期原辅材料供应情况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在付</w:t>
      </w:r>
      <w:r>
        <w:rPr>
          <w:rFonts w:ascii="FangSong" w:eastAsia="FangSong" w:hAnsi="FangSong" w:cs="FangSong"/>
          <w:spacing w:val="-15"/>
          <w:sz w:val="28"/>
          <w:szCs w:val="28"/>
        </w:rPr>
        <w:t>里</w:t>
      </w:r>
      <w:r>
        <w:rPr>
          <w:rFonts w:ascii="FangSong" w:eastAsia="FangSong" w:hAnsi="FangSong" w:cs="FangSong"/>
          <w:spacing w:val="-8"/>
          <w:sz w:val="28"/>
          <w:szCs w:val="28"/>
        </w:rPr>
        <w:t>叶红外分光光度计项目的建设和运营过程中，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供应是确保工程顺</w:t>
      </w:r>
      <w:r>
        <w:rPr>
          <w:rFonts w:ascii="FangSong" w:eastAsia="FangSong" w:hAnsi="FangSong" w:cs="FangSong"/>
          <w:spacing w:val="-3"/>
          <w:sz w:val="28"/>
          <w:szCs w:val="28"/>
        </w:rPr>
        <w:t>利进行和产品质量稳定的重要环节。本章将详细探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讨付里叶红外分光光</w:t>
      </w:r>
      <w:r>
        <w:rPr>
          <w:rFonts w:ascii="FangSong" w:eastAsia="FangSong" w:hAnsi="FangSong" w:cs="FangSong"/>
          <w:spacing w:val="-2"/>
          <w:sz w:val="28"/>
          <w:szCs w:val="28"/>
        </w:rPr>
        <w:t>度计项目建设期和运营期的原辅材料供应情况，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5"/>
          <w:sz w:val="28"/>
          <w:szCs w:val="28"/>
        </w:rPr>
        <w:t>及</w:t>
      </w:r>
      <w:r>
        <w:rPr>
          <w:rFonts w:ascii="FangSong" w:eastAsia="FangSong" w:hAnsi="FangSong" w:cs="FangSong"/>
          <w:spacing w:val="-4"/>
          <w:sz w:val="28"/>
          <w:szCs w:val="28"/>
        </w:rPr>
        <w:t>相关的质量管理措施。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付里叶红外分光光度计项目</w:t>
      </w:r>
      <w:r>
        <w:rPr>
          <w:rFonts w:ascii="FangSong" w:eastAsia="FangSong" w:hAnsi="FangSong" w:cs="FangSong"/>
          <w:sz w:val="28"/>
          <w:szCs w:val="28"/>
        </w:rPr>
        <w:t>建设期原辅材料供应情况</w:t>
      </w:r>
    </w:p>
    <w:p>
      <w:pPr>
        <w:spacing w:before="292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在付</w:t>
      </w:r>
      <w:r>
        <w:rPr>
          <w:rFonts w:ascii="FangSong" w:eastAsia="FangSong" w:hAnsi="FangSong" w:cs="FangSong"/>
          <w:spacing w:val="-15"/>
          <w:sz w:val="28"/>
          <w:szCs w:val="28"/>
        </w:rPr>
        <w:t>里</w:t>
      </w:r>
      <w:r>
        <w:rPr>
          <w:rFonts w:ascii="FangSong" w:eastAsia="FangSong" w:hAnsi="FangSong" w:cs="FangSong"/>
          <w:spacing w:val="-8"/>
          <w:sz w:val="28"/>
          <w:szCs w:val="28"/>
        </w:rPr>
        <w:t>叶红外分光光度计项目建设期间，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工程进度和质量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3"/>
          <w:sz w:val="28"/>
          <w:szCs w:val="28"/>
        </w:rPr>
        <w:t>着直接的影响。下面是付里叶红外分光光度计项目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建设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原辅材料供应情况的主要内容：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3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3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1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36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9" w:line="220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</w:p>
    <w:p>
      <w:pPr>
        <w:sectPr>
          <w:footerReference w:type="default" r:id="rId7"/>
          <w:pgSz w:w="11906" w:h="16839"/>
          <w:pgMar w:top="1431" w:right="1763" w:bottom="400" w:left="1785" w:header="0" w:footer="0" w:gutter="0"/>
          <w:pgNumType w:start="22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22" w:lineRule="auto"/>
        <w:ind w:left="34" w:right="15" w:firstLine="598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)、付里叶红外分光光度计项目运营期原辅材料供应及质量管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理</w:t>
      </w:r>
    </w:p>
    <w:p>
      <w:pPr>
        <w:spacing w:before="228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付里</w:t>
      </w:r>
      <w:r>
        <w:rPr>
          <w:rFonts w:ascii="FangSong" w:eastAsia="FangSong" w:hAnsi="FangSong" w:cs="FangSong"/>
          <w:spacing w:val="-13"/>
          <w:sz w:val="28"/>
          <w:szCs w:val="28"/>
        </w:rPr>
        <w:t>叶</w:t>
      </w:r>
      <w:r>
        <w:rPr>
          <w:rFonts w:ascii="FangSong" w:eastAsia="FangSong" w:hAnsi="FangSong" w:cs="FangSong"/>
          <w:spacing w:val="-8"/>
          <w:sz w:val="28"/>
          <w:szCs w:val="28"/>
        </w:rPr>
        <w:t>红外分光光度计项目进入运营期后，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和质量管理同样</w:t>
      </w:r>
      <w:r>
        <w:rPr>
          <w:rFonts w:ascii="FangSong" w:eastAsia="FangSong" w:hAnsi="FangSong" w:cs="FangSong"/>
          <w:spacing w:val="-5"/>
          <w:sz w:val="28"/>
          <w:szCs w:val="28"/>
        </w:rPr>
        <w:t>至</w:t>
      </w:r>
      <w:r>
        <w:rPr>
          <w:rFonts w:ascii="FangSong" w:eastAsia="FangSong" w:hAnsi="FangSong" w:cs="FangSong"/>
          <w:spacing w:val="-3"/>
          <w:sz w:val="28"/>
          <w:szCs w:val="28"/>
        </w:rPr>
        <w:t>关重要。下面是付里叶红外分光光度计项目运营期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</w:t>
      </w:r>
      <w:r>
        <w:rPr>
          <w:rFonts w:ascii="FangSong" w:eastAsia="FangSong" w:hAnsi="FangSong" w:cs="FangSong"/>
          <w:spacing w:val="-5"/>
          <w:sz w:val="28"/>
          <w:szCs w:val="28"/>
        </w:rPr>
        <w:t>材</w:t>
      </w:r>
      <w:r>
        <w:rPr>
          <w:rFonts w:ascii="FangSong" w:eastAsia="FangSong" w:hAnsi="FangSong" w:cs="FangSong"/>
          <w:spacing w:val="-4"/>
          <w:sz w:val="28"/>
          <w:szCs w:val="28"/>
        </w:rPr>
        <w:t>料供应及质量管理的关键方面：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90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ectPr>
          <w:footerReference w:type="default" r:id="rId8"/>
          <w:pgSz w:w="11906" w:h="16839"/>
          <w:pgMar w:top="1431" w:right="1785" w:bottom="400" w:left="1785" w:header="0" w:footer="0" w:gutter="0"/>
          <w:pgNumType w:start="23"/>
          <w:cols w:space="708"/>
        </w:sectPr>
      </w:pPr>
    </w:p>
    <w:p>
      <w:pPr>
        <w:spacing w:before="245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五、付里叶红外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分光光度计项目概论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(一)、付里叶红外分光光度计项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、付里叶红外分光光度计项目概况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付里</w:t>
      </w:r>
      <w:r>
        <w:rPr>
          <w:rFonts w:ascii="FangSong" w:eastAsia="FangSong" w:hAnsi="FangSong" w:cs="FangSong"/>
          <w:spacing w:val="-7"/>
          <w:sz w:val="28"/>
          <w:szCs w:val="28"/>
        </w:rPr>
        <w:t>叶</w:t>
      </w:r>
      <w:r>
        <w:rPr>
          <w:rFonts w:ascii="FangSong" w:eastAsia="FangSong" w:hAnsi="FangSong" w:cs="FangSong"/>
          <w:spacing w:val="-5"/>
          <w:sz w:val="28"/>
          <w:szCs w:val="28"/>
        </w:rPr>
        <w:t>红外分光光度计项目名称：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付里叶红外分光光度计项目</w:t>
      </w:r>
    </w:p>
    <w:p>
      <w:pPr>
        <w:spacing w:before="289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付</w:t>
      </w:r>
      <w:r>
        <w:rPr>
          <w:rFonts w:ascii="FangSong" w:eastAsia="FangSong" w:hAnsi="FangSong" w:cs="FangSong"/>
          <w:spacing w:val="-12"/>
          <w:sz w:val="28"/>
          <w:szCs w:val="28"/>
        </w:rPr>
        <w:t>里</w:t>
      </w:r>
      <w:r>
        <w:rPr>
          <w:rFonts w:ascii="FangSong" w:eastAsia="FangSong" w:hAnsi="FangSong" w:cs="FangSong"/>
          <w:spacing w:val="-7"/>
          <w:sz w:val="28"/>
          <w:szCs w:val="28"/>
        </w:rPr>
        <w:t>叶红外分光光度计项目类型：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制造业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付</w:t>
      </w:r>
      <w:r>
        <w:rPr>
          <w:rFonts w:ascii="FangSong" w:eastAsia="FangSong" w:hAnsi="FangSong" w:cs="FangSong"/>
          <w:spacing w:val="-14"/>
          <w:sz w:val="28"/>
          <w:szCs w:val="28"/>
        </w:rPr>
        <w:t>里</w:t>
      </w:r>
      <w:r>
        <w:rPr>
          <w:rFonts w:ascii="FangSong" w:eastAsia="FangSong" w:hAnsi="FangSong" w:cs="FangSong"/>
          <w:spacing w:val="-12"/>
          <w:sz w:val="28"/>
          <w:szCs w:val="28"/>
        </w:rPr>
        <w:t>叶红外分光光度计项目地点：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区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付里叶红外分光光度计项目规模：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投资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10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</w:t>
      </w:r>
    </w:p>
    <w:sdt>
      <w:sdtPr>
        <w:rPr>
          <w:rFonts w:ascii="Arial" w:eastAsia="Arial" w:hAnsi="Arial" w:cs="Arial"/>
          <w:sz w:val="21"/>
          <w:szCs w:val="21"/>
        </w:rPr>
        <w:id w:val="751809459"/>
        <w:docPartObj>
          <w:docPartGallery w:val="Table of Contents"/>
          <w:docPartUnique/>
        </w:docPartObj>
      </w:sdtPr>
      <w:sdtEndPr>
        <w:rPr>
          <w:rFonts w:ascii="FangSong" w:eastAsia="FangSong" w:hAnsi="FangSong" w:cs="FangSong"/>
          <w:sz w:val="28"/>
          <w:szCs w:val="28"/>
        </w:rPr>
      </w:sdtEndPr>
      <w:sdtContent>
        <w:p>
          <w:pPr>
            <w:spacing w:before="287" w:line="222" w:lineRule="auto"/>
            <w:ind w:left="37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13"/>
              <w:sz w:val="28"/>
              <w:szCs w:val="28"/>
            </w:rPr>
            <w:t>元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，占地面积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平方米</w:t>
          </w:r>
        </w:p>
        <w:p>
          <w:pPr>
            <w:spacing w:before="287" w:line="222" w:lineRule="auto"/>
            <w:ind w:left="592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18"/>
              <w:sz w:val="28"/>
              <w:szCs w:val="28"/>
            </w:rPr>
            <w:t>付里</w:t>
          </w:r>
          <w:r>
            <w:rPr>
              <w:rFonts w:ascii="FangSong" w:eastAsia="FangSong" w:hAnsi="FangSong" w:cs="FangSong"/>
              <w:spacing w:val="-14"/>
              <w:sz w:val="28"/>
              <w:szCs w:val="28"/>
            </w:rPr>
            <w:t>叶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>红外分光光度计项目周期：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>建设期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>个月，运营期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>XX</w:t>
          </w:r>
        </w:p>
      </w:sdtContent>
    </w:sdt>
    <w:p>
      <w:pPr>
        <w:spacing w:before="287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年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付里叶红外分光光度计项目背景：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付里叶红外分光光度计项</w:t>
      </w:r>
      <w:r>
        <w:rPr>
          <w:rFonts w:ascii="FangSong" w:eastAsia="FangSong" w:hAnsi="FangSong" w:cs="FangSong"/>
          <w:spacing w:val="-1"/>
          <w:sz w:val="28"/>
          <w:szCs w:val="28"/>
        </w:rPr>
        <w:t>目</w:t>
      </w:r>
    </w:p>
    <w:p>
      <w:pPr>
        <w:sectPr>
          <w:footerReference w:type="default" r:id="rId9"/>
          <w:pgSz w:w="11906" w:h="16839"/>
          <w:pgMar w:top="1431" w:right="1697" w:bottom="400" w:left="1785" w:header="0" w:footer="0" w:gutter="0"/>
          <w:pgNumType w:start="24"/>
          <w:cols w:space="708"/>
        </w:sectPr>
      </w:pPr>
    </w:p>
    <w:p>
      <w:pPr>
        <w:spacing w:before="183" w:line="219" w:lineRule="auto"/>
        <w:ind w:left="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的</w:t>
      </w:r>
      <w:r>
        <w:rPr>
          <w:rFonts w:ascii="FangSong" w:eastAsia="FangSong" w:hAnsi="FangSong" w:cs="FangSong"/>
          <w:spacing w:val="-18"/>
          <w:sz w:val="28"/>
          <w:szCs w:val="28"/>
        </w:rPr>
        <w:t>建</w:t>
      </w:r>
      <w:r>
        <w:rPr>
          <w:rFonts w:ascii="FangSong" w:eastAsia="FangSong" w:hAnsi="FangSong" w:cs="FangSong"/>
          <w:spacing w:val="-10"/>
          <w:sz w:val="28"/>
          <w:szCs w:val="28"/>
        </w:rPr>
        <w:t>设旨在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领域带来新的发展机遇。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、付里叶红外分光光度计项目评价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该付里叶红外分光光度计项目处于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景广阔，有望在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9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里叶红外分光光度</w:t>
      </w:r>
      <w:r>
        <w:rPr>
          <w:rFonts w:ascii="FangSong" w:eastAsia="FangSong" w:hAnsi="FangSong" w:cs="FangSong"/>
          <w:spacing w:val="-2"/>
          <w:sz w:val="28"/>
          <w:szCs w:val="28"/>
        </w:rPr>
        <w:t>计项目具备较高的实施可行性。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ectPr>
          <w:footerReference w:type="default" r:id="rId10"/>
          <w:pgSz w:w="11906" w:h="16839"/>
          <w:pgMar w:top="1431" w:right="1785" w:bottom="400" w:left="1785" w:header="0" w:footer="0" w:gutter="0"/>
          <w:pgNumType w:start="25"/>
          <w:cols w:space="708"/>
        </w:sectPr>
      </w:pPr>
    </w:p>
    <w:p>
      <w:pPr>
        <w:spacing w:before="245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)、付里叶红外分光光度计项目风险分析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受市场变化和竞争压力的影响，付里叶红外分光光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度计项目面临市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需求波动和竞争加剧的风险。这可能导致销售额下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降，影响付</w:t>
      </w:r>
      <w:r>
        <w:rPr>
          <w:rFonts w:ascii="FangSong" w:eastAsia="FangSong" w:hAnsi="FangSong" w:cs="FangSong"/>
          <w:spacing w:val="-2"/>
          <w:sz w:val="28"/>
          <w:szCs w:val="28"/>
        </w:rPr>
        <w:t>里叶红外分光光度计项目的盈利能力。</w:t>
      </w:r>
    </w:p>
    <w:p>
      <w:pPr>
        <w:spacing w:before="1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技术方面的不确定性可能导致付里叶红外分光光</w:t>
      </w:r>
      <w:r>
        <w:rPr>
          <w:rFonts w:ascii="FangSong" w:eastAsia="FangSong" w:hAnsi="FangSong" w:cs="FangSong"/>
          <w:spacing w:val="-2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计项目进度延误</w:t>
      </w:r>
      <w:r>
        <w:rPr>
          <w:rFonts w:ascii="FangSong" w:eastAsia="FangSong" w:hAnsi="FangSong" w:cs="FangSong"/>
          <w:spacing w:val="-5"/>
          <w:sz w:val="28"/>
          <w:szCs w:val="28"/>
        </w:rPr>
        <w:t>或</w:t>
      </w:r>
      <w:r>
        <w:rPr>
          <w:rFonts w:ascii="FangSong" w:eastAsia="FangSong" w:hAnsi="FangSong" w:cs="FangSong"/>
          <w:spacing w:val="-3"/>
          <w:sz w:val="28"/>
          <w:szCs w:val="28"/>
        </w:rPr>
        <w:t>成本增加。新技术的引入或技术问题的发生可能对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付里叶</w:t>
      </w:r>
      <w:r>
        <w:rPr>
          <w:rFonts w:ascii="FangSong" w:eastAsia="FangSong" w:hAnsi="FangSong" w:cs="FangSong"/>
          <w:spacing w:val="-2"/>
          <w:sz w:val="28"/>
          <w:szCs w:val="28"/>
        </w:rPr>
        <w:t>红外分光光度计项目的顺利进行产生负面影响。</w:t>
      </w:r>
    </w:p>
    <w:p>
      <w:pPr>
        <w:spacing w:before="2" w:line="411" w:lineRule="auto"/>
        <w:ind w:left="39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政府政策和法规的变化可能对付里叶红外分</w:t>
      </w:r>
      <w:r>
        <w:rPr>
          <w:rFonts w:ascii="FangSong" w:eastAsia="FangSong" w:hAnsi="FangSong" w:cs="FangSong"/>
          <w:spacing w:val="-2"/>
          <w:sz w:val="28"/>
          <w:szCs w:val="28"/>
        </w:rPr>
        <w:t>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光度计项目产生重大影响。不符合环保、安全等法规要求可能导致付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里叶红外分</w:t>
      </w:r>
      <w:r>
        <w:rPr>
          <w:rFonts w:ascii="FangSong" w:eastAsia="FangSong" w:hAnsi="FangSong" w:cs="FangSong"/>
          <w:spacing w:val="-2"/>
          <w:sz w:val="28"/>
          <w:szCs w:val="28"/>
        </w:rPr>
        <w:t>光光度计项目的停工或罚款，增加经济成本。</w:t>
      </w:r>
    </w:p>
    <w:p>
      <w:pPr>
        <w:spacing w:before="2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资金紧张或融资渠道受限可能导致付里叶红外分光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光度计项目无法按计划进行。汇率波动和利率上升也可能对付里叶</w:t>
      </w:r>
      <w:r>
        <w:rPr>
          <w:rFonts w:ascii="FangSong" w:eastAsia="FangSong" w:hAnsi="FangSong" w:cs="FangSong"/>
          <w:sz w:val="28"/>
          <w:szCs w:val="28"/>
        </w:rPr>
        <w:t>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外分光光度</w:t>
      </w:r>
      <w:r>
        <w:rPr>
          <w:rFonts w:ascii="FangSong" w:eastAsia="FangSong" w:hAnsi="FangSong" w:cs="FangSong"/>
          <w:spacing w:val="-3"/>
          <w:sz w:val="28"/>
          <w:szCs w:val="28"/>
        </w:rPr>
        <w:t>计</w:t>
      </w:r>
      <w:r>
        <w:rPr>
          <w:rFonts w:ascii="FangSong" w:eastAsia="FangSong" w:hAnsi="FangSong" w:cs="FangSong"/>
          <w:spacing w:val="-2"/>
          <w:sz w:val="28"/>
          <w:szCs w:val="28"/>
        </w:rPr>
        <w:t>项目的资金需求和成本造成不利影响。</w:t>
      </w:r>
    </w:p>
    <w:p>
      <w:pPr>
        <w:spacing w:before="1" w:line="415" w:lineRule="auto"/>
        <w:ind w:left="39" w:right="14" w:firstLine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地震、洪水等自然灾害可能对付里叶红外分光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光</w:t>
      </w:r>
      <w:r>
        <w:rPr>
          <w:rFonts w:ascii="FangSong" w:eastAsia="FangSong" w:hAnsi="FangSong" w:cs="FangSong"/>
          <w:spacing w:val="-16"/>
          <w:sz w:val="28"/>
          <w:szCs w:val="28"/>
        </w:rPr>
        <w:t>度</w:t>
      </w:r>
      <w:r>
        <w:rPr>
          <w:rFonts w:ascii="FangSong" w:eastAsia="FangSong" w:hAnsi="FangSong" w:cs="FangSong"/>
          <w:spacing w:val="-12"/>
          <w:sz w:val="28"/>
          <w:szCs w:val="28"/>
        </w:rPr>
        <w:t>计项目区域产生负面影响，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损坏设施、影响生产，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增加恢复和修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复的成本。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(二)、付里叶红外分光光度计项目风险对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策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416" w:lineRule="auto"/>
        <w:ind w:left="39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我们旨在最大程度地降低付里叶红外分</w:t>
      </w:r>
      <w:r>
        <w:rPr>
          <w:rFonts w:ascii="FangSong" w:eastAsia="FangSong" w:hAnsi="FangSong" w:cs="FangSong"/>
          <w:spacing w:val="-7"/>
          <w:sz w:val="28"/>
          <w:szCs w:val="28"/>
        </w:rPr>
        <w:t>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光</w:t>
      </w:r>
      <w:r>
        <w:rPr>
          <w:rFonts w:ascii="FangSong" w:eastAsia="FangSong" w:hAnsi="FangSong" w:cs="FangSong"/>
          <w:spacing w:val="-12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计项目面临的各种风险，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确保付里叶红外分光光度计项目能够在</w:t>
      </w:r>
    </w:p>
    <w:p>
      <w:pPr>
        <w:sectPr>
          <w:footerReference w:type="default" r:id="rId11"/>
          <w:pgSz w:w="11906" w:h="16839"/>
          <w:pgMar w:top="1431" w:right="1785" w:bottom="400" w:left="1785" w:header="0" w:footer="0" w:gutter="0"/>
          <w:pgNumType w:start="26"/>
          <w:cols w:space="708"/>
        </w:sectPr>
      </w:pPr>
    </w:p>
    <w:p>
      <w:pPr>
        <w:spacing w:before="183" w:line="219" w:lineRule="auto"/>
        <w:ind w:left="45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5"/>
          <w:sz w:val="28"/>
          <w:szCs w:val="28"/>
        </w:rPr>
        <w:t>复杂多变的环境中稳健前行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92" w:line="411" w:lineRule="auto"/>
        <w:ind w:left="6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1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在付里叶红外分光光度计项目开始前进行充</w:t>
      </w:r>
      <w:r>
        <w:rPr>
          <w:rFonts w:ascii="FangSong" w:eastAsia="FangSong" w:hAnsi="FangSong" w:cs="FangSong"/>
          <w:spacing w:val="-2"/>
          <w:sz w:val="28"/>
          <w:szCs w:val="28"/>
        </w:rPr>
        <w:t>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技术可行性研究，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建立技术风险监测和解决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机制，确</w:t>
      </w:r>
      <w:r>
        <w:rPr>
          <w:rFonts w:ascii="FangSong" w:eastAsia="FangSong" w:hAnsi="FangSong" w:cs="FangSong"/>
          <w:spacing w:val="-2"/>
          <w:sz w:val="28"/>
          <w:szCs w:val="28"/>
        </w:rPr>
        <w:t>保付里叶红外分光光度计项目按计划进行。</w:t>
      </w:r>
    </w:p>
    <w:p>
      <w:pPr>
        <w:spacing w:before="2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降低法规变更对付里叶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红外分</w:t>
      </w:r>
      <w:r>
        <w:rPr>
          <w:rFonts w:ascii="FangSong" w:eastAsia="FangSong" w:hAnsi="FangSong" w:cs="FangSong"/>
          <w:spacing w:val="-3"/>
          <w:sz w:val="28"/>
          <w:szCs w:val="28"/>
        </w:rPr>
        <w:t>光光度计项目的不利影响。</w:t>
      </w:r>
    </w:p>
    <w:p>
      <w:pPr>
        <w:spacing w:before="1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1" w:line="415" w:lineRule="auto"/>
        <w:ind w:left="31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付里叶红外分光光度计项目因不可抗力而受到的损失，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确保付里叶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红</w:t>
      </w:r>
      <w:r>
        <w:rPr>
          <w:rFonts w:ascii="FangSong" w:eastAsia="FangSong" w:hAnsi="FangSong" w:cs="FangSong"/>
          <w:spacing w:val="-4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分光光度计项目的可持续运营。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七、社会责任与可持续发展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88" w:line="415" w:lineRule="auto"/>
        <w:ind w:left="32" w:right="2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ectPr>
          <w:footerReference w:type="default" r:id="rId12"/>
          <w:pgSz w:w="11906" w:h="16839"/>
          <w:pgMar w:top="1431" w:right="1718" w:bottom="400" w:left="1785" w:header="0" w:footer="0" w:gutter="0"/>
          <w:pgNumType w:start="27"/>
          <w:cols w:space="708"/>
        </w:sectPr>
      </w:pPr>
    </w:p>
    <w:p>
      <w:pPr>
        <w:spacing w:before="183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8" w:line="411" w:lineRule="auto"/>
        <w:ind w:left="32" w:right="1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社会责任付里叶红外分光光度计项目与计</w:t>
      </w:r>
      <w:r>
        <w:rPr>
          <w:rFonts w:ascii="FangSong" w:eastAsia="FangSong" w:hAnsi="FangSong" w:cs="FangSong"/>
          <w:sz w:val="28"/>
          <w:szCs w:val="28"/>
        </w:rPr>
        <w:t>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(二)、社会责任付里叶红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外分光光度计项目与计划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before="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</w:t>
      </w:r>
      <w:r>
        <w:rPr>
          <w:rFonts w:ascii="FangSong" w:eastAsia="FangSong" w:hAnsi="FangSong" w:cs="FangSong"/>
          <w:spacing w:val="-1"/>
          <w:sz w:val="28"/>
          <w:szCs w:val="28"/>
        </w:rPr>
        <w:t>付里叶红外分光光度计项目</w:t>
      </w:r>
    </w:p>
    <w:p>
      <w:pPr>
        <w:spacing w:before="290" w:line="411" w:lineRule="auto"/>
        <w:ind w:left="33" w:right="189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与</w:t>
      </w:r>
      <w:r>
        <w:rPr>
          <w:rFonts w:ascii="FangSong" w:eastAsia="FangSong" w:hAnsi="FangSong" w:cs="FangSong"/>
          <w:spacing w:val="-9"/>
          <w:sz w:val="28"/>
          <w:szCs w:val="28"/>
        </w:rPr>
        <w:t>社区建立合作伙伴关系，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开展扶贫帮困付里叶红外分光光度计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，提供就业机会、职业培训，改善当地居民生活条件。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417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投资于社区环境改善付里叶红外分光光度计项目，包括植树造林、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垃圾分类与处理</w:t>
      </w:r>
      <w:r>
        <w:rPr>
          <w:rFonts w:ascii="FangSong" w:eastAsia="FangSong" w:hAnsi="FangSong" w:cs="FangSong"/>
          <w:spacing w:val="-2"/>
          <w:sz w:val="28"/>
          <w:szCs w:val="28"/>
        </w:rPr>
        <w:t>等，提升社区居民的生活质量。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18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before="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ectPr>
          <w:footerReference w:type="default" r:id="rId13"/>
          <w:pgSz w:w="11906" w:h="16839"/>
          <w:pgMar w:top="1431" w:right="1610" w:bottom="40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7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89" w:line="411" w:lineRule="auto"/>
        <w:ind w:left="35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9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pacing w:before="289" w:line="417" w:lineRule="auto"/>
        <w:ind w:left="35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6"/>
          <w:sz w:val="28"/>
          <w:szCs w:val="28"/>
        </w:rPr>
        <w:t>度开采和浪费。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、社会公益与慈善活动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</w:t>
      </w:r>
      <w:r>
        <w:rPr>
          <w:rFonts w:ascii="FangSong" w:eastAsia="FangSong" w:hAnsi="FangSong" w:cs="FangSong"/>
          <w:spacing w:val="-1"/>
          <w:sz w:val="28"/>
          <w:szCs w:val="28"/>
        </w:rPr>
        <w:t>公益付里叶红外分光光度计项目</w:t>
      </w:r>
    </w:p>
    <w:p>
      <w:pPr>
        <w:spacing w:before="289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积极参与社会公益付里叶红外分光光度计项目，支持公益组</w:t>
      </w:r>
      <w:r>
        <w:rPr>
          <w:rFonts w:ascii="FangSong" w:eastAsia="FangSong" w:hAnsi="FangSong" w:cs="FangSong"/>
          <w:spacing w:val="-1"/>
          <w:sz w:val="28"/>
          <w:szCs w:val="28"/>
        </w:rPr>
        <w:t>织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投入力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改善社会问题，如灾害救助、健康医疗等。</w:t>
      </w:r>
    </w:p>
    <w:p>
      <w:pPr>
        <w:spacing w:line="222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慈善捐赠</w:t>
      </w:r>
    </w:p>
    <w:p>
      <w:pPr>
        <w:sectPr>
          <w:footerReference w:type="default" r:id="rId14"/>
          <w:pgSz w:w="11906" w:h="16839"/>
          <w:pgMar w:top="1431" w:right="1763" w:bottom="400" w:left="1785" w:header="0" w:footer="0" w:gutter="0"/>
          <w:pgNumType w:start="29"/>
          <w:cols w:space="708"/>
        </w:sectPr>
      </w:pPr>
    </w:p>
    <w:p>
      <w:pPr>
        <w:spacing w:before="184" w:line="411" w:lineRule="auto"/>
        <w:ind w:left="38" w:right="14" w:firstLine="553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7"/>
          <w:sz w:val="28"/>
          <w:szCs w:val="28"/>
        </w:rPr>
        <w:t>立慈善基金，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进行定期的慈善捐赠，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关爱弱势群体，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促进社会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平与公正。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志</w:t>
      </w:r>
      <w:r>
        <w:rPr>
          <w:rFonts w:ascii="FangSong" w:eastAsia="FangSong" w:hAnsi="FangSong" w:cs="FangSong"/>
          <w:spacing w:val="-4"/>
          <w:sz w:val="28"/>
          <w:szCs w:val="28"/>
        </w:rPr>
        <w:t>愿者服务</w:t>
      </w:r>
    </w:p>
    <w:p>
      <w:pPr>
        <w:spacing w:before="285" w:line="417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鼓励员工积极参与志愿者服务，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为社区和社会提供力所能及的</w:t>
      </w:r>
      <w:r>
        <w:rPr>
          <w:rFonts w:ascii="FangSong" w:eastAsia="FangSong" w:hAnsi="FangSong" w:cs="FangSong"/>
          <w:spacing w:val="-4"/>
          <w:sz w:val="28"/>
          <w:szCs w:val="28"/>
        </w:rPr>
        <w:t>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6"/>
          <w:sz w:val="28"/>
          <w:szCs w:val="28"/>
        </w:rPr>
        <w:t>，传递正能量。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19" w:lineRule="auto"/>
        <w:rPr>
          <w:rFonts w:ascii="Arial"/>
          <w:sz w:val="21"/>
        </w:rPr>
      </w:pPr>
    </w:p>
    <w:p>
      <w:pPr>
        <w:spacing w:before="92" w:line="414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付里叶红外分光</w:t>
      </w:r>
      <w:r>
        <w:rPr>
          <w:rFonts w:ascii="FangSong" w:eastAsia="FangSong" w:hAnsi="FangSong" w:cs="FangSong"/>
          <w:spacing w:val="-5"/>
          <w:sz w:val="28"/>
          <w:szCs w:val="28"/>
        </w:rPr>
        <w:t>光</w:t>
      </w:r>
      <w:r>
        <w:rPr>
          <w:rFonts w:ascii="FangSong" w:eastAsia="FangSong" w:hAnsi="FangSong" w:cs="FangSong"/>
          <w:spacing w:val="-3"/>
          <w:sz w:val="28"/>
          <w:szCs w:val="28"/>
        </w:rPr>
        <w:t>度计项目的建设周期被设定为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个月，其中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包括付里叶红外</w:t>
      </w:r>
      <w:r>
        <w:rPr>
          <w:rFonts w:ascii="FangSong" w:eastAsia="FangSong" w:hAnsi="FangSong" w:cs="FangSong"/>
          <w:spacing w:val="-5"/>
          <w:sz w:val="28"/>
          <w:szCs w:val="28"/>
        </w:rPr>
        <w:t>分</w:t>
      </w:r>
      <w:r>
        <w:rPr>
          <w:rFonts w:ascii="FangSong" w:eastAsia="FangSong" w:hAnsi="FangSong" w:cs="FangSong"/>
          <w:spacing w:val="-3"/>
          <w:sz w:val="28"/>
          <w:szCs w:val="28"/>
        </w:rPr>
        <w:t>光光度计项目前期准备、工程勘察与设计、土建工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程施工、设备采</w:t>
      </w:r>
      <w:r>
        <w:rPr>
          <w:rFonts w:ascii="FangSong" w:eastAsia="FangSong" w:hAnsi="FangSong" w:cs="FangSong"/>
          <w:spacing w:val="-5"/>
          <w:sz w:val="28"/>
          <w:szCs w:val="28"/>
        </w:rPr>
        <w:t>购</w:t>
      </w:r>
      <w:r>
        <w:rPr>
          <w:rFonts w:ascii="FangSong" w:eastAsia="FangSong" w:hAnsi="FangSong" w:cs="FangSong"/>
          <w:spacing w:val="-3"/>
          <w:sz w:val="28"/>
          <w:szCs w:val="28"/>
        </w:rPr>
        <w:t>、设备安装调试等关键阶段。这个时间框架将充分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考</w:t>
      </w:r>
      <w:r>
        <w:rPr>
          <w:rFonts w:ascii="FangSong" w:eastAsia="FangSong" w:hAnsi="FangSong" w:cs="FangSong"/>
          <w:spacing w:val="-8"/>
          <w:sz w:val="28"/>
          <w:szCs w:val="28"/>
        </w:rPr>
        <w:t>虑到各个阶段的工作内容和交叉影响，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以确保付里叶红外分光光度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计</w:t>
      </w:r>
      <w:r>
        <w:rPr>
          <w:rFonts w:ascii="FangSong" w:eastAsia="FangSong" w:hAnsi="FangSong" w:cs="FangSong"/>
          <w:spacing w:val="-5"/>
          <w:sz w:val="28"/>
          <w:szCs w:val="28"/>
        </w:rPr>
        <w:t>项目的高效推进。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5" w:lineRule="auto"/>
        <w:ind w:left="38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sz w:val="28"/>
          <w:szCs w:val="28"/>
        </w:rPr>
        <w:t>具</w:t>
      </w:r>
      <w:r>
        <w:rPr>
          <w:rFonts w:ascii="FangSong" w:eastAsia="FangSong" w:hAnsi="FangSong" w:cs="FangSong"/>
          <w:spacing w:val="6"/>
          <w:sz w:val="28"/>
          <w:szCs w:val="28"/>
        </w:rPr>
        <w:t>体的建设进度将在付里叶红外分光光度计项目启动时明确制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并按照里程碑计划进行监测和调整。各个阶段的完成情况将通过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定期的</w:t>
      </w:r>
      <w:r>
        <w:rPr>
          <w:rFonts w:ascii="FangSong" w:eastAsia="FangSong" w:hAnsi="FangSong" w:cs="FangSong"/>
          <w:spacing w:val="-2"/>
          <w:sz w:val="28"/>
          <w:szCs w:val="28"/>
        </w:rPr>
        <w:t>进度报告进行跟踪，确保整个建设过程按照计划进行。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  <w:sectPr>
          <w:footerReference w:type="default" r:id="rId15"/>
          <w:pgSz w:w="11906" w:h="16839"/>
          <w:pgMar w:top="1431" w:right="1785" w:bottom="400" w:left="1785" w:header="0" w:footer="0" w:gutter="0"/>
          <w:pgNumType w:start="30"/>
          <w:cols w:space="708"/>
        </w:sect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交</w:t>
      </w:r>
      <w:r>
        <w:rPr>
          <w:rFonts w:ascii="FangSong" w:eastAsia="FangSong" w:hAnsi="FangSong" w:cs="FangSong"/>
          <w:spacing w:val="-5"/>
          <w:sz w:val="28"/>
          <w:szCs w:val="28"/>
        </w:rPr>
        <w:t>叉</w:t>
      </w:r>
      <w:r>
        <w:rPr>
          <w:rFonts w:ascii="FangSong" w:eastAsia="FangSong" w:hAnsi="FangSong" w:cs="FangSong"/>
          <w:spacing w:val="-4"/>
          <w:sz w:val="28"/>
          <w:szCs w:val="28"/>
        </w:rPr>
        <w:t>关联任务：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确保各个任务之间的交叉关联得到合理安排，</w:t>
      </w:r>
    </w:p>
    <w:p>
      <w:pPr>
        <w:sectPr>
          <w:footerReference w:type="default" r:id="rId16"/>
          <w:type w:val="nextPage"/>
          <w:pgSz w:w="11906" w:h="16839"/>
          <w:pgMar w:top="1431" w:right="1785" w:bottom="400" w:left="1785" w:header="0" w:footer="0" w:gutter="0"/>
          <w:pgNumType w:start="31"/>
          <w:cols w:space="708"/>
          <w:titlePg w:val="0"/>
        </w:sectPr>
      </w:pPr>
    </w:p>
    <w:p>
      <w:pPr>
        <w:spacing w:before="182" w:line="222" w:lineRule="auto"/>
        <w:ind w:left="61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bookmarkStart w:id="39" w:name="_bookmark40"/>
      <w:bookmarkEnd w:id="39"/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289" w:line="411" w:lineRule="auto"/>
        <w:ind w:left="29" w:right="5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6" w:line="411" w:lineRule="auto"/>
        <w:ind w:left="37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付</w:t>
      </w:r>
      <w:r>
        <w:rPr>
          <w:rFonts w:ascii="FangSong" w:eastAsia="FangSong" w:hAnsi="FangSong" w:cs="FangSong"/>
          <w:spacing w:val="6"/>
          <w:sz w:val="28"/>
          <w:szCs w:val="28"/>
        </w:rPr>
        <w:t>里叶红外分光光度计项目将根据各个阶段的需求合理配置人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力</w:t>
      </w:r>
      <w:r>
        <w:rPr>
          <w:rFonts w:ascii="FangSong" w:eastAsia="FangSong" w:hAnsi="FangSong" w:cs="FangSong"/>
          <w:spacing w:val="-10"/>
          <w:sz w:val="28"/>
          <w:szCs w:val="28"/>
        </w:rPr>
        <w:t>资</w:t>
      </w:r>
      <w:r>
        <w:rPr>
          <w:rFonts w:ascii="FangSong" w:eastAsia="FangSong" w:hAnsi="FangSong" w:cs="FangSong"/>
          <w:spacing w:val="-8"/>
          <w:sz w:val="28"/>
          <w:szCs w:val="28"/>
        </w:rPr>
        <w:t>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确保每个团队都有足够的专业技能和经验。团队成员将被精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心挑选</w:t>
      </w:r>
      <w:r>
        <w:rPr>
          <w:rFonts w:ascii="FangSong" w:eastAsia="FangSong" w:hAnsi="FangSong" w:cs="FangSong"/>
          <w:spacing w:val="-2"/>
          <w:sz w:val="28"/>
          <w:szCs w:val="28"/>
        </w:rPr>
        <w:t>，以保障付里叶红外分光光度计项目各方面的需要。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3" w:line="414" w:lineRule="auto"/>
        <w:ind w:left="39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员工培训将是付里叶红外</w:t>
      </w:r>
      <w:r>
        <w:rPr>
          <w:rFonts w:ascii="FangSong" w:eastAsia="FangSong" w:hAnsi="FangSong" w:cs="FangSong"/>
          <w:spacing w:val="-2"/>
          <w:sz w:val="28"/>
          <w:szCs w:val="28"/>
        </w:rPr>
        <w:t>分光光度计项目实施的一个重要环节。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将提供全面的培训计划，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包括但不限于付里叶红外分光光度计项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目背景、工作流程、安全操作规程等方面的培训。这旨在确保每位员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工都具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必要的知识和技能，以更好地完成各自的工作任务。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(五)、付里叶红外分光光度计项目实施保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障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7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付里</w:t>
      </w:r>
      <w:r>
        <w:rPr>
          <w:rFonts w:ascii="FangSong" w:eastAsia="FangSong" w:hAnsi="FangSong" w:cs="FangSong"/>
          <w:spacing w:val="-13"/>
          <w:sz w:val="28"/>
          <w:szCs w:val="28"/>
        </w:rPr>
        <w:t>叶</w:t>
      </w:r>
      <w:r>
        <w:rPr>
          <w:rFonts w:ascii="FangSong" w:eastAsia="FangSong" w:hAnsi="FangSong" w:cs="FangSong"/>
          <w:spacing w:val="-8"/>
          <w:sz w:val="28"/>
          <w:szCs w:val="28"/>
        </w:rPr>
        <w:t>红外分光光度计项目实施过程中，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我们将采取以下措施保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障付里叶红外分光光度计项目的顺利进行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3" w:line="415" w:lineRule="auto"/>
        <w:ind w:left="39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对付里叶红外分光光度计项目进度、成本和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质量进行定期评估，及时调整计划以适应变化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footerReference w:type="default" r:id="rId17"/>
          <w:pgSz w:w="11906" w:h="16839"/>
          <w:pgMar w:top="1431" w:right="1743" w:bottom="400" w:left="1785" w:header="0" w:footer="0" w:gutter="0"/>
          <w:pgNumType w:start="32"/>
          <w:cols w:space="708"/>
        </w:sectPr>
      </w:pPr>
    </w:p>
    <w:p>
      <w:pPr>
        <w:spacing w:before="184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bookmarkStart w:id="40" w:name="_bookmark41"/>
      <w:bookmarkEnd w:id="40"/>
      <w:bookmarkStart w:id="41" w:name="_bookmark42"/>
      <w:bookmarkEnd w:id="41"/>
      <w:r>
        <w:rPr>
          <w:rFonts w:ascii="FangSong" w:eastAsia="FangSong" w:hAnsi="FangSong" w:cs="FangSong"/>
          <w:spacing w:val="-4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建立高效的沟通渠道，促进付里叶红外分光光度</w:t>
      </w:r>
      <w:r>
        <w:rPr>
          <w:rFonts w:ascii="FangSong" w:eastAsia="FangSong" w:hAnsi="FangSong" w:cs="FangSong"/>
          <w:spacing w:val="-3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目团队之间的协作，减少信息滞后。</w:t>
      </w:r>
    </w:p>
    <w:p>
      <w:pPr>
        <w:spacing w:before="1" w:line="411" w:lineRule="auto"/>
        <w:ind w:left="32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4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实施全面的质量管理体系，确保付里叶红外分光光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度计项目交付的产品和服务符合高标准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</w:p>
    <w:p>
      <w:pPr>
        <w:spacing w:before="289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通过以上一系列的管理和保障措施，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我们确信付里叶红外分光</w:t>
      </w:r>
      <w:r>
        <w:rPr>
          <w:rFonts w:ascii="FangSong" w:eastAsia="FangSong" w:hAnsi="FangSong" w:cs="FangSong"/>
          <w:spacing w:val="-7"/>
          <w:sz w:val="28"/>
          <w:szCs w:val="28"/>
        </w:rPr>
        <w:t>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度计项目将在高效、有序的环境中稳步推进，实现预期的目标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场营销策略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right="7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8" w:line="411" w:lineRule="auto"/>
        <w:ind w:left="32" w:right="4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before="1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411" w:lineRule="auto"/>
        <w:ind w:left="40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2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</w:p>
    <w:p>
      <w:pPr>
        <w:sectPr>
          <w:footerReference w:type="default" r:id="rId18"/>
          <w:pgSz w:w="11906" w:h="16839"/>
          <w:pgMar w:top="1431" w:right="1697" w:bottom="400" w:left="1785" w:header="0" w:footer="0" w:gutter="0"/>
          <w:pgNumType w:start="33"/>
          <w:cols w:space="708"/>
        </w:sectPr>
      </w:pPr>
    </w:p>
    <w:p>
      <w:pPr>
        <w:spacing w:before="182" w:line="222" w:lineRule="auto"/>
        <w:ind w:left="38"/>
        <w:rPr>
          <w:rFonts w:ascii="FangSong" w:eastAsia="FangSong" w:hAnsi="FangSong" w:cs="FangSong"/>
          <w:sz w:val="28"/>
          <w:szCs w:val="28"/>
        </w:rPr>
      </w:pPr>
      <w:bookmarkStart w:id="42" w:name="_bookmark43"/>
      <w:bookmarkEnd w:id="42"/>
      <w:bookmarkStart w:id="43" w:name="_bookmark44"/>
      <w:bookmarkEnd w:id="43"/>
      <w:bookmarkStart w:id="44" w:name="_bookmark45"/>
      <w:bookmarkEnd w:id="44"/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289" w:line="411" w:lineRule="auto"/>
        <w:ind w:left="33" w:right="254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2" w:line="415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25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针</w:t>
      </w:r>
      <w:r>
        <w:rPr>
          <w:rFonts w:ascii="FangSong" w:eastAsia="FangSong" w:hAnsi="FangSong" w:cs="FangSong"/>
          <w:spacing w:val="-17"/>
          <w:sz w:val="28"/>
          <w:szCs w:val="28"/>
        </w:rPr>
        <w:t>对</w:t>
      </w:r>
      <w:r>
        <w:rPr>
          <w:rFonts w:ascii="FangSong" w:eastAsia="FangSong" w:hAnsi="FangSong" w:cs="FangSong"/>
          <w:spacing w:val="-12"/>
          <w:sz w:val="28"/>
          <w:szCs w:val="28"/>
        </w:rPr>
        <w:t>高端用户和专业领域，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以更合</w:t>
      </w:r>
    </w:p>
    <w:p>
      <w:pPr>
        <w:sectPr>
          <w:footerReference w:type="default" r:id="rId19"/>
          <w:pgSz w:w="11906" w:h="16839"/>
          <w:pgMar w:top="1431" w:right="1603" w:bottom="400" w:left="1785" w:header="0" w:footer="0" w:gutter="0"/>
          <w:pgNumType w:start="34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before="289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6" w:line="416" w:lineRule="auto"/>
        <w:ind w:left="35" w:right="4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5" w:name="_bookmark46"/>
      <w:bookmarkEnd w:id="45"/>
      <w:bookmarkStart w:id="46" w:name="_bookmark47"/>
      <w:bookmarkEnd w:id="46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0" w:line="411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9" w:line="411" w:lineRule="auto"/>
        <w:ind w:left="63" w:right="82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90" w:line="416" w:lineRule="auto"/>
        <w:ind w:left="31" w:right="4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19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</w:p>
    <w:p>
      <w:pPr>
        <w:sectPr>
          <w:footerReference w:type="default" r:id="rId20"/>
          <w:pgSz w:w="11906" w:h="16839"/>
          <w:pgMar w:top="1431" w:right="1718" w:bottom="400" w:left="1785" w:header="0" w:footer="0" w:gutter="0"/>
          <w:pgNumType w:start="35"/>
          <w:cols w:space="708"/>
        </w:sectPr>
      </w:pPr>
    </w:p>
    <w:p>
      <w:pPr>
        <w:spacing w:before="183" w:line="219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before="291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right="20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47" w:name="_bookmark48"/>
      <w:bookmarkEnd w:id="47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十、质量管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理与持续改进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)、质量管理体系建设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8" w:right="140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pacing w:val="-2"/>
          <w:sz w:val="28"/>
          <w:szCs w:val="28"/>
        </w:rPr>
        <w:t>质量管理体系的建设中，首要任务是确保建设目标的明确性。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包</w:t>
      </w:r>
      <w:r>
        <w:rPr>
          <w:rFonts w:ascii="FangSong" w:eastAsia="FangSong" w:hAnsi="FangSong" w:cs="FangSong"/>
          <w:spacing w:val="-8"/>
          <w:sz w:val="28"/>
          <w:szCs w:val="28"/>
        </w:rPr>
        <w:t>括企业对产品和服务质量的标准和要求的明确界定，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以确保全体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</w:t>
      </w:r>
      <w:r>
        <w:rPr>
          <w:rFonts w:ascii="FangSong" w:eastAsia="FangSong" w:hAnsi="FangSong" w:cs="FangSong"/>
          <w:spacing w:val="-4"/>
          <w:sz w:val="28"/>
          <w:szCs w:val="28"/>
        </w:rPr>
        <w:t>对</w:t>
      </w:r>
      <w:r>
        <w:rPr>
          <w:rFonts w:ascii="FangSong" w:eastAsia="FangSong" w:hAnsi="FangSong" w:cs="FangSong"/>
          <w:spacing w:val="-3"/>
          <w:sz w:val="28"/>
          <w:szCs w:val="28"/>
        </w:rPr>
        <w:t>公司质量标准具有清晰的认知。</w:t>
      </w:r>
    </w:p>
    <w:p>
      <w:pPr>
        <w:spacing w:before="2" w:line="411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了实现明确的质量目标，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公司需要制定明确的质量政策。这一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政</w:t>
      </w:r>
      <w:r>
        <w:rPr>
          <w:rFonts w:ascii="FangSong" w:eastAsia="FangSong" w:hAnsi="FangSong" w:cs="FangSong"/>
          <w:spacing w:val="-7"/>
          <w:sz w:val="28"/>
          <w:szCs w:val="28"/>
        </w:rPr>
        <w:t>策应包括对产品和服务质量的具体目标设定，质量保证的基本原则，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pacing w:val="-11"/>
          <w:sz w:val="28"/>
          <w:szCs w:val="28"/>
        </w:rPr>
        <w:t>及</w:t>
      </w:r>
      <w:r>
        <w:rPr>
          <w:rFonts w:ascii="FangSong" w:eastAsia="FangSong" w:hAnsi="FangSong" w:cs="FangSong"/>
          <w:spacing w:val="-6"/>
          <w:sz w:val="28"/>
          <w:szCs w:val="28"/>
        </w:rPr>
        <w:t>公司对于持续改进的承诺。这将为员工提供一个共同的质量方向。</w:t>
      </w:r>
    </w:p>
    <w:p>
      <w:pPr>
        <w:spacing w:before="3" w:line="411" w:lineRule="auto"/>
        <w:ind w:left="35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流</w:t>
      </w:r>
      <w:r>
        <w:rPr>
          <w:rFonts w:ascii="FangSong" w:eastAsia="FangSong" w:hAnsi="FangSong" w:cs="FangSong"/>
          <w:spacing w:val="-4"/>
          <w:sz w:val="28"/>
          <w:szCs w:val="28"/>
        </w:rPr>
        <w:t>程优化和标准化是确保产品和服务质量一致性的重要步骤。通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过</w:t>
      </w:r>
      <w:r>
        <w:rPr>
          <w:rFonts w:ascii="FangSong" w:eastAsia="FangSong" w:hAnsi="FangSong" w:cs="FangSong"/>
          <w:spacing w:val="-12"/>
          <w:sz w:val="28"/>
          <w:szCs w:val="28"/>
        </w:rPr>
        <w:t>优化生产和服务流程，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制定标准的操作规程，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率的同时保持一致的质量水平。建立和维护操作规程手册对于规范</w:t>
      </w:r>
      <w:r>
        <w:rPr>
          <w:rFonts w:ascii="FangSong" w:eastAsia="FangSong" w:hAnsi="FangSong" w:cs="FangSong"/>
          <w:sz w:val="28"/>
          <w:szCs w:val="28"/>
        </w:rPr>
        <w:t>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操作非常关键。</w:t>
      </w:r>
    </w:p>
    <w:p>
      <w:pPr>
        <w:spacing w:before="2" w:line="411" w:lineRule="auto"/>
        <w:ind w:left="31" w:right="19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质量培训体系是确保所有员工理解公司质量政策和流程的重</w:t>
      </w:r>
      <w:r>
        <w:rPr>
          <w:rFonts w:ascii="FangSong" w:eastAsia="FangSong" w:hAnsi="FangSong" w:cs="FangSong"/>
          <w:spacing w:val="4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途径。培训内容</w:t>
      </w:r>
      <w:r>
        <w:rPr>
          <w:rFonts w:ascii="FangSong" w:eastAsia="FangSong" w:hAnsi="FangSong" w:cs="FangSong"/>
          <w:spacing w:val="-4"/>
          <w:sz w:val="28"/>
          <w:szCs w:val="28"/>
        </w:rPr>
        <w:t>涵</w:t>
      </w:r>
      <w:r>
        <w:rPr>
          <w:rFonts w:ascii="FangSong" w:eastAsia="FangSong" w:hAnsi="FangSong" w:cs="FangSong"/>
          <w:spacing w:val="-3"/>
          <w:sz w:val="28"/>
          <w:szCs w:val="28"/>
        </w:rPr>
        <w:t>盖产品和服务标准、质量控制方法以及问题解决技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巧等方面，以确保员工在质量管理方面具备必要的知识和技</w:t>
      </w:r>
      <w:r>
        <w:rPr>
          <w:rFonts w:ascii="FangSong" w:eastAsia="FangSong" w:hAnsi="FangSong" w:cs="FangSong"/>
          <w:spacing w:val="-1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为了保证产品和服务质量符合公司标准，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公司需要建立有效的过</w:t>
      </w:r>
    </w:p>
    <w:p>
      <w:pPr>
        <w:sectPr>
          <w:footerReference w:type="default" r:id="rId21"/>
          <w:pgSz w:w="11906" w:h="16839"/>
          <w:pgMar w:top="1431" w:right="1603" w:bottom="400" w:left="1785" w:header="0" w:footer="0" w:gutter="0"/>
          <w:pgNumType w:start="36"/>
          <w:cols w:space="708"/>
        </w:sectPr>
      </w:pPr>
    </w:p>
    <w:p>
      <w:pPr>
        <w:spacing w:before="184" w:line="411" w:lineRule="auto"/>
        <w:ind w:left="60" w:right="20" w:hanging="26"/>
        <w:rPr>
          <w:rFonts w:ascii="FangSong" w:eastAsia="FangSong" w:hAnsi="FangSong" w:cs="FangSong"/>
          <w:sz w:val="28"/>
          <w:szCs w:val="28"/>
        </w:rPr>
      </w:pPr>
      <w:bookmarkStart w:id="48" w:name="_bookmark49"/>
      <w:bookmarkEnd w:id="48"/>
      <w:r>
        <w:rPr>
          <w:rFonts w:ascii="FangSong" w:eastAsia="FangSong" w:hAnsi="FangSong" w:cs="FangSong"/>
          <w:spacing w:val="-4"/>
          <w:sz w:val="28"/>
          <w:szCs w:val="28"/>
        </w:rPr>
        <w:t>程监控和控制机制。</w:t>
      </w:r>
      <w:r>
        <w:rPr>
          <w:rFonts w:ascii="FangSong" w:eastAsia="FangSong" w:hAnsi="FangSong" w:cs="FangSong"/>
          <w:spacing w:val="-3"/>
          <w:sz w:val="28"/>
          <w:szCs w:val="28"/>
        </w:rPr>
        <w:t>这</w:t>
      </w:r>
      <w:r>
        <w:rPr>
          <w:rFonts w:ascii="FangSong" w:eastAsia="FangSong" w:hAnsi="FangSong" w:cs="FangSong"/>
          <w:spacing w:val="-2"/>
          <w:sz w:val="28"/>
          <w:szCs w:val="28"/>
        </w:rPr>
        <w:t>包括质量检测、过程监控、数据分析等手段，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确保整个生产过程中的质量控制得以实施。</w:t>
      </w:r>
    </w:p>
    <w:p>
      <w:pPr>
        <w:spacing w:before="1" w:line="411" w:lineRule="auto"/>
        <w:ind w:left="3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质量管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体系的持续改进是保证公司质量水平不断提高的关键。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过定期的内部审核、管理评审和员工反馈，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公司可以发现潜在问题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并采取纠正措</w:t>
      </w:r>
      <w:r>
        <w:rPr>
          <w:rFonts w:ascii="FangSong" w:eastAsia="FangSong" w:hAnsi="FangSong" w:cs="FangSong"/>
          <w:spacing w:val="-3"/>
          <w:sz w:val="28"/>
          <w:szCs w:val="28"/>
        </w:rPr>
        <w:t>施</w:t>
      </w:r>
      <w:r>
        <w:rPr>
          <w:rFonts w:ascii="FangSong" w:eastAsia="FangSong" w:hAnsi="FangSong" w:cs="FangSong"/>
          <w:spacing w:val="-2"/>
          <w:sz w:val="28"/>
          <w:szCs w:val="28"/>
        </w:rPr>
        <w:t>，推动质量管理体系的不断优化。</w:t>
      </w:r>
    </w:p>
    <w:p>
      <w:pPr>
        <w:spacing w:before="3" w:line="414" w:lineRule="auto"/>
        <w:ind w:left="32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公司需要着重营造积极的质量文化，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以激发员工的质量意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识</w:t>
      </w:r>
      <w:r>
        <w:rPr>
          <w:rFonts w:ascii="FangSong" w:eastAsia="FangSong" w:hAnsi="FangSong" w:cs="FangSong"/>
          <w:spacing w:val="-8"/>
          <w:sz w:val="28"/>
          <w:szCs w:val="28"/>
        </w:rPr>
        <w:t>。通过强调每位员工在质量管理中的责任和作用，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形成共同关注质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量的企</w:t>
      </w:r>
      <w:r>
        <w:rPr>
          <w:rFonts w:ascii="FangSong" w:eastAsia="FangSong" w:hAnsi="FangSong" w:cs="FangSong"/>
          <w:spacing w:val="-2"/>
          <w:sz w:val="28"/>
          <w:szCs w:val="28"/>
        </w:rPr>
        <w:t>业文化，从而进一步确保质量管理的有效实施。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(二)、生产过程控制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在建设生产过程控制的体系时，公司需要注重以下几个方面：</w:t>
      </w:r>
    </w:p>
    <w:p>
      <w:pPr>
        <w:spacing w:before="293" w:line="411" w:lineRule="auto"/>
        <w:ind w:left="33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流程设计与优化：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通过对生产流程的合理设计和优化，确保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个环节都能够有效协同工作，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提高生产效率。流程应考虑到质量控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制点，</w:t>
      </w:r>
      <w:r>
        <w:rPr>
          <w:rFonts w:ascii="FangSong" w:eastAsia="FangSong" w:hAnsi="FangSong" w:cs="FangSong"/>
          <w:spacing w:val="-5"/>
          <w:sz w:val="28"/>
          <w:szCs w:val="28"/>
        </w:rPr>
        <w:t>以</w:t>
      </w:r>
      <w:r>
        <w:rPr>
          <w:rFonts w:ascii="FangSong" w:eastAsia="FangSong" w:hAnsi="FangSong" w:cs="FangSong"/>
          <w:spacing w:val="-3"/>
          <w:sz w:val="28"/>
          <w:szCs w:val="28"/>
        </w:rPr>
        <w:t>及可能的风险和变数。</w:t>
      </w:r>
    </w:p>
    <w:p>
      <w:pPr>
        <w:spacing w:before="2" w:line="411" w:lineRule="auto"/>
        <w:ind w:left="32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标准操作规程：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制定并严格执行标准操作规程，确保每个员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工在操作中都按</w:t>
      </w:r>
      <w:r>
        <w:rPr>
          <w:rFonts w:ascii="FangSong" w:eastAsia="FangSong" w:hAnsi="FangSong" w:cs="FangSong"/>
          <w:spacing w:val="-5"/>
          <w:sz w:val="28"/>
          <w:szCs w:val="28"/>
        </w:rPr>
        <w:t>照</w:t>
      </w:r>
      <w:r>
        <w:rPr>
          <w:rFonts w:ascii="FangSong" w:eastAsia="FangSong" w:hAnsi="FangSong" w:cs="FangSong"/>
          <w:spacing w:val="-3"/>
          <w:sz w:val="28"/>
          <w:szCs w:val="28"/>
        </w:rPr>
        <w:t>既定标准进行。这有助于降低因人为因素引起的差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错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浪费，提高产品质量的稳定性。</w:t>
      </w:r>
    </w:p>
    <w:p>
      <w:pPr>
        <w:spacing w:before="2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自动化与数字化技术：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引入先进的自动化和数字化技术，通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传感器、监控系统等手段实时监测生产过程，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及时发现异常并采取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措施。这有助于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高生产线的智能化水平。</w:t>
      </w:r>
    </w:p>
    <w:p>
      <w:pPr>
        <w:spacing w:before="3" w:line="415" w:lineRule="auto"/>
        <w:ind w:left="34" w:right="20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质量检测与控制：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在关键节点设置质量检测点，通过检测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备和技术手段，确保</w:t>
      </w:r>
      <w:r>
        <w:rPr>
          <w:rFonts w:ascii="FangSong" w:eastAsia="FangSong" w:hAnsi="FangSong" w:cs="FangSong"/>
          <w:spacing w:val="-3"/>
          <w:sz w:val="28"/>
          <w:szCs w:val="28"/>
        </w:rPr>
        <w:t>产</w:t>
      </w:r>
      <w:r>
        <w:rPr>
          <w:rFonts w:ascii="FangSong" w:eastAsia="FangSong" w:hAnsi="FangSong" w:cs="FangSong"/>
          <w:spacing w:val="-2"/>
          <w:sz w:val="28"/>
          <w:szCs w:val="28"/>
        </w:rPr>
        <w:t>品符合质量标准。及时发现并处理不合格品，</w:t>
      </w:r>
    </w:p>
    <w:p>
      <w:pPr>
        <w:sectPr>
          <w:footerReference w:type="default" r:id="rId22"/>
          <w:pgSz w:w="11906" w:h="16839"/>
          <w:pgMar w:top="1431" w:right="1743" w:bottom="400" w:left="1785" w:header="0" w:footer="0" w:gutter="0"/>
          <w:pgNumType w:start="37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49" w:name="_bookmark50"/>
      <w:bookmarkEnd w:id="49"/>
      <w:r>
        <w:rPr>
          <w:rFonts w:ascii="FangSong" w:eastAsia="FangSong" w:hAnsi="FangSong" w:cs="FangSong"/>
          <w:spacing w:val="-8"/>
          <w:sz w:val="28"/>
          <w:szCs w:val="28"/>
        </w:rPr>
        <w:t>避</w:t>
      </w:r>
      <w:r>
        <w:rPr>
          <w:rFonts w:ascii="FangSong" w:eastAsia="FangSong" w:hAnsi="FangSong" w:cs="FangSong"/>
          <w:spacing w:val="-7"/>
          <w:sz w:val="28"/>
          <w:szCs w:val="28"/>
        </w:rPr>
        <w:t>免</w:t>
      </w:r>
      <w:r>
        <w:rPr>
          <w:rFonts w:ascii="FangSong" w:eastAsia="FangSong" w:hAnsi="FangSong" w:cs="FangSong"/>
          <w:spacing w:val="-4"/>
          <w:sz w:val="28"/>
          <w:szCs w:val="28"/>
        </w:rPr>
        <w:t>次品进入下一流程。</w:t>
      </w:r>
    </w:p>
    <w:p>
      <w:pPr>
        <w:spacing w:before="288" w:line="411" w:lineRule="auto"/>
        <w:ind w:left="39" w:right="19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供应链协同：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与供应商建立紧密的合作关系，确保原材料的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质</w:t>
      </w:r>
      <w:r>
        <w:rPr>
          <w:rFonts w:ascii="FangSong" w:eastAsia="FangSong" w:hAnsi="FangSong" w:cs="FangSong"/>
          <w:spacing w:val="-12"/>
          <w:sz w:val="28"/>
          <w:szCs w:val="28"/>
        </w:rPr>
        <w:t>量</w:t>
      </w:r>
      <w:r>
        <w:rPr>
          <w:rFonts w:ascii="FangSong" w:eastAsia="FangSong" w:hAnsi="FangSong" w:cs="FangSong"/>
          <w:spacing w:val="-8"/>
          <w:sz w:val="28"/>
          <w:szCs w:val="28"/>
        </w:rPr>
        <w:t>和供货的及时性。通过供应链的协同，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减少因原材料问题引起的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生产波动。</w:t>
      </w:r>
    </w:p>
    <w:p>
      <w:pPr>
        <w:spacing w:before="1" w:line="411" w:lineRule="auto"/>
        <w:ind w:left="34" w:right="160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员工培训与管理：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进行全员的生产过程控制培训，使员工</w:t>
      </w:r>
      <w:r>
        <w:rPr>
          <w:rFonts w:ascii="FangSong" w:eastAsia="FangSong" w:hAnsi="FangSong" w:cs="FangSong"/>
          <w:spacing w:val="-7"/>
          <w:sz w:val="28"/>
          <w:szCs w:val="28"/>
        </w:rPr>
        <w:t>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解操作规程、质量标</w:t>
      </w:r>
      <w:r>
        <w:rPr>
          <w:rFonts w:ascii="FangSong" w:eastAsia="FangSong" w:hAnsi="FangSong" w:cs="FangSong"/>
          <w:spacing w:val="-3"/>
          <w:sz w:val="28"/>
          <w:szCs w:val="28"/>
        </w:rPr>
        <w:t>准</w:t>
      </w:r>
      <w:r>
        <w:rPr>
          <w:rFonts w:ascii="FangSong" w:eastAsia="FangSong" w:hAnsi="FangSong" w:cs="FangSong"/>
          <w:spacing w:val="-2"/>
          <w:sz w:val="28"/>
          <w:szCs w:val="28"/>
        </w:rPr>
        <w:t>和风险防范措施。建立有效的员工管理体系，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激发员工对生产过程的责任心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1" w:lineRule="auto"/>
        <w:ind w:left="42" w:right="19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持续改进：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设立持续改进机制，鼓励员工提出改善建议，对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生产过程进行定期评估。采用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PDCA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(Plan-Do-Check-Ac</w:t>
      </w:r>
      <w:r>
        <w:rPr>
          <w:rFonts w:ascii="FangSong" w:eastAsia="FangSong" w:hAnsi="FangSong" w:cs="FangSong"/>
          <w:spacing w:val="-5"/>
          <w:sz w:val="28"/>
          <w:szCs w:val="28"/>
        </w:rPr>
        <w:t>t</w:t>
      </w:r>
      <w:r>
        <w:rPr>
          <w:rFonts w:ascii="FangSong" w:eastAsia="FangSong" w:hAnsi="FangSong" w:cs="FangSong"/>
          <w:spacing w:val="-6"/>
          <w:sz w:val="28"/>
          <w:szCs w:val="28"/>
        </w:rPr>
        <w:t>)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循环，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断优化</w:t>
      </w:r>
      <w:r>
        <w:rPr>
          <w:rFonts w:ascii="FangSong" w:eastAsia="FangSong" w:hAnsi="FangSong" w:cs="FangSong"/>
          <w:spacing w:val="-3"/>
          <w:sz w:val="28"/>
          <w:szCs w:val="28"/>
        </w:rPr>
        <w:t>生产过程，提高效率和质量水平。</w:t>
      </w:r>
    </w:p>
    <w:p>
      <w:pPr>
        <w:spacing w:before="2" w:line="415" w:lineRule="auto"/>
        <w:ind w:left="34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公司可以建立起高效、稳定且质量可控的生产</w:t>
      </w:r>
      <w:r>
        <w:rPr>
          <w:rFonts w:ascii="FangSong" w:eastAsia="FangSong" w:hAnsi="FangSong" w:cs="FangSong"/>
          <w:spacing w:val="-7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程控制体系</w:t>
      </w:r>
      <w:r>
        <w:rPr>
          <w:rFonts w:ascii="FangSong" w:eastAsia="FangSong" w:hAnsi="FangSong" w:cs="FangSong"/>
          <w:spacing w:val="-2"/>
          <w:sz w:val="28"/>
          <w:szCs w:val="28"/>
        </w:rPr>
        <w:t>，确保产品的稳定供应和符合客户需求。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、产品质量检验与测试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1" w:line="411" w:lineRule="auto"/>
        <w:ind w:left="2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确保产</w:t>
      </w:r>
      <w:r>
        <w:rPr>
          <w:rFonts w:ascii="FangSong" w:eastAsia="FangSong" w:hAnsi="FangSong" w:cs="FangSong"/>
          <w:spacing w:val="-11"/>
          <w:sz w:val="28"/>
          <w:szCs w:val="28"/>
        </w:rPr>
        <w:t>品</w:t>
      </w:r>
      <w:r>
        <w:rPr>
          <w:rFonts w:ascii="FangSong" w:eastAsia="FangSong" w:hAnsi="FangSong" w:cs="FangSong"/>
          <w:spacing w:val="-6"/>
          <w:sz w:val="28"/>
          <w:szCs w:val="28"/>
        </w:rPr>
        <w:t>质量的过程中，产品质量检验与测试是至关重要的环节。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首</w:t>
      </w:r>
      <w:r>
        <w:rPr>
          <w:rFonts w:ascii="FangSong" w:eastAsia="FangSong" w:hAnsi="FangSong" w:cs="FangSong"/>
          <w:spacing w:val="-12"/>
          <w:sz w:val="28"/>
          <w:szCs w:val="28"/>
        </w:rPr>
        <w:t>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制定明确的产品质量检验和测试标准是关键的一步，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有</w:t>
      </w:r>
      <w:r>
        <w:rPr>
          <w:rFonts w:ascii="FangSong" w:eastAsia="FangSong" w:hAnsi="FangSong" w:cs="FangSong"/>
          <w:spacing w:val="-12"/>
          <w:sz w:val="28"/>
          <w:szCs w:val="28"/>
        </w:rPr>
        <w:t>产品都按照相同的标准进行检测，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从而减少主观性，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提高检验的一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致</w:t>
      </w:r>
      <w:r>
        <w:rPr>
          <w:rFonts w:ascii="FangSong" w:eastAsia="FangSong" w:hAnsi="FangSong" w:cs="FangSong"/>
          <w:spacing w:val="-8"/>
          <w:sz w:val="28"/>
          <w:szCs w:val="28"/>
        </w:rPr>
        <w:t>性。其次，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配备先进、准确的检测设备和工具至关重要。这些设备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能涉及物理测试、化学分析、尺寸测量等多个方面，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确保产品在多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个</w:t>
      </w:r>
      <w:r>
        <w:rPr>
          <w:rFonts w:ascii="FangSong" w:eastAsia="FangSong" w:hAnsi="FangSong" w:cs="FangSong"/>
          <w:spacing w:val="-4"/>
          <w:sz w:val="28"/>
          <w:szCs w:val="28"/>
        </w:rPr>
        <w:t>维度上得到全面检测。</w:t>
      </w:r>
    </w:p>
    <w:p>
      <w:pPr>
        <w:spacing w:before="2" w:line="415" w:lineRule="auto"/>
        <w:ind w:left="31" w:right="14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在进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产品质量检验时，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采用合理的抽样方法也是必要的。这有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助于从生产批次中随机选择样本进行检验，快速了解整体质量</w:t>
      </w:r>
      <w:r>
        <w:rPr>
          <w:rFonts w:ascii="FangSong" w:eastAsia="FangSong" w:hAnsi="FangSong" w:cs="FangSong"/>
          <w:spacing w:val="-1"/>
          <w:sz w:val="28"/>
          <w:szCs w:val="28"/>
        </w:rPr>
        <w:t>水</w:t>
      </w:r>
      <w:r>
        <w:rPr>
          <w:rFonts w:ascii="FangSong" w:eastAsia="FangSong" w:hAnsi="FangSong" w:cs="FangSong"/>
          <w:sz w:val="28"/>
          <w:szCs w:val="28"/>
        </w:rPr>
        <w:t>平。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https://d.book118.com/725311202314011123</w:t>
        </w:r>
      </w:hyperlink>
    </w:p>
    <w:p/>
    <w:sectPr>
      <w:footerReference w:type="default" r:id="rId24"/>
      <w:pgSz w:w="11906" w:h="16839"/>
      <w:pgMar w:top="1431" w:right="1603" w:bottom="400" w:left="1785" w:header="0" w:footer="0" w:gutter="0"/>
      <w:pgNumType w:start="3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4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3"/>
        <w:sz w:val="28"/>
        <w:szCs w:val="28"/>
      </w:rPr>
      <w:t>行业背景分析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hyperlink" Target="https://d.book118.com/725311202314011123" TargetMode="External" /><Relationship Id="rId24" Type="http://schemas.openxmlformats.org/officeDocument/2006/relationships/footer" Target="footer20.xml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2024-03-14T09:13:32Z</vt:filetime>
  </property>
  <property fmtid="{D5CDD505-2E9C-101B-9397-08002B2CF9AE}" pid="3" name="CRO">
    <vt:lpwstr>wqlLaW5nc29mdCBQREYgdG8gV1BTIDgw</vt:lpwstr>
  </property>
</Properties>
</file>