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6385" w:lineRule="exact"/>
      </w:pPr>
      <w:r>
        <w:rPr>
          <w:position w:val="-127"/>
        </w:rPr>
        <w:drawing>
          <wp:inline distT="0" distB="0" distL="0" distR="0">
            <wp:extent cx="6663690" cy="4054791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63690" cy="4054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98" w:line="212" w:lineRule="auto"/>
        <w:ind w:left="3" w:right="187" w:firstLine="8"/>
        <w:outlineLvl w:val="0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b/>
          <w:bCs/>
          <w:color w:val="111111"/>
          <w:spacing w:val="1"/>
          <w:sz w:val="23"/>
          <w:szCs w:val="23"/>
        </w:rPr>
        <w:t>2、各种关键技术的不断积累和突破，为人工智能的发展添砖加瓦，最</w:t>
      </w:r>
      <w:r>
        <w:rPr>
          <w:rFonts w:ascii="Microsoft YaHei" w:eastAsia="Microsoft YaHei" w:hAnsi="Microsoft YaHei" w:cs="Microsoft YaHei"/>
          <w:b/>
          <w:bCs/>
          <w:color w:val="111111"/>
          <w:sz w:val="23"/>
          <w:szCs w:val="23"/>
        </w:rPr>
        <w:t xml:space="preserve">终促成了大语言模型的巨大成功 </w:t>
      </w:r>
      <w:r>
        <w:rPr>
          <w:rFonts w:ascii="Microsoft YaHei" w:eastAsia="Microsoft YaHei" w:hAnsi="Microsoft YaHei" w:cs="Microsoft YaHei"/>
          <w:b/>
          <w:bCs/>
          <w:color w:val="111111"/>
          <w:sz w:val="23"/>
          <w:szCs w:val="23"/>
        </w:rPr>
        <w:t>和AIGC领域的蓬勃兴起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6600" w:lineRule="exact"/>
      </w:pPr>
      <w:r>
        <w:rPr>
          <w:position w:val="-132"/>
        </w:rPr>
        <w:drawing>
          <wp:inline distT="0" distB="0" distL="0" distR="0">
            <wp:extent cx="6663690" cy="41910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63690" cy="419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600" w:lineRule="exact"/>
        <w:sectPr>
          <w:pgSz w:w="11919" w:h="16858"/>
          <w:pgMar w:top="580" w:right="712" w:bottom="0" w:left="712" w:header="0" w:footer="0" w:gutter="0"/>
          <w:cols w:space="708"/>
        </w:sectPr>
      </w:pPr>
    </w:p>
    <w:p>
      <w:pPr>
        <w:pStyle w:val="BodyText"/>
        <w:spacing w:before="46" w:line="241" w:lineRule="auto"/>
        <w:ind w:left="17"/>
      </w:pPr>
      <w:r>
        <w:rPr>
          <w:b/>
          <w:bCs/>
          <w:color w:val="111111"/>
          <w:spacing w:val="1"/>
        </w:rPr>
        <w:t>3、国家政策的推动下，我国</w:t>
      </w:r>
      <w:r>
        <w:rPr>
          <w:b/>
          <w:bCs/>
          <w:color w:val="111111"/>
        </w:rPr>
        <w:t>AI</w:t>
      </w:r>
      <w:r>
        <w:rPr>
          <w:b/>
          <w:bCs/>
          <w:color w:val="111111"/>
          <w:spacing w:val="1"/>
        </w:rPr>
        <w:t>产业蓬勃发展，人工智能或</w:t>
      </w:r>
      <w:r>
        <w:rPr>
          <w:b/>
          <w:bCs/>
          <w:color w:val="111111"/>
        </w:rPr>
        <w:t>成为我国在国际市场实现高新技术弯道超车</w:t>
      </w:r>
    </w:p>
    <w:p>
      <w:pPr>
        <w:pStyle w:val="BodyText"/>
        <w:spacing w:before="1" w:line="183" w:lineRule="auto"/>
        <w:ind w:left="12"/>
      </w:pPr>
      <w:r>
        <w:rPr>
          <w:b/>
          <w:bCs/>
          <w:color w:val="111111"/>
        </w:rPr>
        <w:t>的重要拐点；集中于AIGC领域的投融资受到关注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6369" w:lineRule="exact"/>
      </w:pPr>
      <w:r>
        <w:rPr>
          <w:position w:val="-127"/>
        </w:rPr>
        <w:drawing>
          <wp:inline distT="0" distB="0" distL="0" distR="0">
            <wp:extent cx="6663690" cy="4044314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63690" cy="4044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99" w:line="242" w:lineRule="auto"/>
        <w:ind w:left="3"/>
      </w:pPr>
      <w:r>
        <w:rPr>
          <w:b/>
          <w:bCs/>
          <w:color w:val="111111"/>
          <w:spacing w:val="1"/>
        </w:rPr>
        <w:t>4、国内</w:t>
      </w:r>
      <w:r>
        <w:rPr>
          <w:b/>
          <w:bCs/>
          <w:color w:val="111111"/>
        </w:rPr>
        <w:t>AI</w:t>
      </w:r>
      <w:r>
        <w:rPr>
          <w:b/>
          <w:bCs/>
          <w:color w:val="111111"/>
          <w:spacing w:val="1"/>
        </w:rPr>
        <w:t>大模型的陆续公布，除互联网企业之外，华为、小米、</w:t>
      </w:r>
      <w:r>
        <w:rPr>
          <w:b/>
          <w:bCs/>
          <w:color w:val="111111"/>
        </w:rPr>
        <w:t>OPPO</w:t>
      </w:r>
      <w:r>
        <w:rPr>
          <w:b/>
          <w:bCs/>
          <w:color w:val="111111"/>
          <w:spacing w:val="1"/>
        </w:rPr>
        <w:t>等手机品牌逐步布局</w:t>
      </w:r>
      <w:r>
        <w:rPr>
          <w:b/>
          <w:bCs/>
          <w:color w:val="111111"/>
        </w:rPr>
        <w:t>AI</w:t>
      </w:r>
      <w:r>
        <w:rPr>
          <w:b/>
          <w:bCs/>
          <w:color w:val="111111"/>
          <w:spacing w:val="1"/>
        </w:rPr>
        <w:t>大</w:t>
      </w:r>
      <w:r>
        <w:rPr>
          <w:b/>
          <w:bCs/>
          <w:color w:val="111111"/>
        </w:rPr>
        <w:t>模型</w:t>
      </w:r>
    </w:p>
    <w:p>
      <w:pPr>
        <w:pStyle w:val="BodyText"/>
        <w:spacing w:before="1" w:line="182" w:lineRule="auto"/>
        <w:ind w:left="3"/>
      </w:pPr>
      <w:r>
        <w:rPr>
          <w:b/>
          <w:bCs/>
          <w:color w:val="111111"/>
          <w:spacing w:val="-1"/>
        </w:rPr>
        <w:t>领域</w:t>
      </w:r>
    </w:p>
    <w:p>
      <w:pPr>
        <w:spacing w:line="318" w:lineRule="auto"/>
        <w:rPr>
          <w:rFonts w:ascii="Arial"/>
          <w:sz w:val="21"/>
        </w:rPr>
        <w:sectPr>
          <w:pgSz w:w="11919" w:h="16858"/>
          <w:pgMar w:top="1310" w:right="712" w:bottom="0" w:left="712" w:header="0" w:footer="0" w:gutter="0"/>
          <w:pgNumType w:start="2"/>
          <w:cols w:space="708"/>
        </w:sectPr>
      </w:pPr>
    </w:p>
    <w:p>
      <w:pPr>
        <w:spacing w:line="5761" w:lineRule="exact"/>
        <w:ind w:firstLine="463"/>
      </w:pPr>
      <w:r>
        <w:rPr>
          <w:position w:val="-115"/>
        </w:rPr>
        <w:drawing>
          <wp:inline distT="0" distB="0" distL="0" distR="0">
            <wp:extent cx="6298179" cy="3658553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98179" cy="3658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761" w:lineRule="exact"/>
        <w:sectPr>
          <w:type w:val="nextPage"/>
          <w:pgSz w:w="11919" w:h="16858"/>
          <w:pgMar w:top="1310" w:right="712" w:bottom="0" w:left="712" w:header="0" w:footer="0" w:gutter="0"/>
          <w:pgNumType w:start="3"/>
          <w:cols w:space="708"/>
          <w:titlePg w:val="0"/>
        </w:sectPr>
      </w:pPr>
    </w:p>
    <w:p>
      <w:pPr>
        <w:spacing w:line="6401" w:lineRule="exact"/>
      </w:pPr>
      <w:r>
        <w:rPr>
          <w:position w:val="-128"/>
        </w:rPr>
        <w:drawing>
          <wp:inline distT="0" distB="0" distL="0" distR="0">
            <wp:extent cx="6663690" cy="406526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63690" cy="4065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99" w:line="242" w:lineRule="auto"/>
        <w:ind w:left="19"/>
      </w:pPr>
      <w:r>
        <w:rPr>
          <w:b/>
          <w:bCs/>
          <w:color w:val="111111"/>
          <w:spacing w:val="1"/>
        </w:rPr>
        <w:t>5、</w:t>
      </w:r>
      <w:r>
        <w:rPr>
          <w:b/>
          <w:bCs/>
          <w:color w:val="111111"/>
        </w:rPr>
        <w:t>AI</w:t>
      </w:r>
      <w:r>
        <w:rPr>
          <w:b/>
          <w:bCs/>
          <w:color w:val="111111"/>
          <w:spacing w:val="1"/>
        </w:rPr>
        <w:t>产品形态向内容生成、知识洞察、智能助手以</w:t>
      </w:r>
      <w:r>
        <w:rPr>
          <w:b/>
          <w:bCs/>
          <w:color w:val="111111"/>
        </w:rPr>
        <w:t>及数字代理等方向演进，本篇报告后续将着重在</w:t>
      </w:r>
    </w:p>
    <w:p>
      <w:pPr>
        <w:pStyle w:val="BodyText"/>
        <w:spacing w:before="1" w:line="183" w:lineRule="auto"/>
        <w:ind w:left="1"/>
      </w:pPr>
      <w:r>
        <w:rPr>
          <w:b/>
          <w:bCs/>
          <w:color w:val="111111"/>
        </w:rPr>
        <w:t>AIGC</w:t>
      </w:r>
      <w:r>
        <w:rPr>
          <w:b/>
          <w:bCs/>
          <w:color w:val="111111"/>
          <w:spacing w:val="1"/>
        </w:rPr>
        <w:t>产品领域进行进一步的延展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6369" w:lineRule="exact"/>
      </w:pPr>
      <w:r>
        <w:rPr>
          <w:position w:val="-127"/>
        </w:rPr>
        <w:drawing>
          <wp:inline distT="0" distB="0" distL="0" distR="0">
            <wp:extent cx="6663690" cy="4044314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63690" cy="4044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369" w:lineRule="exact"/>
        <w:sectPr>
          <w:pgSz w:w="11919" w:h="16858"/>
          <w:pgMar w:top="580" w:right="712" w:bottom="0" w:left="712" w:header="0" w:footer="0" w:gutter="0"/>
          <w:pgNumType w:start="4"/>
          <w:cols w:space="708"/>
        </w:sectPr>
      </w:pPr>
    </w:p>
    <w:p>
      <w:pPr>
        <w:pStyle w:val="BodyText"/>
        <w:spacing w:before="46" w:line="184" w:lineRule="auto"/>
        <w:ind w:left="12"/>
        <w:outlineLvl w:val="0"/>
      </w:pPr>
      <w:r>
        <w:rPr>
          <w:b/>
          <w:bCs/>
          <w:color w:val="111111"/>
          <w:spacing w:val="1"/>
        </w:rPr>
        <w:t>6、现阶段</w:t>
      </w:r>
      <w:r>
        <w:rPr>
          <w:b/>
          <w:bCs/>
          <w:color w:val="111111"/>
        </w:rPr>
        <w:t>AIGC</w:t>
      </w:r>
      <w:r>
        <w:rPr>
          <w:b/>
          <w:bCs/>
          <w:color w:val="111111"/>
          <w:spacing w:val="1"/>
        </w:rPr>
        <w:t>已初步实现多模态（文本、图片、音</w:t>
      </w:r>
      <w:r>
        <w:rPr>
          <w:b/>
          <w:bCs/>
          <w:color w:val="111111"/>
        </w:rPr>
        <w:t>频、视频）之间的相互转换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6930" w:lineRule="exact"/>
      </w:pPr>
      <w:r>
        <w:rPr>
          <w:position w:val="-138"/>
        </w:rPr>
        <w:drawing>
          <wp:inline distT="0" distB="0" distL="0" distR="0">
            <wp:extent cx="6663690" cy="4400549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63690" cy="4400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99" w:line="241" w:lineRule="auto"/>
        <w:ind w:left="10"/>
      </w:pPr>
      <w:r>
        <w:rPr>
          <w:b/>
          <w:bCs/>
          <w:color w:val="111111"/>
        </w:rPr>
        <w:t>7、AIGC体系主要分为三层，底层算力和中间层（模型、框架）的进一步成熟，刺激应</w:t>
      </w:r>
      <w:r>
        <w:rPr>
          <w:b/>
          <w:bCs/>
          <w:color w:val="111111"/>
          <w:spacing w:val="-1"/>
        </w:rPr>
        <w:t>用层持续发展，</w:t>
      </w:r>
    </w:p>
    <w:p>
      <w:pPr>
        <w:pStyle w:val="BodyText"/>
        <w:spacing w:line="183" w:lineRule="auto"/>
        <w:ind w:left="3"/>
      </w:pPr>
      <w:r>
        <w:rPr>
          <w:b/>
          <w:bCs/>
          <w:color w:val="111111"/>
        </w:rPr>
        <w:t>不断拓宽行业边界</w:t>
      </w:r>
    </w:p>
    <w:p>
      <w:pPr>
        <w:spacing w:line="183" w:lineRule="auto"/>
        <w:sectPr>
          <w:pgSz w:w="11919" w:h="16858"/>
          <w:pgMar w:top="617" w:right="712" w:bottom="0" w:left="712" w:header="0" w:footer="0" w:gutter="0"/>
          <w:pgNumType w:start="5"/>
          <w:cols w:space="708"/>
        </w:sectPr>
      </w:pPr>
    </w:p>
    <w:p>
      <w:pPr>
        <w:spacing w:line="6335" w:lineRule="exact"/>
      </w:pPr>
      <w:r>
        <w:rPr>
          <w:position w:val="-126"/>
        </w:rPr>
        <w:drawing>
          <wp:inline distT="0" distB="0" distL="0" distR="0">
            <wp:extent cx="6663690" cy="402335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63690" cy="4023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99" w:line="184" w:lineRule="auto"/>
        <w:ind w:left="9"/>
        <w:outlineLvl w:val="0"/>
      </w:pPr>
      <w:r>
        <w:rPr>
          <w:b/>
          <w:bCs/>
          <w:color w:val="111111"/>
          <w:spacing w:val="1"/>
        </w:rPr>
        <w:t>8、国内</w:t>
      </w:r>
      <w:r>
        <w:rPr>
          <w:b/>
          <w:bCs/>
          <w:color w:val="111111"/>
        </w:rPr>
        <w:t>AIGC</w:t>
      </w:r>
      <w:r>
        <w:rPr>
          <w:b/>
          <w:bCs/>
          <w:color w:val="111111"/>
          <w:spacing w:val="1"/>
        </w:rPr>
        <w:t>市场逐渐发力大模型市场，聚焦于通用大模型</w:t>
      </w:r>
      <w:r>
        <w:rPr>
          <w:b/>
          <w:bCs/>
          <w:color w:val="111111"/>
        </w:rPr>
        <w:t>和行业大模型共同发展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6716" w:lineRule="exact"/>
      </w:pPr>
      <w:r>
        <w:rPr>
          <w:position w:val="-134"/>
        </w:rPr>
        <w:drawing>
          <wp:inline distT="0" distB="0" distL="0" distR="0">
            <wp:extent cx="6663690" cy="4264342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63690" cy="4264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716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https://d.book118.com/725334322004011124</w:t>
        </w:r>
      </w:hyperlink>
    </w:p>
    <w:p>
      <w:pPr>
        <w:spacing w:line="6716" w:lineRule="exact"/>
      </w:pPr>
    </w:p>
    <w:sectPr>
      <w:pgSz w:w="11919" w:h="16858"/>
      <w:pgMar w:top="580" w:right="712" w:bottom="0" w:left="712" w:header="0" w:footer="0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3"/>
      <w:szCs w:val="23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hyperlink" Target="https://d.book118.com/725334322004011124" TargetMode="Externa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pn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2024-03-18T21:06:39Z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2024-03-18T21:51:33Z</vt:filetime>
  </property>
  <property fmtid="{D5CDD505-2E9C-101B-9397-08002B2CF9AE}" pid="3" name="CRO">
    <vt:lpwstr>wqlLaW5nc29mdCBQREYgdG8gV1BTIDkw</vt:lpwstr>
  </property>
</Properties>
</file>