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line="274" w:lineRule="auto"/>
      </w:pPr>
    </w:p>
    <w:p>
      <w:pPr>
        <w:pStyle w:val="BodyText"/>
        <w:spacing w:line="274" w:lineRule="auto"/>
      </w:pPr>
    </w:p>
    <w:p>
      <w:pPr>
        <w:pStyle w:val="BodyText"/>
        <w:spacing w:line="274" w:lineRule="auto"/>
      </w:pPr>
    </w:p>
    <w:p>
      <w:pPr>
        <w:pStyle w:val="BodyText"/>
        <w:spacing w:line="274" w:lineRule="auto"/>
      </w:pPr>
    </w:p>
    <w:p>
      <w:pPr>
        <w:pStyle w:val="BodyText"/>
        <w:spacing w:line="275" w:lineRule="auto"/>
      </w:pPr>
    </w:p>
    <w:p>
      <w:pPr>
        <w:pStyle w:val="BodyText"/>
        <w:spacing w:line="275" w:lineRule="auto"/>
      </w:pPr>
    </w:p>
    <w:p>
      <w:pPr>
        <w:spacing w:before="304" w:line="185" w:lineRule="auto"/>
        <w:ind w:left="447"/>
        <w:outlineLvl w:val="0"/>
        <w:rPr>
          <w:rFonts w:ascii="Microsoft YaHei" w:eastAsia="Microsoft YaHei" w:hAnsi="Microsoft YaHei" w:cs="Microsoft YaHei"/>
          <w:sz w:val="71"/>
          <w:szCs w:val="71"/>
        </w:rPr>
      </w:pPr>
      <w:r>
        <w:rPr>
          <w:rFonts w:ascii="Microsoft YaHei" w:eastAsia="Microsoft YaHei" w:hAnsi="Microsoft YaHei" w:cs="Microsoft YaHei"/>
          <w:spacing w:val="9"/>
          <w:sz w:val="71"/>
          <w:szCs w:val="71"/>
        </w:rPr>
        <w:t>建设项目环境影响报告表</w:t>
      </w:r>
    </w:p>
    <w:p>
      <w:pPr>
        <w:spacing w:before="266" w:line="224" w:lineRule="auto"/>
        <w:ind w:left="2753"/>
        <w:outlineLvl w:val="0"/>
        <w:rPr>
          <w:rFonts w:ascii="SimSun" w:eastAsia="SimSun" w:hAnsi="SimSun" w:cs="SimSun"/>
          <w:sz w:val="47"/>
          <w:szCs w:val="47"/>
        </w:rPr>
      </w:pPr>
      <w:r>
        <w:rPr>
          <w:rFonts w:ascii="SimSun" w:eastAsia="SimSun" w:hAnsi="SimSun" w:cs="SimSun"/>
          <w:spacing w:val="3"/>
          <w:sz w:val="47"/>
          <w:szCs w:val="47"/>
        </w:rPr>
        <w:t>（生态影响类）</w:t>
      </w:r>
    </w:p>
    <w:p>
      <w:pPr>
        <w:spacing w:before="365" w:line="224" w:lineRule="auto"/>
        <w:ind w:left="3233"/>
        <w:rPr>
          <w:rFonts w:ascii="SimSun" w:eastAsia="SimSun" w:hAnsi="SimSun" w:cs="SimSun"/>
          <w:sz w:val="47"/>
          <w:szCs w:val="47"/>
        </w:rPr>
      </w:pPr>
      <w:r>
        <w:rPr>
          <w:rFonts w:ascii="SimSun" w:eastAsia="SimSun" w:hAnsi="SimSun" w:cs="SimSun"/>
          <w:sz w:val="47"/>
          <w:szCs w:val="47"/>
        </w:rPr>
        <w:t>（公示稿）</w:t>
      </w:r>
    </w:p>
    <w:p>
      <w:pPr>
        <w:pStyle w:val="BodyText"/>
        <w:spacing w:line="259" w:lineRule="auto"/>
      </w:pPr>
    </w:p>
    <w:p>
      <w:pPr>
        <w:pStyle w:val="BodyText"/>
        <w:spacing w:line="259" w:lineRule="auto"/>
      </w:pPr>
    </w:p>
    <w:p>
      <w:pPr>
        <w:pStyle w:val="BodyText"/>
        <w:spacing w:line="259" w:lineRule="auto"/>
      </w:pPr>
    </w:p>
    <w:p>
      <w:pPr>
        <w:pStyle w:val="BodyText"/>
        <w:spacing w:line="259" w:lineRule="auto"/>
      </w:pPr>
    </w:p>
    <w:p>
      <w:pPr>
        <w:pStyle w:val="BodyText"/>
        <w:spacing w:line="259" w:lineRule="auto"/>
      </w:pPr>
    </w:p>
    <w:p>
      <w:pPr>
        <w:pStyle w:val="BodyText"/>
        <w:spacing w:line="259" w:lineRule="auto"/>
      </w:pPr>
    </w:p>
    <w:p>
      <w:pPr>
        <w:pStyle w:val="BodyText"/>
        <w:spacing w:line="259" w:lineRule="auto"/>
      </w:pPr>
    </w:p>
    <w:p>
      <w:pPr>
        <w:pStyle w:val="BodyText"/>
        <w:spacing w:line="259" w:lineRule="auto"/>
      </w:pPr>
    </w:p>
    <w:p>
      <w:pPr>
        <w:pStyle w:val="BodyText"/>
        <w:spacing w:line="259" w:lineRule="auto"/>
      </w:pPr>
    </w:p>
    <w:p>
      <w:pPr>
        <w:spacing w:before="114" w:line="226" w:lineRule="auto"/>
        <w:ind w:left="1"/>
        <w:rPr>
          <w:rFonts w:ascii="FangSong" w:eastAsia="FangSong" w:hAnsi="FangSong" w:cs="FangSong"/>
          <w:sz w:val="35"/>
          <w:szCs w:val="35"/>
        </w:rPr>
      </w:pPr>
      <w:r>
        <w:rPr>
          <w:rFonts w:ascii="FangSong" w:eastAsia="FangSong" w:hAnsi="FangSong" w:cs="FangSong"/>
          <w:spacing w:val="6"/>
          <w:sz w:val="35"/>
          <w:szCs w:val="35"/>
          <w14:textOutline w14:w="6537" w14:cap="sq">
            <w14:solidFill>
              <w14:srgbClr w14:val="000000"/>
            </w14:solidFill>
            <w14:prstDash w14:val="solid"/>
            <w14:bevel/>
          </w14:textOutline>
        </w:rPr>
        <w:t>项目名称：</w:t>
      </w:r>
      <w:r>
        <w:rPr>
          <w:rFonts w:ascii="FangSong" w:eastAsia="FangSong" w:hAnsi="FangSong" w:cs="FangSong"/>
          <w:spacing w:val="6"/>
          <w:sz w:val="35"/>
          <w:szCs w:val="35"/>
          <w:u w:val="single" w:color="auto"/>
        </w:rPr>
        <w:t xml:space="preserve"> </w:t>
      </w:r>
      <w:r>
        <w:rPr>
          <w:rFonts w:ascii="FangSong" w:eastAsia="FangSong" w:hAnsi="FangSong" w:cs="FangSong"/>
          <w:spacing w:val="6"/>
          <w:sz w:val="35"/>
          <w:szCs w:val="35"/>
          <w:u w:val="single" w:color="000000"/>
          <w14:textOutline w14:w="6537" w14:cap="sq">
            <w14:solidFill>
              <w14:srgbClr w14:val="000000"/>
            </w14:solidFill>
            <w14:prstDash w14:val="solid"/>
            <w14:bevel/>
          </w14:textOutline>
        </w:rPr>
        <w:t>文昌海钓休闲运动中心项目（</w:t>
      </w:r>
      <w:r>
        <w:rPr>
          <w:rFonts w:ascii="FangSong" w:eastAsia="FangSong" w:hAnsi="FangSong" w:cs="FangSong"/>
          <w:spacing w:val="-90"/>
          <w:sz w:val="35"/>
          <w:szCs w:val="35"/>
          <w:u w:val="single" w:color="auto"/>
        </w:rPr>
        <w:t xml:space="preserve"> </w:t>
      </w:r>
      <w:r>
        <w:rPr>
          <w:rFonts w:ascii="FangSong" w:eastAsia="FangSong" w:hAnsi="FangSong" w:cs="FangSong"/>
          <w:spacing w:val="6"/>
          <w:sz w:val="35"/>
          <w:szCs w:val="35"/>
          <w:u w:val="single" w:color="000000"/>
          <w14:textOutline w14:w="6537" w14:cap="sq">
            <w14:solidFill>
              <w14:srgbClr w14:val="000000"/>
            </w14:solidFill>
            <w14:prstDash w14:val="solid"/>
            <w14:bevel/>
          </w14:textOutline>
        </w:rPr>
        <w:t>一期）</w:t>
      </w:r>
    </w:p>
    <w:p>
      <w:pPr>
        <w:spacing w:before="132" w:line="226" w:lineRule="auto"/>
        <w:jc w:val="right"/>
        <w:rPr>
          <w:rFonts w:ascii="FangSong" w:eastAsia="FangSong" w:hAnsi="FangSong" w:cs="FangSong"/>
          <w:sz w:val="35"/>
          <w:szCs w:val="35"/>
        </w:rPr>
      </w:pPr>
      <w:r>
        <w:rPr>
          <w:rFonts w:ascii="FangSong" w:eastAsia="FangSong" w:hAnsi="FangSong" w:cs="FangSong"/>
          <w:spacing w:val="8"/>
          <w:sz w:val="35"/>
          <w:szCs w:val="35"/>
          <w14:textOutline w14:w="6537" w14:cap="sq">
            <w14:solidFill>
              <w14:srgbClr w14:val="000000"/>
            </w14:solidFill>
            <w14:prstDash w14:val="solid"/>
            <w14:bevel/>
          </w14:textOutline>
        </w:rPr>
        <w:t>建设单位（盖章</w:t>
      </w:r>
      <w:r>
        <w:rPr>
          <w:rFonts w:ascii="FangSong" w:eastAsia="FangSong" w:hAnsi="FangSong" w:cs="FangSong"/>
          <w:spacing w:val="-59"/>
          <w:sz w:val="35"/>
          <w:szCs w:val="35"/>
          <w14:textOutline w14:w="6537" w14:cap="sq">
            <w14:solidFill>
              <w14:srgbClr w14:val="000000"/>
            </w14:solidFill>
            <w14:prstDash w14:val="solid"/>
            <w14:bevel/>
          </w14:textOutline>
        </w:rPr>
        <w:t>）</w:t>
      </w:r>
      <w:r>
        <w:rPr>
          <w:rFonts w:ascii="FangSong" w:eastAsia="FangSong" w:hAnsi="FangSong" w:cs="FangSong"/>
          <w:spacing w:val="-59"/>
          <w:sz w:val="35"/>
          <w:szCs w:val="35"/>
          <w:u w:val="single" w:color="000000"/>
          <w14:textOutline w14:w="6537" w14:cap="sq">
            <w14:solidFill>
              <w14:srgbClr w14:val="000000"/>
            </w14:solidFill>
            <w14:prstDash w14:val="solid"/>
            <w14:bevel/>
          </w14:textOutline>
        </w:rPr>
        <w:t>：</w:t>
      </w:r>
      <w:r>
        <w:rPr>
          <w:rFonts w:ascii="FangSong" w:eastAsia="FangSong" w:hAnsi="FangSong" w:cs="FangSong"/>
          <w:spacing w:val="8"/>
          <w:sz w:val="35"/>
          <w:szCs w:val="35"/>
          <w:u w:val="single" w:color="000000"/>
          <w14:textOutline w14:w="6537" w14:cap="sq">
            <w14:solidFill>
              <w14:srgbClr w14:val="000000"/>
            </w14:solidFill>
            <w14:prstDash w14:val="solid"/>
            <w14:bevel/>
          </w14:textOutline>
        </w:rPr>
        <w:t>海南高速文体旅游产业投资有限公司</w:t>
      </w:r>
    </w:p>
    <w:p>
      <w:pPr>
        <w:spacing w:before="133" w:line="227" w:lineRule="auto"/>
        <w:ind w:left="2"/>
        <w:rPr>
          <w:rFonts w:ascii="FangSong" w:eastAsia="FangSong" w:hAnsi="FangSong" w:cs="FangSong"/>
          <w:sz w:val="35"/>
          <w:szCs w:val="35"/>
        </w:rPr>
      </w:pPr>
      <w:r>
        <w:rPr>
          <w:rFonts w:ascii="FangSong" w:eastAsia="FangSong" w:hAnsi="FangSong" w:cs="FangSong"/>
          <w:spacing w:val="1"/>
          <w:sz w:val="35"/>
          <w:szCs w:val="35"/>
          <w14:textOutline w14:w="6537" w14:cap="sq">
            <w14:solidFill>
              <w14:srgbClr w14:val="000000"/>
            </w14:solidFill>
            <w14:prstDash w14:val="solid"/>
            <w14:bevel/>
          </w14:textOutline>
        </w:rPr>
        <w:t>编制日期：</w:t>
      </w:r>
      <w:r>
        <w:rPr>
          <w:rFonts w:ascii="FangSong" w:eastAsia="FangSong" w:hAnsi="FangSong" w:cs="FangSong"/>
          <w:spacing w:val="1"/>
          <w:sz w:val="35"/>
          <w:szCs w:val="35"/>
          <w:u w:val="single" w:color="000000"/>
          <w14:textOutline w14:w="6537" w14:cap="sq">
            <w14:solidFill>
              <w14:srgbClr w14:val="000000"/>
            </w14:solidFill>
            <w14:prstDash w14:val="solid"/>
            <w14:bevel/>
          </w14:textOutline>
        </w:rPr>
        <w:t>2021</w:t>
      </w:r>
      <w:r>
        <w:rPr>
          <w:rFonts w:ascii="FangSong" w:eastAsia="FangSong" w:hAnsi="FangSong" w:cs="FangSong"/>
          <w:spacing w:val="-49"/>
          <w:sz w:val="35"/>
          <w:szCs w:val="35"/>
          <w:u w:val="single" w:color="auto"/>
        </w:rPr>
        <w:t xml:space="preserve"> </w:t>
      </w:r>
      <w:r>
        <w:rPr>
          <w:rFonts w:ascii="FangSong" w:eastAsia="FangSong" w:hAnsi="FangSong" w:cs="FangSong"/>
          <w:spacing w:val="1"/>
          <w:sz w:val="35"/>
          <w:szCs w:val="35"/>
          <w:u w:val="single" w:color="000000"/>
          <w14:textOutline w14:w="6537" w14:cap="sq">
            <w14:solidFill>
              <w14:srgbClr w14:val="000000"/>
            </w14:solidFill>
            <w14:prstDash w14:val="solid"/>
            <w14:bevel/>
          </w14:textOutline>
        </w:rPr>
        <w:t>年</w:t>
      </w:r>
      <w:r>
        <w:rPr>
          <w:rFonts w:ascii="FangSong" w:eastAsia="FangSong" w:hAnsi="FangSong" w:cs="FangSong"/>
          <w:spacing w:val="-62"/>
          <w:sz w:val="35"/>
          <w:szCs w:val="35"/>
          <w:u w:val="single" w:color="auto"/>
        </w:rPr>
        <w:t xml:space="preserve"> </w:t>
      </w:r>
      <w:r>
        <w:rPr>
          <w:rFonts w:ascii="FangSong" w:eastAsia="FangSong" w:hAnsi="FangSong" w:cs="FangSong"/>
          <w:spacing w:val="1"/>
          <w:sz w:val="35"/>
          <w:szCs w:val="35"/>
          <w:u w:val="single" w:color="000000"/>
          <w14:textOutline w14:w="6537" w14:cap="sq">
            <w14:solidFill>
              <w14:srgbClr w14:val="000000"/>
            </w14:solidFill>
            <w14:prstDash w14:val="solid"/>
            <w14:bevel/>
          </w14:textOutline>
        </w:rPr>
        <w:t>5</w:t>
      </w:r>
      <w:r>
        <w:rPr>
          <w:rFonts w:ascii="FangSong" w:eastAsia="FangSong" w:hAnsi="FangSong" w:cs="FangSong"/>
          <w:spacing w:val="-43"/>
          <w:sz w:val="35"/>
          <w:szCs w:val="35"/>
          <w:u w:val="single" w:color="auto"/>
        </w:rPr>
        <w:t xml:space="preserve"> </w:t>
      </w:r>
      <w:r>
        <w:rPr>
          <w:rFonts w:ascii="FangSong" w:eastAsia="FangSong" w:hAnsi="FangSong" w:cs="FangSong"/>
          <w:spacing w:val="1"/>
          <w:sz w:val="35"/>
          <w:szCs w:val="35"/>
          <w:u w:val="single" w:color="000000"/>
          <w14:textOutline w14:w="6537" w14:cap="sq">
            <w14:solidFill>
              <w14:srgbClr w14:val="000000"/>
            </w14:solidFill>
            <w14:prstDash w14:val="solid"/>
            <w14:bevel/>
          </w14:textOutline>
        </w:rPr>
        <w:t>月</w:t>
      </w: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5" w:lineRule="auto"/>
      </w:pPr>
    </w:p>
    <w:p>
      <w:pPr>
        <w:pStyle w:val="BodyText"/>
        <w:spacing w:line="245" w:lineRule="auto"/>
        <w:sectPr>
          <w:pgSz w:w="11906" w:h="16839"/>
          <w:pgMar w:top="1431" w:right="1533" w:bottom="0" w:left="1554" w:header="0" w:footer="0" w:gutter="0"/>
          <w:cols w:space="708"/>
        </w:sectPr>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spacing w:before="114" w:line="230" w:lineRule="auto"/>
        <w:ind w:left="2113"/>
        <w:rPr>
          <w:rFonts w:ascii="KaiTi" w:eastAsia="KaiTi" w:hAnsi="KaiTi" w:cs="KaiTi"/>
          <w:sz w:val="35"/>
          <w:szCs w:val="35"/>
        </w:rPr>
      </w:pPr>
      <w:r>
        <w:rPr>
          <w:rFonts w:ascii="KaiTi" w:eastAsia="KaiTi" w:hAnsi="KaiTi" w:cs="KaiTi"/>
          <w:spacing w:val="5"/>
          <w:sz w:val="35"/>
          <w:szCs w:val="35"/>
        </w:rPr>
        <w:t>中华人民共和国生态环境部制</w:t>
      </w:r>
    </w:p>
    <w:p>
      <w:pPr>
        <w:spacing w:line="230" w:lineRule="auto"/>
        <w:rPr>
          <w:rFonts w:ascii="KaiTi" w:eastAsia="KaiTi" w:hAnsi="KaiTi" w:cs="KaiTi"/>
          <w:sz w:val="35"/>
          <w:szCs w:val="35"/>
        </w:rPr>
        <w:sectPr>
          <w:type w:val="nextPage"/>
          <w:pgSz w:w="11906" w:h="16839"/>
          <w:pgMar w:top="1431" w:right="1533" w:bottom="0" w:left="1554" w:header="0" w:footer="0" w:gutter="0"/>
          <w:pgNumType w:start="2"/>
          <w:cols w:space="708"/>
          <w:titlePg w:val="0"/>
        </w:sectPr>
      </w:pPr>
    </w:p>
    <w:p>
      <w:pPr>
        <w:pStyle w:val="BodyText"/>
        <w:spacing w:line="356" w:lineRule="auto"/>
      </w:pPr>
      <w:r>
        <w:pict>
          <v:shape id="_x0000_s1025" style="width:442.25pt;height:0.75pt;margin-top:60.31pt;margin-left:76.55pt;mso-position-horizontal-relative:page;mso-position-vertical-relative:page;position:absolute;z-index:251658240" coordorigin="0,0" coordsize="8845,15" o:allowincell="f" path="m,l8844,l8844,14l,14l,xe" filled="t" fillcolor="black" stroked="f"/>
        </w:pict>
      </w:r>
    </w:p>
    <w:p>
      <w:pPr>
        <w:pStyle w:val="BodyText"/>
        <w:spacing w:line="357" w:lineRule="auto"/>
      </w:pPr>
    </w:p>
    <w:sdt>
      <w:sdtPr>
        <w:rPr>
          <w:rFonts w:ascii="SimHei" w:eastAsia="SimHei" w:hAnsi="SimHei" w:cs="SimHei"/>
          <w:sz w:val="43"/>
          <w:szCs w:val="43"/>
        </w:rPr>
        <w:id w:val="1673923072"/>
        <w:docPartObj>
          <w:docPartGallery w:val="Table of Contents"/>
          <w:docPartUnique/>
        </w:docPartObj>
      </w:sdtPr>
      <w:sdtEndPr>
        <w:rPr>
          <w:rFonts w:ascii="Times New Roman" w:eastAsia="Times New Roman" w:hAnsi="Times New Roman" w:cs="Times New Roman"/>
          <w:sz w:val="24"/>
          <w:szCs w:val="24"/>
        </w:rPr>
      </w:sdtEndPr>
      <w:sdtContent>
        <w:p>
          <w:pPr>
            <w:spacing w:before="139" w:line="225" w:lineRule="auto"/>
            <w:ind w:left="3832"/>
            <w:rPr>
              <w:rFonts w:ascii="SimHei" w:eastAsia="SimHei" w:hAnsi="SimHei" w:cs="SimHei"/>
              <w:sz w:val="43"/>
              <w:szCs w:val="43"/>
            </w:rPr>
          </w:pPr>
          <w:r>
            <w:rPr>
              <w:rFonts w:ascii="SimHei" w:eastAsia="SimHei" w:hAnsi="SimHei" w:cs="SimHei"/>
              <w:spacing w:val="-32"/>
              <w:sz w:val="43"/>
              <w:szCs w:val="43"/>
            </w:rPr>
            <w:t>目</w:t>
          </w:r>
          <w:r>
            <w:rPr>
              <w:rFonts w:ascii="SimHei" w:eastAsia="SimHei" w:hAnsi="SimHei" w:cs="SimHei"/>
              <w:spacing w:val="16"/>
              <w:sz w:val="43"/>
              <w:szCs w:val="43"/>
            </w:rPr>
            <w:t xml:space="preserve">  </w:t>
          </w:r>
          <w:r>
            <w:rPr>
              <w:rFonts w:ascii="SimHei" w:eastAsia="SimHei" w:hAnsi="SimHei" w:cs="SimHei"/>
              <w:spacing w:val="-32"/>
              <w:sz w:val="43"/>
              <w:szCs w:val="43"/>
            </w:rPr>
            <w:t>录</w:t>
          </w:r>
        </w:p>
        <w:p>
          <w:pPr>
            <w:tabs>
              <w:tab w:val="right" w:leader="dot" w:pos="8844"/>
            </w:tabs>
            <w:spacing w:before="293" w:line="188" w:lineRule="auto"/>
            <w:ind w:left="13"/>
            <w:rPr>
              <w:rFonts w:ascii="Times New Roman" w:eastAsia="Times New Roman" w:hAnsi="Times New Roman" w:cs="Times New Roman"/>
              <w:sz w:val="24"/>
              <w:szCs w:val="24"/>
            </w:rPr>
          </w:pPr>
          <w:r>
            <w:rPr>
              <w:rFonts w:ascii="SimHei" w:eastAsia="SimHei" w:hAnsi="SimHei" w:cs="SimHei"/>
              <w:spacing w:val="-2"/>
              <w:sz w:val="24"/>
              <w:szCs w:val="24"/>
            </w:rPr>
            <w:t>一、建设项目基本情况</w:t>
          </w:r>
          <w:r>
            <w:rPr>
              <w:rFonts w:ascii="SimHei" w:eastAsia="SimHei" w:hAnsi="SimHei" w:cs="SimHei"/>
              <w:sz w:val="24"/>
              <w:szCs w:val="24"/>
            </w:rPr>
            <w:tab/>
          </w:r>
          <w:r>
            <w:rPr>
              <w:rFonts w:ascii="Times New Roman" w:eastAsia="Times New Roman" w:hAnsi="Times New Roman" w:cs="Times New Roman"/>
              <w:spacing w:val="24"/>
              <w:sz w:val="24"/>
              <w:szCs w:val="24"/>
            </w:rPr>
            <w:t>1</w:t>
          </w:r>
        </w:p>
        <w:p>
          <w:pPr>
            <w:tabs>
              <w:tab w:val="right" w:leader="dot" w:pos="8844"/>
            </w:tabs>
            <w:spacing w:before="223" w:line="188" w:lineRule="auto"/>
            <w:ind w:left="13"/>
            <w:rPr>
              <w:rFonts w:ascii="Times New Roman" w:eastAsia="Times New Roman" w:hAnsi="Times New Roman" w:cs="Times New Roman"/>
              <w:sz w:val="24"/>
              <w:szCs w:val="24"/>
            </w:rPr>
          </w:pPr>
          <w:hyperlink w:anchor="bookmark1" w:history="1">
            <w:r>
              <w:rPr>
                <w:rFonts w:ascii="SimHei" w:eastAsia="SimHei" w:hAnsi="SimHei" w:cs="SimHei"/>
                <w:spacing w:val="-3"/>
                <w:sz w:val="24"/>
                <w:szCs w:val="24"/>
              </w:rPr>
              <w:t>二、建设内容</w:t>
            </w:r>
            <w:r>
              <w:rPr>
                <w:rFonts w:ascii="SimHei" w:eastAsia="SimHei" w:hAnsi="SimHei" w:cs="SimHei"/>
                <w:sz w:val="24"/>
                <w:szCs w:val="24"/>
              </w:rPr>
              <w:tab/>
            </w:r>
            <w:r>
              <w:rPr>
                <w:rFonts w:ascii="Times New Roman" w:eastAsia="Times New Roman" w:hAnsi="Times New Roman" w:cs="Times New Roman"/>
                <w:spacing w:val="24"/>
                <w:sz w:val="24"/>
                <w:szCs w:val="24"/>
              </w:rPr>
              <w:t>9</w:t>
            </w:r>
          </w:hyperlink>
        </w:p>
        <w:p>
          <w:pPr>
            <w:tabs>
              <w:tab w:val="right" w:leader="dot" w:pos="8844"/>
            </w:tabs>
            <w:spacing w:before="221" w:line="188" w:lineRule="auto"/>
            <w:ind w:left="14"/>
            <w:rPr>
              <w:rFonts w:ascii="Times New Roman" w:eastAsia="Times New Roman" w:hAnsi="Times New Roman" w:cs="Times New Roman"/>
              <w:sz w:val="24"/>
              <w:szCs w:val="24"/>
            </w:rPr>
          </w:pPr>
          <w:r>
            <w:rPr>
              <w:rFonts w:ascii="SimHei" w:eastAsia="SimHei" w:hAnsi="SimHei" w:cs="SimHei"/>
              <w:spacing w:val="-1"/>
              <w:sz w:val="24"/>
              <w:szCs w:val="24"/>
            </w:rPr>
            <w:t>三、生态环境现状、保护目标及评价标准</w:t>
          </w:r>
          <w:r>
            <w:rPr>
              <w:rFonts w:ascii="SimHei" w:eastAsia="SimHei" w:hAnsi="SimHei" w:cs="SimHei"/>
              <w:sz w:val="24"/>
              <w:szCs w:val="24"/>
            </w:rPr>
            <w:tab/>
          </w:r>
          <w:r>
            <w:rPr>
              <w:rFonts w:ascii="Times New Roman" w:eastAsia="Times New Roman" w:hAnsi="Times New Roman" w:cs="Times New Roman"/>
              <w:spacing w:val="12"/>
              <w:sz w:val="24"/>
              <w:szCs w:val="24"/>
            </w:rPr>
            <w:t>21</w:t>
          </w:r>
        </w:p>
        <w:p>
          <w:pPr>
            <w:tabs>
              <w:tab w:val="right" w:leader="dot" w:pos="8844"/>
            </w:tabs>
            <w:spacing w:before="224" w:line="188" w:lineRule="auto"/>
            <w:ind w:left="23"/>
            <w:rPr>
              <w:rFonts w:ascii="Times New Roman" w:eastAsia="Times New Roman" w:hAnsi="Times New Roman" w:cs="Times New Roman"/>
              <w:sz w:val="24"/>
              <w:szCs w:val="24"/>
            </w:rPr>
          </w:pPr>
          <w:r>
            <w:rPr>
              <w:rFonts w:ascii="SimHei" w:eastAsia="SimHei" w:hAnsi="SimHei" w:cs="SimHei"/>
              <w:spacing w:val="-3"/>
              <w:sz w:val="24"/>
              <w:szCs w:val="24"/>
            </w:rPr>
            <w:t>四、生态环境影响分析</w:t>
          </w:r>
          <w:r>
            <w:rPr>
              <w:rFonts w:ascii="SimHei" w:eastAsia="SimHei" w:hAnsi="SimHei" w:cs="SimHei"/>
              <w:sz w:val="24"/>
              <w:szCs w:val="24"/>
            </w:rPr>
            <w:tab/>
          </w:r>
          <w:r>
            <w:rPr>
              <w:rFonts w:ascii="Times New Roman" w:eastAsia="Times New Roman" w:hAnsi="Times New Roman" w:cs="Times New Roman"/>
              <w:spacing w:val="12"/>
              <w:sz w:val="24"/>
              <w:szCs w:val="24"/>
            </w:rPr>
            <w:t>68</w:t>
          </w:r>
        </w:p>
        <w:p>
          <w:pPr>
            <w:tabs>
              <w:tab w:val="right" w:leader="dot" w:pos="8844"/>
            </w:tabs>
            <w:spacing w:before="221" w:line="188" w:lineRule="auto"/>
            <w:ind w:left="16"/>
            <w:rPr>
              <w:rFonts w:ascii="Times New Roman" w:eastAsia="Times New Roman" w:hAnsi="Times New Roman" w:cs="Times New Roman"/>
              <w:sz w:val="24"/>
              <w:szCs w:val="24"/>
            </w:rPr>
          </w:pPr>
          <w:r>
            <w:rPr>
              <w:rFonts w:ascii="SimHei" w:eastAsia="SimHei" w:hAnsi="SimHei" w:cs="SimHei"/>
              <w:spacing w:val="-2"/>
              <w:sz w:val="24"/>
              <w:szCs w:val="24"/>
            </w:rPr>
            <w:t>五、主要生态环境保护措施</w:t>
          </w:r>
          <w:r>
            <w:rPr>
              <w:rFonts w:ascii="SimHei" w:eastAsia="SimHei" w:hAnsi="SimHei" w:cs="SimHei"/>
              <w:sz w:val="24"/>
              <w:szCs w:val="24"/>
            </w:rPr>
            <w:tab/>
          </w:r>
          <w:r>
            <w:rPr>
              <w:rFonts w:ascii="Times New Roman" w:eastAsia="Times New Roman" w:hAnsi="Times New Roman" w:cs="Times New Roman"/>
              <w:spacing w:val="12"/>
              <w:sz w:val="24"/>
              <w:szCs w:val="24"/>
            </w:rPr>
            <w:t>75</w:t>
          </w:r>
        </w:p>
        <w:p>
          <w:pPr>
            <w:tabs>
              <w:tab w:val="right" w:leader="dot" w:pos="8844"/>
            </w:tabs>
            <w:spacing w:before="224" w:line="187" w:lineRule="auto"/>
            <w:ind w:left="16"/>
            <w:rPr>
              <w:rFonts w:ascii="Times New Roman" w:eastAsia="Times New Roman" w:hAnsi="Times New Roman" w:cs="Times New Roman"/>
              <w:sz w:val="24"/>
              <w:szCs w:val="24"/>
            </w:rPr>
          </w:pPr>
          <w:r>
            <w:rPr>
              <w:rFonts w:ascii="SimHei" w:eastAsia="SimHei" w:hAnsi="SimHei" w:cs="SimHei"/>
              <w:spacing w:val="-2"/>
              <w:sz w:val="24"/>
              <w:szCs w:val="24"/>
            </w:rPr>
            <w:t>六、生态环境保护措施监督检查清单</w:t>
          </w:r>
          <w:r>
            <w:rPr>
              <w:rFonts w:ascii="SimHei" w:eastAsia="SimHei" w:hAnsi="SimHei" w:cs="SimHei"/>
              <w:sz w:val="24"/>
              <w:szCs w:val="24"/>
            </w:rPr>
            <w:tab/>
          </w:r>
          <w:r>
            <w:rPr>
              <w:rFonts w:ascii="Times New Roman" w:eastAsia="Times New Roman" w:hAnsi="Times New Roman" w:cs="Times New Roman"/>
              <w:spacing w:val="12"/>
              <w:sz w:val="24"/>
              <w:szCs w:val="24"/>
            </w:rPr>
            <w:t>81</w:t>
          </w:r>
        </w:p>
        <w:p>
          <w:pPr>
            <w:tabs>
              <w:tab w:val="right" w:leader="dot" w:pos="8844"/>
            </w:tabs>
            <w:spacing w:before="222" w:line="226" w:lineRule="auto"/>
            <w:ind w:left="8"/>
            <w:rPr>
              <w:rFonts w:ascii="Times New Roman" w:eastAsia="Times New Roman" w:hAnsi="Times New Roman" w:cs="Times New Roman"/>
              <w:sz w:val="24"/>
              <w:szCs w:val="24"/>
            </w:rPr>
          </w:pPr>
          <w:r>
            <w:rPr>
              <w:rFonts w:ascii="SimHei" w:eastAsia="SimHei" w:hAnsi="SimHei" w:cs="SimHei"/>
              <w:spacing w:val="-3"/>
              <w:sz w:val="24"/>
              <w:szCs w:val="24"/>
            </w:rPr>
            <w:t>七、结论</w:t>
          </w:r>
          <w:r>
            <w:rPr>
              <w:rFonts w:ascii="SimHei" w:eastAsia="SimHei" w:hAnsi="SimHei" w:cs="SimHei"/>
              <w:sz w:val="24"/>
              <w:szCs w:val="24"/>
            </w:rPr>
            <w:tab/>
          </w:r>
          <w:r>
            <w:rPr>
              <w:rFonts w:ascii="Times New Roman" w:eastAsia="Times New Roman" w:hAnsi="Times New Roman" w:cs="Times New Roman"/>
              <w:spacing w:val="12"/>
              <w:sz w:val="24"/>
              <w:szCs w:val="24"/>
            </w:rPr>
            <w:t>83</w:t>
          </w:r>
        </w:p>
      </w:sdtContent>
    </w:sdt>
    <w:p>
      <w:pPr>
        <w:spacing w:line="226" w:lineRule="auto"/>
        <w:rPr>
          <w:rFonts w:ascii="Times New Roman" w:eastAsia="Times New Roman" w:hAnsi="Times New Roman" w:cs="Times New Roman"/>
          <w:sz w:val="24"/>
          <w:szCs w:val="24"/>
        </w:rPr>
        <w:sectPr>
          <w:headerReference w:type="default" r:id="rId4"/>
          <w:footerReference w:type="default" r:id="rId5"/>
          <w:pgSz w:w="11906" w:h="16839"/>
          <w:pgMar w:top="1191" w:right="1530" w:bottom="1218" w:left="1531" w:header="901" w:footer="1015" w:gutter="0"/>
          <w:pgNumType w:start="3"/>
          <w:cols w:space="708"/>
        </w:sectPr>
      </w:pPr>
    </w:p>
    <w:p>
      <w:pPr>
        <w:spacing w:before="13"/>
      </w:pPr>
      <w:r>
        <w:pict>
          <v:rect id="_x0000_s1026" style="width:442.25pt;height:0.75pt;margin-top:60.31pt;margin-left:76.55pt;mso-position-horizontal-relative:page;mso-position-vertical-relative:page;position:absolute;z-index:251659264" o:allowincell="f" filled="t" fillcolor="black" stroked="f"/>
        </w:pict>
      </w:r>
    </w:p>
    <w:p>
      <w:pPr>
        <w:spacing w:before="13"/>
        <w:sectPr>
          <w:headerReference w:type="default" r:id="rId6"/>
          <w:footerReference w:type="default" r:id="rId7"/>
          <w:pgSz w:w="11906" w:h="16839"/>
          <w:pgMar w:top="1191" w:right="1298" w:bottom="1220" w:left="1298" w:header="901" w:footer="1015" w:gutter="0"/>
          <w:pgNumType w:start="4"/>
          <w:cols w:space="708"/>
        </w:sectPr>
      </w:pPr>
    </w:p>
    <w:tbl>
      <w:tblPr>
        <w:tblStyle w:val="TableNormal0"/>
        <w:tblW w:w="9294"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466"/>
        <w:gridCol w:w="8828"/>
      </w:tblGrid>
      <w:tr>
        <w:tblPrEx>
          <w:tblW w:w="9294"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3337"/>
        </w:trPr>
        <w:tc>
          <w:tcPr>
            <w:tcW w:w="466" w:type="dxa"/>
            <w:tcBorders>
              <w:right w:val="single" w:sz="2" w:space="0" w:color="000000"/>
            </w:tcBorders>
            <w:vAlign w:val="top"/>
          </w:tcPr>
          <w:p>
            <w:pPr>
              <w:rPr>
                <w:rFonts w:ascii="Arial"/>
                <w:sz w:val="21"/>
              </w:rPr>
            </w:pPr>
          </w:p>
        </w:tc>
        <w:tc>
          <w:tcPr>
            <w:tcW w:w="8828" w:type="dxa"/>
            <w:tcBorders>
              <w:left w:val="single" w:sz="2" w:space="0" w:color="000000"/>
            </w:tcBorders>
            <w:vAlign w:val="top"/>
          </w:tcPr>
          <w:p>
            <w:pPr>
              <w:pStyle w:val="TableText"/>
              <w:spacing w:before="196" w:line="219" w:lineRule="auto"/>
              <w:ind w:left="16"/>
            </w:pPr>
            <w:r>
              <w:rPr>
                <w:spacing w:val="5"/>
              </w:rPr>
              <w:t>护区（抱虎角片区</w:t>
            </w:r>
            <w:r>
              <w:rPr>
                <w:spacing w:val="-13"/>
              </w:rPr>
              <w:t>）（</w:t>
            </w:r>
            <w:r>
              <w:rPr>
                <w:spacing w:val="5"/>
              </w:rPr>
              <w:t>代码：</w:t>
            </w:r>
            <w:r>
              <w:rPr>
                <w:rFonts w:ascii="Times New Roman" w:eastAsia="Times New Roman" w:hAnsi="Times New Roman" w:cs="Times New Roman"/>
                <w:spacing w:val="5"/>
              </w:rPr>
              <w:t>A6-03</w:t>
            </w:r>
            <w:r>
              <w:rPr>
                <w:spacing w:val="5"/>
              </w:rPr>
              <w:t>）、海南岛东北部保留区</w:t>
            </w:r>
            <w:r>
              <w:rPr>
                <w:spacing w:val="4"/>
              </w:rPr>
              <w:t>（代码：</w:t>
            </w:r>
            <w:r>
              <w:rPr>
                <w:rFonts w:ascii="Times New Roman" w:eastAsia="Times New Roman" w:hAnsi="Times New Roman" w:cs="Times New Roman"/>
                <w:spacing w:val="4"/>
              </w:rPr>
              <w:t>A8-01</w:t>
            </w:r>
            <w:r>
              <w:rPr>
                <w:spacing w:val="-13"/>
              </w:rPr>
              <w:t>）（</w:t>
            </w:r>
            <w:r>
              <w:rPr>
                <w:spacing w:val="4"/>
              </w:rPr>
              <w:t>图</w:t>
            </w:r>
          </w:p>
          <w:p>
            <w:pPr>
              <w:pStyle w:val="TableText"/>
              <w:spacing w:before="176" w:line="232" w:lineRule="auto"/>
              <w:ind w:left="34"/>
            </w:pPr>
            <w:r>
              <w:rPr>
                <w:rFonts w:ascii="Times New Roman" w:eastAsia="Times New Roman" w:hAnsi="Times New Roman" w:cs="Times New Roman"/>
                <w:spacing w:val="-12"/>
              </w:rPr>
              <w:t>1-</w:t>
            </w:r>
            <w:r>
              <w:rPr>
                <w:rFonts w:ascii="Times New Roman" w:eastAsia="Times New Roman" w:hAnsi="Times New Roman" w:cs="Times New Roman"/>
                <w:spacing w:val="-30"/>
              </w:rPr>
              <w:t xml:space="preserve"> </w:t>
            </w:r>
            <w:r>
              <w:rPr>
                <w:rFonts w:ascii="Times New Roman" w:eastAsia="Times New Roman" w:hAnsi="Times New Roman" w:cs="Times New Roman"/>
                <w:spacing w:val="-12"/>
              </w:rPr>
              <w:t>1</w:t>
            </w:r>
            <w:r>
              <w:rPr>
                <w:spacing w:val="-12"/>
              </w:rPr>
              <w:t>）。</w:t>
            </w:r>
          </w:p>
          <w:p>
            <w:pPr>
              <w:pStyle w:val="TableText"/>
              <w:spacing w:before="155" w:line="354" w:lineRule="auto"/>
              <w:ind w:left="16" w:firstLine="476"/>
              <w:jc w:val="both"/>
            </w:pPr>
            <w:r>
              <w:rPr>
                <w:spacing w:val="-1"/>
              </w:rPr>
              <w:t>根据《海南省海洋功能区划（</w:t>
            </w:r>
            <w:r>
              <w:rPr>
                <w:rFonts w:ascii="Times New Roman" w:eastAsia="Times New Roman" w:hAnsi="Times New Roman" w:cs="Times New Roman"/>
                <w:spacing w:val="-1"/>
              </w:rPr>
              <w:t xml:space="preserve">2011-2020 </w:t>
            </w:r>
            <w:r>
              <w:rPr>
                <w:spacing w:val="-1"/>
              </w:rPr>
              <w:t>年）》，翁田港农渔业区的主导用海类</w:t>
            </w:r>
            <w:r>
              <w:rPr>
                <w:spacing w:val="1"/>
              </w:rPr>
              <w:t xml:space="preserve"> </w:t>
            </w:r>
            <w:r>
              <w:rPr>
                <w:spacing w:val="-8"/>
              </w:rPr>
              <w:t>型为渔业基础设施用海，即翁田渔港用海，合理规</w:t>
            </w:r>
            <w:r>
              <w:rPr>
                <w:spacing w:val="-9"/>
              </w:rPr>
              <w:t>划渔业生产所必须的基础设施建设，</w:t>
            </w:r>
            <w:r>
              <w:t xml:space="preserve"> </w:t>
            </w:r>
            <w:r>
              <w:rPr>
                <w:spacing w:val="-4"/>
              </w:rPr>
              <w:t>保证渔船停靠、装卸作业和避风所需海域；可兼顾旅游娱乐用海和交通运输用海，开</w:t>
            </w:r>
            <w:r>
              <w:rPr>
                <w:spacing w:val="5"/>
              </w:rPr>
              <w:t xml:space="preserve"> </w:t>
            </w:r>
            <w:r>
              <w:rPr>
                <w:spacing w:val="-4"/>
              </w:rPr>
              <w:t>展休闲渔业活动和小宗货物运输。本项目作为文昌海钓休闲运动中心项目（一期）的</w:t>
            </w:r>
            <w:r>
              <w:rPr>
                <w:spacing w:val="5"/>
              </w:rPr>
              <w:t xml:space="preserve"> </w:t>
            </w:r>
            <w:r>
              <w:rPr>
                <w:spacing w:val="-4"/>
              </w:rPr>
              <w:t>临时浮码头项目，利用区域的优势资源进行休闲渔业开发活动，属于旅游娱乐用海类</w:t>
            </w:r>
            <w:r>
              <w:rPr>
                <w:spacing w:val="2"/>
              </w:rPr>
              <w:t xml:space="preserve"> </w:t>
            </w:r>
            <w:r>
              <w:rPr>
                <w:spacing w:val="-4"/>
              </w:rPr>
              <w:t>型。浮码头建成后主要用于休闲渔船的停靠，有利于海钓休闲渔业活动的开展，符合</w:t>
            </w:r>
          </w:p>
          <w:p>
            <w:pPr>
              <w:pStyle w:val="TableText"/>
              <w:spacing w:line="213" w:lineRule="auto"/>
              <w:ind w:left="22"/>
            </w:pPr>
            <w:r>
              <w:rPr>
                <w:spacing w:val="-3"/>
              </w:rPr>
              <w:t>翁田港农渔业区的海域使用用途管制要求。</w:t>
            </w:r>
          </w:p>
          <w:p>
            <w:pPr>
              <w:spacing w:line="6751" w:lineRule="exact"/>
              <w:ind w:firstLine="582"/>
            </w:pPr>
            <w:r>
              <w:rPr>
                <w:position w:val="-135"/>
              </w:rPr>
              <w:drawing>
                <wp:inline distT="0" distB="0" distL="0" distR="0">
                  <wp:extent cx="4856988" cy="4287011"/>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8"/>
                          <a:stretch>
                            <a:fillRect/>
                          </a:stretch>
                        </pic:blipFill>
                        <pic:spPr>
                          <a:xfrm>
                            <a:off x="0" y="0"/>
                            <a:ext cx="4856988" cy="4287011"/>
                          </a:xfrm>
                          <a:prstGeom prst="rect">
                            <a:avLst/>
                          </a:prstGeom>
                        </pic:spPr>
                      </pic:pic>
                    </a:graphicData>
                  </a:graphic>
                </wp:inline>
              </w:drawing>
            </w:r>
          </w:p>
          <w:p>
            <w:pPr>
              <w:pStyle w:val="TableText"/>
              <w:spacing w:before="90" w:line="227" w:lineRule="auto"/>
              <w:ind w:left="2703"/>
              <w:rPr>
                <w:sz w:val="20"/>
                <w:szCs w:val="20"/>
              </w:rPr>
            </w:pPr>
            <w:r>
              <w:rPr>
                <w:spacing w:val="7"/>
                <w:sz w:val="20"/>
                <w:szCs w:val="20"/>
                <w14:textOutline w14:w="3795" w14:cap="sq">
                  <w14:solidFill>
                    <w14:srgbClr w14:val="000000"/>
                  </w14:solidFill>
                  <w14:prstDash w14:val="solid"/>
                  <w14:bevel/>
                </w14:textOutline>
              </w:rPr>
              <w:t>图1-1</w:t>
            </w:r>
            <w:r>
              <w:rPr>
                <w:spacing w:val="7"/>
                <w:sz w:val="20"/>
                <w:szCs w:val="20"/>
              </w:rPr>
              <w:t xml:space="preserve">  </w:t>
            </w:r>
            <w:r>
              <w:rPr>
                <w:spacing w:val="7"/>
                <w:sz w:val="20"/>
                <w:szCs w:val="20"/>
                <w14:textOutline w14:w="3795" w14:cap="sq">
                  <w14:solidFill>
                    <w14:srgbClr w14:val="000000"/>
                  </w14:solidFill>
                  <w14:prstDash w14:val="solid"/>
                  <w14:bevel/>
                </w14:textOutline>
              </w:rPr>
              <w:t>评价范围内海洋功能区划分布</w:t>
            </w:r>
          </w:p>
          <w:p>
            <w:pPr>
              <w:spacing w:line="339" w:lineRule="auto"/>
              <w:rPr>
                <w:rFonts w:ascii="Arial"/>
                <w:sz w:val="21"/>
              </w:rPr>
            </w:pPr>
          </w:p>
          <w:p>
            <w:pPr>
              <w:pStyle w:val="TableText"/>
              <w:spacing w:before="78" w:line="354" w:lineRule="auto"/>
              <w:ind w:left="13" w:firstLine="487"/>
              <w:jc w:val="both"/>
            </w:pPr>
            <w:r>
              <w:rPr>
                <w:spacing w:val="-2"/>
              </w:rPr>
              <w:t>翁田港农渔业区海域使用的用海方式管理要求</w:t>
            </w:r>
            <w:r>
              <w:rPr>
                <w:spacing w:val="-3"/>
              </w:rPr>
              <w:t>为应严格限制改变海域自然属性，</w:t>
            </w:r>
            <w:r>
              <w:t xml:space="preserve"> </w:t>
            </w:r>
            <w:r>
              <w:rPr>
                <w:spacing w:val="-2"/>
              </w:rPr>
              <w:t>避免渔港基础设施建设对珊瑚礁造成破坏。本项目的</w:t>
            </w:r>
            <w:r>
              <w:rPr>
                <w:spacing w:val="-3"/>
              </w:rPr>
              <w:t>主要用海方式为透水构筑物，属</w:t>
            </w:r>
          </w:p>
          <w:p>
            <w:pPr>
              <w:pStyle w:val="TableText"/>
              <w:spacing w:line="220" w:lineRule="auto"/>
              <w:ind w:left="19"/>
            </w:pPr>
            <w:r>
              <w:rPr>
                <w:spacing w:val="-1"/>
              </w:rPr>
              <w:t>于不改变海域自然属性的用海方式，符合功能区海域使用的用海方式管理要求。</w:t>
            </w:r>
          </w:p>
        </w:tc>
      </w:tr>
    </w:tbl>
    <w:p>
      <w:pPr>
        <w:sectPr>
          <w:headerReference w:type="default" r:id="rId9"/>
          <w:footerReference w:type="default" r:id="rId10"/>
          <w:type w:val="nextPage"/>
          <w:pgSz w:w="11906" w:h="16839"/>
          <w:pgMar w:top="1191" w:right="1298" w:bottom="1220" w:left="1298" w:header="901" w:footer="1015" w:gutter="0"/>
          <w:pgNumType w:start="5"/>
          <w:cols w:space="708"/>
          <w:titlePg w:val="0"/>
        </w:sectPr>
      </w:pPr>
    </w:p>
    <w:tbl>
      <w:tblPr>
        <w:tblStyle w:val="TableNormal1"/>
        <w:tblW w:w="9294"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466"/>
        <w:gridCol w:w="8828"/>
      </w:tblGrid>
      <w:tr>
        <w:tblPrEx>
          <w:tblW w:w="9294"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3337"/>
        </w:trPr>
        <w:tc>
          <w:tcPr>
            <w:tcW w:w="466" w:type="dxa"/>
            <w:tcBorders>
              <w:right w:val="single" w:sz="2" w:space="0" w:color="000000"/>
            </w:tcBorders>
            <w:vAlign w:val="top"/>
          </w:tcPr>
          <w:p/>
        </w:tc>
        <w:tc>
          <w:tcPr>
            <w:tcW w:w="8828" w:type="dxa"/>
            <w:tcBorders>
              <w:left w:val="single" w:sz="2" w:space="0" w:color="000000"/>
            </w:tcBorders>
            <w:vAlign w:val="top"/>
          </w:tcPr>
          <w:p>
            <w:pPr>
              <w:pStyle w:val="TableText"/>
              <w:spacing w:before="174" w:line="220" w:lineRule="auto"/>
              <w:ind w:right="10"/>
              <w:jc w:val="right"/>
            </w:pPr>
            <w:r>
              <w:rPr>
                <w:spacing w:val="-3"/>
              </w:rPr>
              <w:t>翁田港农渔业区海域整治管理要求为防止航道淤浅，维持渔船停泊航行的水深条</w:t>
            </w:r>
          </w:p>
        </w:tc>
      </w:tr>
    </w:tbl>
    <w:p>
      <w:pPr>
        <w:pStyle w:val="BodyText"/>
      </w:pPr>
    </w:p>
    <w:p>
      <w:pPr>
        <w:sectPr>
          <w:headerReference w:type="default" r:id="rId11"/>
          <w:footerReference w:type="default" r:id="rId12"/>
          <w:type w:val="nextPage"/>
          <w:pgSz w:w="11906" w:h="16839"/>
          <w:pgMar w:top="1191" w:right="1298" w:bottom="1220" w:left="1298" w:header="901" w:footer="1015" w:gutter="0"/>
          <w:pgNumType w:start="6"/>
          <w:cols w:space="708"/>
          <w:titlePg w:val="0"/>
        </w:sectPr>
      </w:pPr>
    </w:p>
    <w:tbl>
      <w:tblPr>
        <w:tblStyle w:val="TableNormal2"/>
        <w:tblW w:w="9294"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466"/>
        <w:gridCol w:w="8828"/>
      </w:tblGrid>
      <w:tr>
        <w:tblPrEx>
          <w:tblW w:w="9294"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3320"/>
        </w:trPr>
        <w:tc>
          <w:tcPr>
            <w:tcW w:w="466" w:type="dxa"/>
            <w:tcBorders>
              <w:right w:val="single" w:sz="2" w:space="0" w:color="000000"/>
            </w:tcBorders>
            <w:vAlign w:val="top"/>
          </w:tcPr>
          <w:p>
            <w:pPr>
              <w:rPr>
                <w:rFonts w:ascii="Arial"/>
                <w:sz w:val="21"/>
              </w:rPr>
            </w:pPr>
          </w:p>
        </w:tc>
        <w:tc>
          <w:tcPr>
            <w:tcW w:w="8828" w:type="dxa"/>
            <w:tcBorders>
              <w:left w:val="single" w:sz="2" w:space="0" w:color="000000"/>
            </w:tcBorders>
            <w:vAlign w:val="top"/>
          </w:tcPr>
          <w:p>
            <w:pPr>
              <w:pStyle w:val="TableText"/>
              <w:spacing w:before="194" w:line="354" w:lineRule="auto"/>
              <w:ind w:left="17" w:right="8" w:hanging="3"/>
              <w:jc w:val="both"/>
            </w:pPr>
            <w:r>
              <w:rPr>
                <w:spacing w:val="-2"/>
              </w:rPr>
              <w:t>件。本项目用海为透水构筑物用海，码头结构为浮</w:t>
            </w:r>
            <w:r>
              <w:rPr>
                <w:spacing w:val="-3"/>
              </w:rPr>
              <w:t>筒，采用抛锚定位方式，无海上永</w:t>
            </w:r>
            <w:r>
              <w:t xml:space="preserve"> </w:t>
            </w:r>
            <w:r>
              <w:rPr>
                <w:spacing w:val="-2"/>
              </w:rPr>
              <w:t>久性构筑物，浮码头建设完工后对潮流场的影</w:t>
            </w:r>
            <w:r>
              <w:rPr>
                <w:spacing w:val="-3"/>
              </w:rPr>
              <w:t>响极小，对翁田港的航道、水深条件基</w:t>
            </w:r>
          </w:p>
          <w:p>
            <w:pPr>
              <w:pStyle w:val="TableText"/>
              <w:spacing w:line="219" w:lineRule="auto"/>
              <w:ind w:left="16"/>
            </w:pPr>
            <w:r>
              <w:rPr>
                <w:spacing w:val="-1"/>
              </w:rPr>
              <w:t>本不构成影响。因此，项目用海符合海域整治管理要求。</w:t>
            </w:r>
          </w:p>
          <w:p>
            <w:pPr>
              <w:pStyle w:val="TableText"/>
              <w:spacing w:before="175" w:line="354" w:lineRule="auto"/>
              <w:ind w:left="15" w:right="10" w:firstLine="486"/>
              <w:jc w:val="both"/>
            </w:pPr>
            <w:r>
              <w:rPr>
                <w:spacing w:val="4"/>
              </w:rPr>
              <w:t>翁田港农渔业区的海洋环境保护要求重点保护目标为保护沿岸珊瑚礁及其生态</w:t>
            </w:r>
            <w:r>
              <w:rPr>
                <w:spacing w:val="7"/>
              </w:rPr>
              <w:t xml:space="preserve"> </w:t>
            </w:r>
            <w:r>
              <w:rPr>
                <w:spacing w:val="-2"/>
              </w:rPr>
              <w:t>系统；保护航道。本项目作为浮码头项目，要尽</w:t>
            </w:r>
            <w:r>
              <w:rPr>
                <w:spacing w:val="-3"/>
              </w:rPr>
              <w:t>量避免发生溢油事故，防止溢油对珊</w:t>
            </w:r>
            <w:r>
              <w:t xml:space="preserve"> </w:t>
            </w:r>
            <w:r>
              <w:rPr>
                <w:spacing w:val="-2"/>
              </w:rPr>
              <w:t>瑚礁的影响，必须制定溢油风险事故应急预案，</w:t>
            </w:r>
            <w:r>
              <w:rPr>
                <w:spacing w:val="-3"/>
              </w:rPr>
              <w:t>在项目的施工和运营中保障海洋环境</w:t>
            </w:r>
          </w:p>
          <w:p>
            <w:pPr>
              <w:pStyle w:val="TableText"/>
              <w:spacing w:before="1" w:line="220" w:lineRule="auto"/>
              <w:ind w:left="16"/>
            </w:pPr>
            <w:r>
              <w:rPr>
                <w:spacing w:val="-2"/>
              </w:rPr>
              <w:t>保护目标不受影响。</w:t>
            </w:r>
          </w:p>
          <w:p>
            <w:pPr>
              <w:pStyle w:val="TableText"/>
              <w:spacing w:before="172" w:line="354" w:lineRule="auto"/>
              <w:ind w:left="13" w:right="8" w:firstLine="488"/>
              <w:jc w:val="both"/>
            </w:pPr>
            <w:r>
              <w:rPr>
                <w:spacing w:val="-3"/>
              </w:rPr>
              <w:t>翁田港农渔业区的环境保护要求为执行二类海水水质标准，一类海洋沉积物质量</w:t>
            </w:r>
            <w:r>
              <w:rPr>
                <w:spacing w:val="8"/>
              </w:rPr>
              <w:t xml:space="preserve"> </w:t>
            </w:r>
            <w:r>
              <w:rPr>
                <w:spacing w:val="-2"/>
              </w:rPr>
              <w:t>标准，一类海洋生物质量标准。本项目临时浮码头采</w:t>
            </w:r>
            <w:r>
              <w:rPr>
                <w:spacing w:val="-3"/>
              </w:rPr>
              <w:t>用浮筒结构，为透水构筑物，水</w:t>
            </w:r>
            <w:r>
              <w:t xml:space="preserve"> </w:t>
            </w:r>
            <w:r>
              <w:rPr>
                <w:spacing w:val="-2"/>
              </w:rPr>
              <w:t>体交换能力较强，不会对项目区海域的生态环境产生明显</w:t>
            </w:r>
            <w:r>
              <w:rPr>
                <w:spacing w:val="-3"/>
              </w:rPr>
              <w:t>的影响。项目运营期，码头</w:t>
            </w:r>
            <w:r>
              <w:t xml:space="preserve"> </w:t>
            </w:r>
            <w:r>
              <w:rPr>
                <w:spacing w:val="-2"/>
              </w:rPr>
              <w:t>上产生的生活污水、休闲渔船舱底油污水和固体废物</w:t>
            </w:r>
            <w:r>
              <w:rPr>
                <w:spacing w:val="-3"/>
              </w:rPr>
              <w:t>将影响水质环境，运营期妥善处</w:t>
            </w:r>
            <w:r>
              <w:t xml:space="preserve"> </w:t>
            </w:r>
            <w:r>
              <w:rPr>
                <w:spacing w:val="-2"/>
              </w:rPr>
              <w:t>置这些废水、固体废物，减小项目运营对区域水质环境的</w:t>
            </w:r>
            <w:r>
              <w:rPr>
                <w:spacing w:val="-3"/>
              </w:rPr>
              <w:t>影响。项目业主单位在项目</w:t>
            </w:r>
            <w:r>
              <w:t xml:space="preserve"> </w:t>
            </w:r>
            <w:r>
              <w:rPr>
                <w:spacing w:val="-2"/>
              </w:rPr>
              <w:t>建设和运营期通过采取相应的污染控制措施和管理方</w:t>
            </w:r>
            <w:r>
              <w:rPr>
                <w:spacing w:val="-3"/>
              </w:rPr>
              <w:t>式后，项目用海能符合翁田港农</w:t>
            </w:r>
          </w:p>
          <w:p>
            <w:pPr>
              <w:pStyle w:val="TableText"/>
              <w:spacing w:before="1" w:line="220" w:lineRule="auto"/>
              <w:ind w:left="16"/>
            </w:pPr>
            <w:r>
              <w:rPr>
                <w:spacing w:val="-4"/>
              </w:rPr>
              <w:t>渔业区的环境保护要求（表</w:t>
            </w:r>
            <w:r>
              <w:rPr>
                <w:spacing w:val="-32"/>
              </w:rPr>
              <w:t xml:space="preserve"> </w:t>
            </w:r>
            <w:r>
              <w:rPr>
                <w:rFonts w:ascii="Times New Roman" w:eastAsia="Times New Roman" w:hAnsi="Times New Roman" w:cs="Times New Roman"/>
                <w:spacing w:val="-4"/>
              </w:rPr>
              <w:t>1-</w:t>
            </w:r>
            <w:r>
              <w:rPr>
                <w:rFonts w:ascii="Times New Roman" w:eastAsia="Times New Roman" w:hAnsi="Times New Roman" w:cs="Times New Roman"/>
                <w:spacing w:val="-33"/>
              </w:rPr>
              <w:t xml:space="preserve"> </w:t>
            </w:r>
            <w:r>
              <w:rPr>
                <w:rFonts w:ascii="Times New Roman" w:eastAsia="Times New Roman" w:hAnsi="Times New Roman" w:cs="Times New Roman"/>
                <w:spacing w:val="-4"/>
              </w:rPr>
              <w:t>1</w:t>
            </w:r>
            <w:r>
              <w:rPr>
                <w:spacing w:val="-4"/>
              </w:rPr>
              <w:t>）。</w:t>
            </w:r>
          </w:p>
          <w:p>
            <w:pPr>
              <w:pStyle w:val="TableText"/>
              <w:spacing w:before="171" w:line="220" w:lineRule="auto"/>
              <w:ind w:left="498"/>
            </w:pPr>
            <w:r>
              <w:t>综上所述，项目用海符合《海南省海洋功能区划（</w:t>
            </w:r>
            <w:r>
              <w:rPr>
                <w:rFonts w:ascii="Times New Roman" w:eastAsia="Times New Roman" w:hAnsi="Times New Roman" w:cs="Times New Roman"/>
                <w:spacing w:val="-1"/>
              </w:rPr>
              <w:t xml:space="preserve">2011-2020 </w:t>
            </w:r>
            <w:r>
              <w:rPr>
                <w:spacing w:val="-1"/>
              </w:rPr>
              <w:t>年）》。</w:t>
            </w:r>
          </w:p>
          <w:p>
            <w:pPr>
              <w:pStyle w:val="TableText"/>
              <w:spacing w:before="151" w:line="254" w:lineRule="auto"/>
              <w:ind w:left="19" w:right="8" w:hanging="6"/>
              <w:rPr>
                <w:sz w:val="28"/>
                <w:szCs w:val="28"/>
              </w:rPr>
            </w:pPr>
            <w:r>
              <w:rPr>
                <w:rFonts w:ascii="Times New Roman" w:eastAsia="Times New Roman" w:hAnsi="Times New Roman" w:cs="Times New Roman"/>
                <w:b/>
                <w:bCs/>
                <w:spacing w:val="-3"/>
                <w:sz w:val="28"/>
                <w:szCs w:val="28"/>
              </w:rPr>
              <w:t xml:space="preserve">2.  </w:t>
            </w:r>
            <w:r>
              <w:rPr>
                <w:spacing w:val="-3"/>
                <w:sz w:val="28"/>
                <w:szCs w:val="28"/>
                <w14:textOutline w14:w="5103" w14:cap="sq">
                  <w14:solidFill>
                    <w14:srgbClr w14:val="000000"/>
                  </w14:solidFill>
                  <w14:prstDash w14:val="solid"/>
                  <w14:bevel/>
                </w14:textOutline>
              </w:rPr>
              <w:t>与《海南省总体规划（空间类</w:t>
            </w:r>
            <w:r>
              <w:rPr>
                <w:spacing w:val="-64"/>
                <w:sz w:val="28"/>
                <w:szCs w:val="28"/>
              </w:rPr>
              <w:t xml:space="preserve"> </w:t>
            </w:r>
            <w:r>
              <w:rPr>
                <w:rFonts w:ascii="Times New Roman" w:eastAsia="Times New Roman" w:hAnsi="Times New Roman" w:cs="Times New Roman"/>
                <w:b/>
                <w:bCs/>
                <w:spacing w:val="-3"/>
                <w:sz w:val="28"/>
                <w:szCs w:val="28"/>
              </w:rPr>
              <w:t>2015-2030</w:t>
            </w:r>
            <w:r>
              <w:rPr>
                <w:spacing w:val="-3"/>
                <w:sz w:val="28"/>
                <w:szCs w:val="28"/>
                <w14:textOutline w14:w="5103" w14:cap="sq">
                  <w14:solidFill>
                    <w14:srgbClr w14:val="000000"/>
                  </w14:solidFill>
                  <w14:prstDash w14:val="solid"/>
                  <w14:bevel/>
                </w14:textOutline>
              </w:rPr>
              <w:t>）》生态保护</w:t>
            </w:r>
            <w:r>
              <w:rPr>
                <w:spacing w:val="-4"/>
                <w:sz w:val="28"/>
                <w:szCs w:val="28"/>
                <w14:textOutline w14:w="5103" w14:cap="sq">
                  <w14:solidFill>
                    <w14:srgbClr w14:val="000000"/>
                  </w14:solidFill>
                  <w14:prstDash w14:val="solid"/>
                  <w14:bevel/>
                </w14:textOutline>
              </w:rPr>
              <w:t>红线的符合性分</w:t>
            </w:r>
            <w:r>
              <w:rPr>
                <w:sz w:val="28"/>
                <w:szCs w:val="28"/>
              </w:rPr>
              <w:t xml:space="preserve"> </w:t>
            </w:r>
            <w:r>
              <w:rPr>
                <w:sz w:val="28"/>
                <w:szCs w:val="28"/>
                <w14:textOutline w14:w="5103" w14:cap="sq">
                  <w14:solidFill>
                    <w14:srgbClr w14:val="000000"/>
                  </w14:solidFill>
                  <w14:prstDash w14:val="solid"/>
                  <w14:bevel/>
                </w14:textOutline>
              </w:rPr>
              <w:t>析</w:t>
            </w:r>
          </w:p>
          <w:p>
            <w:pPr>
              <w:spacing w:line="283" w:lineRule="auto"/>
              <w:rPr>
                <w:rFonts w:ascii="Arial"/>
                <w:sz w:val="21"/>
              </w:rPr>
            </w:pPr>
          </w:p>
          <w:p>
            <w:pPr>
              <w:pStyle w:val="TableText"/>
              <w:spacing w:before="78" w:line="354" w:lineRule="auto"/>
              <w:ind w:left="17" w:firstLine="467"/>
              <w:jc w:val="both"/>
            </w:pPr>
            <w:r>
              <w:rPr>
                <w:spacing w:val="-8"/>
              </w:rPr>
              <w:t>根据海南省人民政府</w:t>
            </w:r>
            <w:r>
              <w:rPr>
                <w:spacing w:val="-56"/>
              </w:rPr>
              <w:t xml:space="preserve"> </w:t>
            </w:r>
            <w:r>
              <w:rPr>
                <w:rFonts w:ascii="Times New Roman" w:eastAsia="Times New Roman" w:hAnsi="Times New Roman" w:cs="Times New Roman"/>
                <w:spacing w:val="-8"/>
              </w:rPr>
              <w:t xml:space="preserve">2017 </w:t>
            </w:r>
            <w:r>
              <w:rPr>
                <w:spacing w:val="-8"/>
              </w:rPr>
              <w:t>年</w:t>
            </w:r>
            <w:r>
              <w:rPr>
                <w:spacing w:val="-52"/>
              </w:rPr>
              <w:t xml:space="preserve"> </w:t>
            </w:r>
            <w:r>
              <w:rPr>
                <w:rFonts w:ascii="Times New Roman" w:eastAsia="Times New Roman" w:hAnsi="Times New Roman" w:cs="Times New Roman"/>
                <w:spacing w:val="-8"/>
              </w:rPr>
              <w:t>9</w:t>
            </w:r>
            <w:r>
              <w:rPr>
                <w:rFonts w:ascii="Times New Roman" w:eastAsia="Times New Roman" w:hAnsi="Times New Roman" w:cs="Times New Roman"/>
                <w:spacing w:val="13"/>
              </w:rPr>
              <w:t xml:space="preserve"> </w:t>
            </w:r>
            <w:r>
              <w:rPr>
                <w:spacing w:val="-8"/>
              </w:rPr>
              <w:t>月公布的《海南省总体规划（</w:t>
            </w:r>
            <w:r>
              <w:rPr>
                <w:spacing w:val="-9"/>
              </w:rPr>
              <w:t>空间类</w:t>
            </w:r>
            <w:r>
              <w:rPr>
                <w:spacing w:val="-56"/>
              </w:rPr>
              <w:t xml:space="preserve"> </w:t>
            </w:r>
            <w:r>
              <w:rPr>
                <w:rFonts w:ascii="Times New Roman" w:eastAsia="Times New Roman" w:hAnsi="Times New Roman" w:cs="Times New Roman"/>
                <w:spacing w:val="-9"/>
              </w:rPr>
              <w:t>2015-2030</w:t>
            </w:r>
            <w:r>
              <w:rPr>
                <w:spacing w:val="-9"/>
              </w:rPr>
              <w:t>）》</w:t>
            </w:r>
            <w:r>
              <w:t xml:space="preserve"> </w:t>
            </w:r>
            <w:r>
              <w:rPr>
                <w:spacing w:val="-7"/>
              </w:rPr>
              <w:t>生态保护红线专篇，项目用海所属区域为文昌</w:t>
            </w:r>
            <w:r>
              <w:rPr>
                <w:spacing w:val="-8"/>
              </w:rPr>
              <w:t>翁田抱虎角区域，项目用海并未占用海</w:t>
            </w:r>
          </w:p>
          <w:p>
            <w:pPr>
              <w:pStyle w:val="TableText"/>
              <w:spacing w:before="1" w:line="220" w:lineRule="auto"/>
              <w:ind w:left="16"/>
            </w:pPr>
            <w:r>
              <w:rPr>
                <w:spacing w:val="-7"/>
              </w:rPr>
              <w:t>洋生态保护红线区域（图</w:t>
            </w:r>
            <w:r>
              <w:rPr>
                <w:spacing w:val="-27"/>
              </w:rPr>
              <w:t xml:space="preserve"> </w:t>
            </w:r>
            <w:r>
              <w:rPr>
                <w:rFonts w:ascii="Times New Roman" w:eastAsia="Times New Roman" w:hAnsi="Times New Roman" w:cs="Times New Roman"/>
                <w:spacing w:val="-7"/>
              </w:rPr>
              <w:t>1-2</w:t>
            </w:r>
            <w:r>
              <w:rPr>
                <w:spacing w:val="-7"/>
              </w:rPr>
              <w:t>）。</w:t>
            </w:r>
          </w:p>
          <w:p>
            <w:pPr>
              <w:pStyle w:val="TableText"/>
              <w:spacing w:before="173" w:line="354" w:lineRule="auto"/>
              <w:ind w:left="14" w:right="8" w:firstLine="484"/>
              <w:jc w:val="both"/>
            </w:pPr>
            <w:r>
              <w:rPr>
                <w:spacing w:val="4"/>
              </w:rPr>
              <w:t>项目周边的生态红线保护区主要是文昌麒麟菜省级自然保护区。从图中可以看</w:t>
            </w:r>
            <w:r>
              <w:rPr>
                <w:spacing w:val="10"/>
              </w:rPr>
              <w:t xml:space="preserve"> </w:t>
            </w:r>
            <w:r>
              <w:rPr>
                <w:spacing w:val="-2"/>
              </w:rPr>
              <w:t>出，项目用海不占用麒麟菜保护区。本项目浮码头用海</w:t>
            </w:r>
            <w:r>
              <w:rPr>
                <w:spacing w:val="-3"/>
              </w:rPr>
              <w:t>采用透水构筑物方式，不改变</w:t>
            </w:r>
            <w:r>
              <w:t xml:space="preserve"> </w:t>
            </w:r>
            <w:r>
              <w:rPr>
                <w:spacing w:val="-2"/>
              </w:rPr>
              <w:t>海域自然属性，项目不占用珊瑚礁资源及麒麟菜资</w:t>
            </w:r>
            <w:r>
              <w:rPr>
                <w:spacing w:val="-3"/>
              </w:rPr>
              <w:t>源，不会对珊瑚礁资源及其生态环</w:t>
            </w:r>
          </w:p>
          <w:p>
            <w:pPr>
              <w:pStyle w:val="TableText"/>
              <w:spacing w:before="1" w:line="219" w:lineRule="auto"/>
              <w:ind w:left="16"/>
            </w:pPr>
            <w:r>
              <w:rPr>
                <w:spacing w:val="-1"/>
              </w:rPr>
              <w:t>境造成影响。项目的建设进一步促进区域优势资源的开发利用。</w:t>
            </w:r>
          </w:p>
          <w:p>
            <w:pPr>
              <w:pStyle w:val="TableText"/>
              <w:spacing w:before="175" w:line="220" w:lineRule="auto"/>
              <w:ind w:left="514"/>
            </w:pPr>
            <w:r>
              <w:rPr>
                <w:spacing w:val="-2"/>
              </w:rPr>
              <w:t>因此，项目用海符合海南省海洋生态保护红线的要求。</w:t>
            </w:r>
          </w:p>
          <w:p>
            <w:pPr>
              <w:pStyle w:val="TableText"/>
              <w:spacing w:before="149" w:line="221" w:lineRule="auto"/>
              <w:ind w:left="10"/>
              <w:rPr>
                <w:sz w:val="28"/>
                <w:szCs w:val="28"/>
              </w:rPr>
            </w:pPr>
            <w:r>
              <w:rPr>
                <w:rFonts w:ascii="Times New Roman" w:eastAsia="Times New Roman" w:hAnsi="Times New Roman" w:cs="Times New Roman"/>
                <w:b/>
                <w:bCs/>
                <w:sz w:val="28"/>
                <w:szCs w:val="28"/>
              </w:rPr>
              <w:t xml:space="preserve">3.  </w:t>
            </w:r>
            <w:r>
              <w:rPr>
                <w:sz w:val="28"/>
                <w:szCs w:val="28"/>
                <w14:textOutline w14:w="5103" w14:cap="sq">
                  <w14:solidFill>
                    <w14:srgbClr w14:val="000000"/>
                  </w14:solidFill>
                  <w14:prstDash w14:val="solid"/>
                  <w14:bevel/>
                </w14:textOutline>
              </w:rPr>
              <w:t>与《海南省海洋主体功能区规划》符合性分析</w:t>
            </w:r>
          </w:p>
        </w:tc>
      </w:tr>
    </w:tbl>
    <w:p>
      <w:pPr>
        <w:sectPr>
          <w:headerReference w:type="default" r:id="rId13"/>
          <w:footerReference w:type="default" r:id="rId14"/>
          <w:pgSz w:w="11906" w:h="16839"/>
          <w:pgMar w:top="1220" w:right="1298" w:bottom="1220" w:left="1298" w:header="901" w:footer="1015" w:gutter="0"/>
          <w:pgNumType w:start="7"/>
          <w:cols w:space="708"/>
        </w:sectPr>
      </w:pPr>
    </w:p>
    <w:tbl>
      <w:tblPr>
        <w:tblStyle w:val="TableNormal3"/>
        <w:tblW w:w="9294"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466"/>
        <w:gridCol w:w="8828"/>
      </w:tblGrid>
      <w:tr>
        <w:tblPrEx>
          <w:tblW w:w="9294"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3320"/>
        </w:trPr>
        <w:tc>
          <w:tcPr>
            <w:tcW w:w="466" w:type="dxa"/>
            <w:tcBorders>
              <w:right w:val="single" w:sz="2" w:space="0" w:color="000000"/>
            </w:tcBorders>
            <w:vAlign w:val="top"/>
          </w:tcPr>
          <w:p/>
        </w:tc>
        <w:tc>
          <w:tcPr>
            <w:tcW w:w="8828" w:type="dxa"/>
            <w:tcBorders>
              <w:left w:val="single" w:sz="2" w:space="0" w:color="000000"/>
            </w:tcBorders>
            <w:vAlign w:val="top"/>
          </w:tcPr>
          <w:p>
            <w:pPr>
              <w:spacing w:line="285" w:lineRule="auto"/>
              <w:rPr>
                <w:rFonts w:ascii="Arial"/>
                <w:sz w:val="21"/>
              </w:rPr>
            </w:pPr>
          </w:p>
          <w:p>
            <w:pPr>
              <w:pStyle w:val="TableText"/>
              <w:spacing w:before="79" w:line="460" w:lineRule="exact"/>
              <w:ind w:right="10"/>
              <w:jc w:val="right"/>
            </w:pPr>
            <w:r>
              <w:rPr>
                <w:spacing w:val="-3"/>
                <w:position w:val="16"/>
              </w:rPr>
              <w:t>根据《海南省海洋主体功能区规划》，文昌翁田湖心港沿岸海域属于海洋禁止开</w:t>
            </w:r>
          </w:p>
          <w:p>
            <w:pPr>
              <w:pStyle w:val="TableText"/>
              <w:spacing w:line="220" w:lineRule="auto"/>
              <w:ind w:left="19"/>
            </w:pPr>
            <w:r>
              <w:rPr>
                <w:spacing w:val="-2"/>
              </w:rPr>
              <w:t>发区域。而《规划》对海洋禁止开发区域的</w:t>
            </w:r>
            <w:r>
              <w:rPr>
                <w:spacing w:val="-3"/>
              </w:rPr>
              <w:t>开发管制要求为严格执行国家和地方关于</w:t>
            </w:r>
          </w:p>
        </w:tc>
      </w:tr>
    </w:tbl>
    <w:p>
      <w:pPr>
        <w:pStyle w:val="BodyText"/>
      </w:pPr>
    </w:p>
    <w:p>
      <w:pPr>
        <w:sectPr>
          <w:headerReference w:type="default" r:id="rId15"/>
          <w:footerReference w:type="default" r:id="rId16"/>
          <w:type w:val="nextPage"/>
          <w:pgSz w:w="11906" w:h="16839"/>
          <w:pgMar w:top="1220" w:right="1298" w:bottom="1220" w:left="1298" w:header="901" w:footer="1015" w:gutter="0"/>
          <w:pgNumType w:start="8"/>
          <w:cols w:space="708"/>
          <w:titlePg w:val="0"/>
        </w:sectPr>
      </w:pPr>
    </w:p>
    <w:p>
      <w:pPr>
        <w:spacing w:before="13"/>
      </w:pPr>
      <w:r>
        <w:pict>
          <v:rect id="_x0000_s1027" style="width:442.25pt;height:0.75pt;margin-top:60.31pt;margin-left:76.55pt;mso-position-horizontal-relative:page;mso-position-vertical-relative:page;position:absolute;z-index:251660288" o:allowincell="f" filled="t" fillcolor="black" stroked="f"/>
        </w:pict>
      </w:r>
    </w:p>
    <w:tbl>
      <w:tblPr>
        <w:tblStyle w:val="TableNormal4"/>
        <w:tblW w:w="9294"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466"/>
        <w:gridCol w:w="8828"/>
      </w:tblGrid>
      <w:tr>
        <w:tblPrEx>
          <w:tblW w:w="9294"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3081"/>
        </w:trPr>
        <w:tc>
          <w:tcPr>
            <w:tcW w:w="466" w:type="dxa"/>
            <w:tcBorders>
              <w:right w:val="single" w:sz="2" w:space="0" w:color="000000"/>
            </w:tcBorders>
            <w:vAlign w:val="top"/>
          </w:tcPr>
          <w:p>
            <w:pPr>
              <w:rPr>
                <w:rFonts w:ascii="Arial"/>
                <w:sz w:val="21"/>
              </w:rPr>
            </w:pPr>
          </w:p>
        </w:tc>
        <w:tc>
          <w:tcPr>
            <w:tcW w:w="8828" w:type="dxa"/>
            <w:tcBorders>
              <w:left w:val="single" w:sz="2" w:space="0" w:color="000000"/>
            </w:tcBorders>
            <w:vAlign w:val="top"/>
          </w:tcPr>
          <w:p>
            <w:pPr>
              <w:pStyle w:val="TableText"/>
              <w:spacing w:before="193" w:line="354" w:lineRule="auto"/>
              <w:ind w:left="14" w:right="8"/>
              <w:jc w:val="both"/>
            </w:pPr>
            <w:r>
              <w:rPr>
                <w:spacing w:val="-2"/>
              </w:rPr>
              <w:t>海洋保护区管理的法律法规，遵从保护区总体规划</w:t>
            </w:r>
            <w:r>
              <w:rPr>
                <w:spacing w:val="-3"/>
              </w:rPr>
              <w:t>或保护与发展规划，规范保护区内</w:t>
            </w:r>
            <w:r>
              <w:t xml:space="preserve"> </w:t>
            </w:r>
            <w:r>
              <w:rPr>
                <w:spacing w:val="-2"/>
              </w:rPr>
              <w:t>各类保护与开发建设活动。海洋自然保护区核心区</w:t>
            </w:r>
            <w:r>
              <w:rPr>
                <w:spacing w:val="-3"/>
              </w:rPr>
              <w:t>和缓冲区除经省和沿海市县海洋管</w:t>
            </w:r>
            <w:r>
              <w:t xml:space="preserve"> </w:t>
            </w:r>
            <w:r>
              <w:rPr>
                <w:spacing w:val="-2"/>
              </w:rPr>
              <w:t>理部门批准进行的调查观测和科学研究活动外，禁</w:t>
            </w:r>
            <w:r>
              <w:rPr>
                <w:spacing w:val="-3"/>
              </w:rPr>
              <w:t>止一切可能对保护区造成危害或不</w:t>
            </w:r>
            <w:r>
              <w:t xml:space="preserve"> </w:t>
            </w:r>
            <w:r>
              <w:rPr>
                <w:spacing w:val="-2"/>
              </w:rPr>
              <w:t>良影响的活动，禁止填海造地；实验区在保护区管理机</w:t>
            </w:r>
            <w:r>
              <w:rPr>
                <w:spacing w:val="-3"/>
              </w:rPr>
              <w:t>构统一规划和指导下，可有计</w:t>
            </w:r>
            <w:r>
              <w:t xml:space="preserve"> </w:t>
            </w:r>
            <w:r>
              <w:rPr>
                <w:spacing w:val="4"/>
              </w:rPr>
              <w:t>划进行适度开发活动，用于开发利用或保护区能力建设的海上设施以透水构筑物为</w:t>
            </w:r>
          </w:p>
          <w:p>
            <w:pPr>
              <w:pStyle w:val="TableText"/>
              <w:spacing w:line="213" w:lineRule="auto"/>
              <w:ind w:left="17"/>
            </w:pPr>
            <w:r>
              <w:rPr>
                <w:spacing w:val="-3"/>
              </w:rPr>
              <w:t>主，严格控制填海造地（图</w:t>
            </w:r>
            <w:r>
              <w:rPr>
                <w:spacing w:val="-23"/>
              </w:rPr>
              <w:t xml:space="preserve"> </w:t>
            </w:r>
            <w:r>
              <w:rPr>
                <w:rFonts w:ascii="Times New Roman" w:eastAsia="Times New Roman" w:hAnsi="Times New Roman" w:cs="Times New Roman"/>
                <w:spacing w:val="-3"/>
              </w:rPr>
              <w:t>1-3</w:t>
            </w:r>
            <w:r>
              <w:rPr>
                <w:spacing w:val="-3"/>
              </w:rPr>
              <w:t>）。</w:t>
            </w:r>
          </w:p>
          <w:p>
            <w:pPr>
              <w:spacing w:line="6144" w:lineRule="exact"/>
              <w:ind w:firstLine="764"/>
            </w:pPr>
            <w:r>
              <w:rPr>
                <w:position w:val="-122"/>
              </w:rPr>
              <w:drawing>
                <wp:inline distT="0" distB="0" distL="0" distR="0">
                  <wp:extent cx="4626863" cy="390144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17"/>
                          <a:stretch>
                            <a:fillRect/>
                          </a:stretch>
                        </pic:blipFill>
                        <pic:spPr>
                          <a:xfrm>
                            <a:off x="0" y="0"/>
                            <a:ext cx="4626863" cy="3901440"/>
                          </a:xfrm>
                          <a:prstGeom prst="rect">
                            <a:avLst/>
                          </a:prstGeom>
                        </pic:spPr>
                      </pic:pic>
                    </a:graphicData>
                  </a:graphic>
                </wp:inline>
              </w:drawing>
            </w:r>
          </w:p>
          <w:p>
            <w:pPr>
              <w:pStyle w:val="TableText"/>
              <w:spacing w:before="85" w:line="229" w:lineRule="auto"/>
              <w:ind w:left="2730"/>
              <w:rPr>
                <w:sz w:val="20"/>
                <w:szCs w:val="20"/>
              </w:rPr>
            </w:pPr>
            <w:r>
              <w:rPr>
                <w:spacing w:val="6"/>
                <w:sz w:val="20"/>
                <w:szCs w:val="20"/>
                <w14:textOutline w14:w="3795" w14:cap="sq">
                  <w14:solidFill>
                    <w14:srgbClr w14:val="000000"/>
                  </w14:solidFill>
                  <w14:prstDash w14:val="solid"/>
                  <w14:bevel/>
                </w14:textOutline>
              </w:rPr>
              <w:t>图</w:t>
            </w:r>
            <w:r>
              <w:rPr>
                <w:spacing w:val="-16"/>
                <w:sz w:val="20"/>
                <w:szCs w:val="20"/>
              </w:rPr>
              <w:t xml:space="preserve"> </w:t>
            </w:r>
            <w:r>
              <w:rPr>
                <w:spacing w:val="6"/>
                <w:sz w:val="20"/>
                <w:szCs w:val="20"/>
                <w14:textOutline w14:w="3795" w14:cap="sq">
                  <w14:solidFill>
                    <w14:srgbClr w14:val="000000"/>
                  </w14:solidFill>
                  <w14:prstDash w14:val="solid"/>
                  <w14:bevel/>
                </w14:textOutline>
              </w:rPr>
              <w:t>1-2</w:t>
            </w:r>
            <w:r>
              <w:rPr>
                <w:spacing w:val="6"/>
                <w:sz w:val="20"/>
                <w:szCs w:val="20"/>
              </w:rPr>
              <w:t xml:space="preserve"> </w:t>
            </w:r>
            <w:r>
              <w:rPr>
                <w:spacing w:val="6"/>
                <w:sz w:val="20"/>
                <w:szCs w:val="20"/>
                <w14:textOutline w14:w="3795" w14:cap="sq">
                  <w14:solidFill>
                    <w14:srgbClr w14:val="000000"/>
                  </w14:solidFill>
                  <w14:prstDash w14:val="solid"/>
                  <w14:bevel/>
                </w14:textOutline>
              </w:rPr>
              <w:t>项目用海所在区域红线规划图</w:t>
            </w:r>
          </w:p>
          <w:p>
            <w:pPr>
              <w:pStyle w:val="TableText"/>
              <w:spacing w:before="312" w:line="354" w:lineRule="auto"/>
              <w:ind w:left="15" w:right="10" w:firstLine="478"/>
              <w:jc w:val="both"/>
            </w:pPr>
            <w:r>
              <w:rPr>
                <w:spacing w:val="-3"/>
              </w:rPr>
              <w:t>休闲渔业是满足广大人民群众日益增长的文化休闲需求、顺应渔业发展方向、培</w:t>
            </w:r>
            <w:r>
              <w:rPr>
                <w:spacing w:val="17"/>
              </w:rPr>
              <w:t xml:space="preserve"> </w:t>
            </w:r>
            <w:r>
              <w:rPr>
                <w:spacing w:val="-2"/>
              </w:rPr>
              <w:t>育新消费热点和经济增长点的新兴交叉产业。加</w:t>
            </w:r>
            <w:r>
              <w:rPr>
                <w:spacing w:val="-3"/>
              </w:rPr>
              <w:t>快发展休闲渔业，对海南高标准高质</w:t>
            </w:r>
            <w:r>
              <w:t xml:space="preserve"> </w:t>
            </w:r>
            <w:r>
              <w:rPr>
                <w:spacing w:val="4"/>
              </w:rPr>
              <w:t>量推进自由贸易试验区和中国特色自由贸易港建设具有重要且紧迫的现实意义和深</w:t>
            </w:r>
          </w:p>
          <w:p>
            <w:pPr>
              <w:pStyle w:val="TableText"/>
              <w:spacing w:before="1" w:line="220" w:lineRule="auto"/>
              <w:ind w:left="15"/>
            </w:pPr>
            <w:r>
              <w:rPr>
                <w:spacing w:val="-2"/>
              </w:rPr>
              <w:t>远的战略意义。</w:t>
            </w:r>
          </w:p>
          <w:p>
            <w:pPr>
              <w:pStyle w:val="TableText"/>
              <w:spacing w:before="173" w:after="0" w:line="354" w:lineRule="auto"/>
              <w:ind w:left="15" w:right="80" w:firstLine="478"/>
              <w:jc w:val="both"/>
            </w:pPr>
            <w:r>
              <w:rPr>
                <w:spacing w:val="-5"/>
              </w:rPr>
              <w:t>文昌海钓休闲运动中心将依托文昌天然渔港</w:t>
            </w:r>
            <w:r>
              <w:rPr>
                <w:rFonts w:ascii="Times New Roman" w:eastAsia="Times New Roman" w:hAnsi="Times New Roman" w:cs="Times New Roman"/>
                <w:spacing w:val="-5"/>
              </w:rPr>
              <w:t>——</w:t>
            </w:r>
            <w:r>
              <w:rPr>
                <w:spacing w:val="-5"/>
              </w:rPr>
              <w:t>湖心港、丰富的渔获资源和优美</w:t>
            </w:r>
            <w:r>
              <w:rPr>
                <w:spacing w:val="17"/>
              </w:rPr>
              <w:t xml:space="preserve"> </w:t>
            </w:r>
            <w:r>
              <w:rPr>
                <w:spacing w:val="-4"/>
              </w:rPr>
              <w:t>的自然环境，先行探索休闲渔业创新、高端、特色发展的</w:t>
            </w:r>
            <w:r>
              <w:rPr>
                <w:spacing w:val="-5"/>
              </w:rPr>
              <w:t>模式，以海钓文化和运动为</w:t>
            </w:r>
            <w:r>
              <w:t xml:space="preserve"> </w:t>
            </w:r>
          </w:p>
        </w:tc>
      </w:tr>
    </w:tbl>
    <w:p>
      <w:pPr>
        <w:sectPr>
          <w:headerReference w:type="default" r:id="rId18"/>
          <w:footerReference w:type="default" r:id="rId19"/>
          <w:pgSz w:w="11906" w:h="16839"/>
          <w:pgMar w:top="1191" w:right="1298" w:bottom="1220" w:left="1298" w:header="901" w:footer="1015" w:gutter="0"/>
          <w:pgNumType w:start="9"/>
          <w:cols w:space="708"/>
        </w:sectPr>
      </w:pPr>
    </w:p>
    <w:tbl>
      <w:tblPr>
        <w:tblStyle w:val="TableNormal5"/>
        <w:tblW w:w="9294"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466"/>
        <w:gridCol w:w="8828"/>
      </w:tblGrid>
      <w:tr>
        <w:tblPrEx>
          <w:tblW w:w="9294"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3081"/>
        </w:trPr>
        <w:tc>
          <w:tcPr>
            <w:tcW w:w="466" w:type="dxa"/>
            <w:tcBorders>
              <w:right w:val="single" w:sz="2" w:space="0" w:color="000000"/>
            </w:tcBorders>
            <w:vAlign w:val="top"/>
          </w:tcPr>
          <w:p/>
        </w:tc>
        <w:tc>
          <w:tcPr>
            <w:tcW w:w="8828" w:type="dxa"/>
            <w:tcBorders>
              <w:left w:val="single" w:sz="2" w:space="0" w:color="000000"/>
            </w:tcBorders>
            <w:vAlign w:val="top"/>
          </w:tcPr>
          <w:p>
            <w:pPr>
              <w:pStyle w:val="TableText"/>
              <w:spacing w:before="0" w:line="354" w:lineRule="auto"/>
              <w:ind w:left="15" w:right="80" w:firstLine="478"/>
              <w:jc w:val="both"/>
            </w:pPr>
            <w:r>
              <w:rPr>
                <w:spacing w:val="-4"/>
              </w:rPr>
              <w:t>抓手，联动海上休闲娱乐，重点发展海上运动、休闲旅游</w:t>
            </w:r>
            <w:r>
              <w:rPr>
                <w:spacing w:val="-5"/>
              </w:rPr>
              <w:t>等产业，打造高端的休闲渔</w:t>
            </w:r>
          </w:p>
          <w:p>
            <w:pPr>
              <w:pStyle w:val="TableText"/>
              <w:spacing w:line="220" w:lineRule="auto"/>
              <w:jc w:val="right"/>
            </w:pPr>
            <w:r>
              <w:rPr>
                <w:spacing w:val="-8"/>
              </w:rPr>
              <w:t>业旅游驿站基地，助力文昌当地渔民转产转业，丰富旅</w:t>
            </w:r>
            <w:r>
              <w:rPr>
                <w:spacing w:val="-9"/>
              </w:rPr>
              <w:t>游产品内涵，提升旅游吸引力。</w:t>
            </w:r>
          </w:p>
        </w:tc>
      </w:tr>
    </w:tbl>
    <w:p>
      <w:pPr>
        <w:pStyle w:val="BodyText"/>
      </w:pPr>
    </w:p>
    <w:p>
      <w:pPr>
        <w:sectPr>
          <w:headerReference w:type="default" r:id="rId20"/>
          <w:footerReference w:type="default" r:id="rId21"/>
          <w:type w:val="nextPage"/>
          <w:pgSz w:w="11906" w:h="16839"/>
          <w:pgMar w:top="1191" w:right="1298" w:bottom="1220" w:left="1298" w:header="901" w:footer="1015" w:gutter="0"/>
          <w:pgNumType w:start="10"/>
          <w:cols w:space="708"/>
          <w:titlePg w:val="0"/>
        </w:sectPr>
      </w:pPr>
    </w:p>
    <w:p>
      <w:pPr>
        <w:spacing w:before="13"/>
      </w:pPr>
      <w:r>
        <w:pict>
          <v:rect id="_x0000_s1028" style="width:442.25pt;height:0.75pt;margin-top:60.31pt;margin-left:76.55pt;mso-position-horizontal-relative:page;mso-position-vertical-relative:page;position:absolute;z-index:251661312" o:allowincell="f" filled="t" fillcolor="black" stroked="f"/>
        </w:pict>
      </w:r>
    </w:p>
    <w:tbl>
      <w:tblPr>
        <w:tblStyle w:val="TableNormal6"/>
        <w:tblW w:w="9294"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466"/>
        <w:gridCol w:w="8828"/>
      </w:tblGrid>
      <w:tr>
        <w:tblPrEx>
          <w:tblW w:w="9294"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3001"/>
        </w:trPr>
        <w:tc>
          <w:tcPr>
            <w:tcW w:w="466" w:type="dxa"/>
            <w:tcBorders>
              <w:right w:val="single" w:sz="2" w:space="0" w:color="000000"/>
            </w:tcBorders>
            <w:vAlign w:val="top"/>
          </w:tcPr>
          <w:p>
            <w:pPr>
              <w:rPr>
                <w:rFonts w:ascii="Arial"/>
                <w:sz w:val="21"/>
              </w:rPr>
            </w:pPr>
          </w:p>
        </w:tc>
        <w:tc>
          <w:tcPr>
            <w:tcW w:w="8828" w:type="dxa"/>
            <w:tcBorders>
              <w:left w:val="single" w:sz="2" w:space="0" w:color="000000"/>
            </w:tcBorders>
            <w:vAlign w:val="top"/>
          </w:tcPr>
          <w:p>
            <w:pPr>
              <w:pStyle w:val="TableText"/>
              <w:spacing w:before="196" w:line="211" w:lineRule="auto"/>
              <w:ind w:left="514"/>
            </w:pPr>
            <w:r>
              <w:rPr>
                <w:spacing w:val="-2"/>
              </w:rPr>
              <w:t>因此，项目用海符合《海南省海洋主体功能区划》。</w:t>
            </w:r>
          </w:p>
          <w:p>
            <w:pPr>
              <w:spacing w:line="5167" w:lineRule="exact"/>
              <w:ind w:firstLine="212"/>
            </w:pPr>
            <w:r>
              <w:rPr>
                <w:position w:val="-103"/>
              </w:rPr>
              <w:drawing>
                <wp:inline distT="0" distB="0" distL="0" distR="0">
                  <wp:extent cx="5327904" cy="3281171"/>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22"/>
                          <a:stretch>
                            <a:fillRect/>
                          </a:stretch>
                        </pic:blipFill>
                        <pic:spPr>
                          <a:xfrm>
                            <a:off x="0" y="0"/>
                            <a:ext cx="5327904" cy="3281171"/>
                          </a:xfrm>
                          <a:prstGeom prst="rect">
                            <a:avLst/>
                          </a:prstGeom>
                        </pic:spPr>
                      </pic:pic>
                    </a:graphicData>
                  </a:graphic>
                </wp:inline>
              </w:drawing>
            </w:r>
          </w:p>
          <w:p>
            <w:pPr>
              <w:pStyle w:val="TableText"/>
              <w:spacing w:before="93" w:line="228" w:lineRule="auto"/>
              <w:ind w:left="2099"/>
              <w:rPr>
                <w:sz w:val="20"/>
                <w:szCs w:val="20"/>
              </w:rPr>
            </w:pPr>
            <w:r>
              <w:rPr>
                <w:spacing w:val="7"/>
                <w:sz w:val="20"/>
                <w:szCs w:val="20"/>
                <w14:textOutline w14:w="3795" w14:cap="sq">
                  <w14:solidFill>
                    <w14:srgbClr w14:val="000000"/>
                  </w14:solidFill>
                  <w14:prstDash w14:val="solid"/>
                  <w14:bevel/>
                </w14:textOutline>
              </w:rPr>
              <w:t>图</w:t>
            </w:r>
            <w:r>
              <w:rPr>
                <w:spacing w:val="-9"/>
                <w:sz w:val="20"/>
                <w:szCs w:val="20"/>
              </w:rPr>
              <w:t xml:space="preserve"> </w:t>
            </w:r>
            <w:r>
              <w:rPr>
                <w:spacing w:val="7"/>
                <w:sz w:val="20"/>
                <w:szCs w:val="20"/>
                <w14:textOutline w14:w="3795" w14:cap="sq">
                  <w14:solidFill>
                    <w14:srgbClr w14:val="000000"/>
                  </w14:solidFill>
                  <w14:prstDash w14:val="solid"/>
                  <w14:bevel/>
                </w14:textOutline>
              </w:rPr>
              <w:t>1-3</w:t>
            </w:r>
            <w:r>
              <w:rPr>
                <w:spacing w:val="7"/>
                <w:sz w:val="20"/>
                <w:szCs w:val="20"/>
              </w:rPr>
              <w:t xml:space="preserve"> </w:t>
            </w:r>
            <w:r>
              <w:rPr>
                <w:spacing w:val="7"/>
                <w:sz w:val="20"/>
                <w:szCs w:val="20"/>
                <w14:textOutline w14:w="3795" w14:cap="sq">
                  <w14:solidFill>
                    <w14:srgbClr w14:val="000000"/>
                  </w14:solidFill>
                  <w14:prstDash w14:val="solid"/>
                  <w14:bevel/>
                </w14:textOutline>
              </w:rPr>
              <w:t>项目用海与海南省海洋主体功能区划关系图</w:t>
            </w:r>
          </w:p>
          <w:p>
            <w:pPr>
              <w:pStyle w:val="TableText"/>
              <w:spacing w:before="290" w:line="220" w:lineRule="auto"/>
              <w:ind w:left="13"/>
              <w:rPr>
                <w:sz w:val="28"/>
                <w:szCs w:val="28"/>
              </w:rPr>
            </w:pPr>
            <w:r>
              <w:rPr>
                <w:rFonts w:ascii="Times New Roman" w:eastAsia="Times New Roman" w:hAnsi="Times New Roman" w:cs="Times New Roman"/>
                <w:b/>
                <w:bCs/>
                <w:spacing w:val="-4"/>
                <w:sz w:val="28"/>
                <w:szCs w:val="28"/>
              </w:rPr>
              <w:t xml:space="preserve">4.  </w:t>
            </w:r>
            <w:r>
              <w:rPr>
                <w:spacing w:val="-4"/>
                <w:sz w:val="28"/>
                <w:szCs w:val="28"/>
                <w14:textOutline w14:w="5103" w14:cap="sq">
                  <w14:solidFill>
                    <w14:srgbClr w14:val="000000"/>
                  </w14:solidFill>
                  <w14:prstDash w14:val="solid"/>
                  <w14:bevel/>
                </w14:textOutline>
              </w:rPr>
              <w:t>与《海南省乡村振兴战略规划（</w:t>
            </w:r>
            <w:r>
              <w:rPr>
                <w:rFonts w:ascii="Times New Roman" w:eastAsia="Times New Roman" w:hAnsi="Times New Roman" w:cs="Times New Roman"/>
                <w:b/>
                <w:bCs/>
                <w:spacing w:val="-4"/>
                <w:sz w:val="28"/>
                <w:szCs w:val="28"/>
              </w:rPr>
              <w:t xml:space="preserve">2018-2022 </w:t>
            </w:r>
            <w:r>
              <w:rPr>
                <w:spacing w:val="-4"/>
                <w:sz w:val="28"/>
                <w:szCs w:val="28"/>
                <w14:textOutline w14:w="5103" w14:cap="sq">
                  <w14:solidFill>
                    <w14:srgbClr w14:val="000000"/>
                  </w14:solidFill>
                  <w14:prstDash w14:val="solid"/>
                  <w14:bevel/>
                </w14:textOutline>
              </w:rPr>
              <w:t>年）》符合性分析</w:t>
            </w:r>
          </w:p>
          <w:p>
            <w:pPr>
              <w:spacing w:line="284" w:lineRule="auto"/>
              <w:rPr>
                <w:rFonts w:ascii="Arial"/>
                <w:sz w:val="21"/>
              </w:rPr>
            </w:pPr>
          </w:p>
          <w:p>
            <w:pPr>
              <w:pStyle w:val="TableText"/>
              <w:spacing w:before="78" w:line="354" w:lineRule="auto"/>
              <w:ind w:left="13" w:right="6" w:firstLine="481"/>
              <w:jc w:val="both"/>
            </w:pPr>
            <w:r>
              <w:t>根据《海南省乡村振兴战略规划（</w:t>
            </w:r>
            <w:r>
              <w:rPr>
                <w:rFonts w:ascii="Times New Roman" w:eastAsia="Times New Roman" w:hAnsi="Times New Roman" w:cs="Times New Roman"/>
              </w:rPr>
              <w:t xml:space="preserve">2018-2022 </w:t>
            </w:r>
            <w:r>
              <w:t>年）》，对于发展休闲渔业的要求</w:t>
            </w:r>
            <w:r>
              <w:rPr>
                <w:spacing w:val="10"/>
              </w:rPr>
              <w:t xml:space="preserve"> </w:t>
            </w:r>
            <w:r>
              <w:rPr>
                <w:spacing w:val="1"/>
              </w:rPr>
              <w:t>是：</w:t>
            </w:r>
            <w:r>
              <w:rPr>
                <w:rFonts w:ascii="Times New Roman" w:eastAsia="Times New Roman" w:hAnsi="Times New Roman" w:cs="Times New Roman"/>
                <w:spacing w:val="1"/>
              </w:rPr>
              <w:t>“</w:t>
            </w:r>
            <w:r>
              <w:rPr>
                <w:spacing w:val="1"/>
              </w:rPr>
              <w:t>划定海洋公园、渔港休闲渔业专区，举办渔文化节和传统渔业赛事。重点发展</w:t>
            </w:r>
            <w:r>
              <w:rPr>
                <w:spacing w:val="8"/>
              </w:rPr>
              <w:t xml:space="preserve"> </w:t>
            </w:r>
            <w:r>
              <w:rPr>
                <w:spacing w:val="-2"/>
              </w:rPr>
              <w:t>潜水观光、潜捕、海钓、观赏鱼、渔事体验、住宿美食、科普等</w:t>
            </w:r>
            <w:r>
              <w:rPr>
                <w:spacing w:val="-3"/>
              </w:rPr>
              <w:t>多功能为一体的特色</w:t>
            </w:r>
            <w:r>
              <w:t xml:space="preserve"> </w:t>
            </w:r>
            <w:r>
              <w:t>休闲渔业。到</w:t>
            </w:r>
            <w:r>
              <w:rPr>
                <w:spacing w:val="-55"/>
              </w:rPr>
              <w:t xml:space="preserve"> </w:t>
            </w:r>
            <w:r>
              <w:rPr>
                <w:rFonts w:ascii="Times New Roman" w:eastAsia="Times New Roman" w:hAnsi="Times New Roman" w:cs="Times New Roman"/>
              </w:rPr>
              <w:t xml:space="preserve">2022 </w:t>
            </w:r>
            <w:r>
              <w:t>年，打造</w:t>
            </w:r>
            <w:r>
              <w:rPr>
                <w:spacing w:val="-50"/>
              </w:rPr>
              <w:t xml:space="preserve"> </w:t>
            </w:r>
            <w:r>
              <w:rPr>
                <w:rFonts w:ascii="Times New Roman" w:eastAsia="Times New Roman" w:hAnsi="Times New Roman" w:cs="Times New Roman"/>
              </w:rPr>
              <w:t xml:space="preserve">30 </w:t>
            </w:r>
            <w:r>
              <w:t>个省级、市县级休闲渔</w:t>
            </w:r>
            <w:r>
              <w:rPr>
                <w:spacing w:val="-1"/>
              </w:rPr>
              <w:t>业示范点，建设</w:t>
            </w:r>
            <w:r>
              <w:rPr>
                <w:spacing w:val="-29"/>
              </w:rPr>
              <w:t xml:space="preserve"> </w:t>
            </w:r>
            <w:r>
              <w:rPr>
                <w:rFonts w:ascii="Times New Roman" w:eastAsia="Times New Roman" w:hAnsi="Times New Roman" w:cs="Times New Roman"/>
                <w:spacing w:val="-1"/>
              </w:rPr>
              <w:t xml:space="preserve">10 </w:t>
            </w:r>
            <w:r>
              <w:rPr>
                <w:spacing w:val="-1"/>
              </w:rPr>
              <w:t>个渔业风</w:t>
            </w:r>
          </w:p>
          <w:p>
            <w:pPr>
              <w:pStyle w:val="TableText"/>
              <w:spacing w:line="219" w:lineRule="auto"/>
              <w:ind w:left="13"/>
              <w:rPr>
                <w:rFonts w:ascii="Times New Roman" w:eastAsia="Times New Roman" w:hAnsi="Times New Roman" w:cs="Times New Roman"/>
              </w:rPr>
            </w:pPr>
            <w:r>
              <w:rPr>
                <w:spacing w:val="2"/>
              </w:rPr>
              <w:t>情小镇和</w:t>
            </w:r>
            <w:r>
              <w:rPr>
                <w:spacing w:val="-46"/>
              </w:rPr>
              <w:t xml:space="preserve"> </w:t>
            </w:r>
            <w:r>
              <w:rPr>
                <w:rFonts w:ascii="Times New Roman" w:eastAsia="Times New Roman" w:hAnsi="Times New Roman" w:cs="Times New Roman"/>
                <w:spacing w:val="2"/>
              </w:rPr>
              <w:t xml:space="preserve">30 </w:t>
            </w:r>
            <w:r>
              <w:rPr>
                <w:spacing w:val="2"/>
              </w:rPr>
              <w:t>个美丽渔村。</w:t>
            </w:r>
            <w:r>
              <w:rPr>
                <w:rFonts w:ascii="Times New Roman" w:eastAsia="Times New Roman" w:hAnsi="Times New Roman" w:cs="Times New Roman"/>
                <w:spacing w:val="2"/>
              </w:rPr>
              <w:t>”</w:t>
            </w:r>
          </w:p>
          <w:p>
            <w:pPr>
              <w:pStyle w:val="TableText"/>
              <w:spacing w:before="175" w:line="354" w:lineRule="auto"/>
              <w:ind w:left="14" w:firstLine="478"/>
              <w:jc w:val="both"/>
            </w:pPr>
            <w:r>
              <w:rPr>
                <w:spacing w:val="-5"/>
              </w:rPr>
              <w:t>文昌海钓休闲运动中心将依托文昌天然渔港</w:t>
            </w:r>
            <w:r>
              <w:rPr>
                <w:rFonts w:ascii="Times New Roman" w:eastAsia="Times New Roman" w:hAnsi="Times New Roman" w:cs="Times New Roman"/>
                <w:spacing w:val="-5"/>
              </w:rPr>
              <w:t>——</w:t>
            </w:r>
            <w:r>
              <w:rPr>
                <w:spacing w:val="-5"/>
              </w:rPr>
              <w:t xml:space="preserve">湖心港、丰富的渔获资源和优美 </w:t>
            </w:r>
            <w:r>
              <w:rPr>
                <w:spacing w:val="-5"/>
              </w:rPr>
              <w:t xml:space="preserve">的自然环境，先行探索休闲渔业创新、高端、特色发展的模式，以海钓文化和运动为 </w:t>
            </w:r>
            <w:r>
              <w:rPr>
                <w:spacing w:val="-5"/>
              </w:rPr>
              <w:t xml:space="preserve">抓手，联动海上休闲娱乐，重点发展海上运动、休闲旅游等产业，打造高端的休闲渔 </w:t>
            </w:r>
            <w:r>
              <w:rPr>
                <w:spacing w:val="-8"/>
              </w:rPr>
              <w:t>业旅游驿站基地，助力文昌当地渔民转产转业，丰富旅</w:t>
            </w:r>
            <w:r>
              <w:rPr>
                <w:spacing w:val="-9"/>
              </w:rPr>
              <w:t>游产品内涵，提升旅游吸引力。</w:t>
            </w:r>
          </w:p>
          <w:p>
            <w:pPr>
              <w:pStyle w:val="TableText"/>
              <w:spacing w:line="219" w:lineRule="auto"/>
              <w:ind w:left="16"/>
            </w:pPr>
            <w:r>
              <w:rPr>
                <w:spacing w:val="-3"/>
              </w:rPr>
              <w:t>本项目为文昌海钓休闲运动中心项目（一期）工程。</w:t>
            </w:r>
          </w:p>
          <w:p>
            <w:pPr>
              <w:pStyle w:val="TableText"/>
              <w:spacing w:before="174" w:line="219" w:lineRule="auto"/>
              <w:ind w:left="514"/>
            </w:pPr>
            <w:r>
              <w:rPr>
                <w:spacing w:val="-1"/>
              </w:rPr>
              <w:t>因此，项目用海符合《海南省乡村振兴战略规划（</w:t>
            </w:r>
            <w:r>
              <w:rPr>
                <w:rFonts w:ascii="Times New Roman" w:eastAsia="Times New Roman" w:hAnsi="Times New Roman" w:cs="Times New Roman"/>
                <w:spacing w:val="-1"/>
              </w:rPr>
              <w:t xml:space="preserve">2018-2022 </w:t>
            </w:r>
            <w:r>
              <w:rPr>
                <w:spacing w:val="-1"/>
              </w:rPr>
              <w:t>年）》。</w:t>
            </w:r>
          </w:p>
        </w:tc>
      </w:tr>
    </w:tbl>
    <w:p>
      <w:pPr>
        <w:sectPr>
          <w:headerReference w:type="default" r:id="rId23"/>
          <w:footerReference w:type="default" r:id="rId24"/>
          <w:pgSz w:w="11906" w:h="16839"/>
          <w:pgMar w:top="1191" w:right="1298" w:bottom="1218" w:left="1298" w:header="901" w:footer="1015" w:gutter="0"/>
          <w:pgNumType w:start="11"/>
          <w:cols w:space="708"/>
        </w:sectPr>
      </w:pPr>
    </w:p>
    <w:tbl>
      <w:tblPr>
        <w:tblStyle w:val="TableNormal7"/>
        <w:tblW w:w="9294"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466"/>
        <w:gridCol w:w="8828"/>
      </w:tblGrid>
      <w:tr>
        <w:tblPrEx>
          <w:tblW w:w="9294"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3001"/>
        </w:trPr>
        <w:tc>
          <w:tcPr>
            <w:tcW w:w="466" w:type="dxa"/>
            <w:tcBorders>
              <w:right w:val="single" w:sz="2" w:space="0" w:color="000000"/>
            </w:tcBorders>
            <w:vAlign w:val="top"/>
          </w:tcPr>
          <w:p/>
        </w:tc>
        <w:tc>
          <w:tcPr>
            <w:tcW w:w="8828" w:type="dxa"/>
            <w:tcBorders>
              <w:left w:val="single" w:sz="2" w:space="0" w:color="000000"/>
            </w:tcBorders>
            <w:vAlign w:val="top"/>
          </w:tcPr>
          <w:p>
            <w:pPr>
              <w:pStyle w:val="TableText"/>
              <w:spacing w:before="152" w:line="221" w:lineRule="auto"/>
              <w:ind w:left="15"/>
              <w:rPr>
                <w:sz w:val="28"/>
                <w:szCs w:val="28"/>
              </w:rPr>
            </w:pPr>
            <w:r>
              <w:rPr>
                <w:rFonts w:ascii="Times New Roman" w:eastAsia="Times New Roman" w:hAnsi="Times New Roman" w:cs="Times New Roman"/>
                <w:b/>
                <w:bCs/>
                <w:spacing w:val="-4"/>
                <w:sz w:val="28"/>
                <w:szCs w:val="28"/>
              </w:rPr>
              <w:t>5.</w:t>
            </w:r>
            <w:r>
              <w:rPr>
                <w:spacing w:val="-4"/>
                <w:sz w:val="28"/>
                <w:szCs w:val="28"/>
                <w14:textOutline w14:w="5103" w14:cap="sq">
                  <w14:solidFill>
                    <w14:srgbClr w14:val="000000"/>
                  </w14:solidFill>
                  <w14:prstDash w14:val="solid"/>
                  <w14:bevel/>
                </w14:textOutline>
              </w:rPr>
              <w:t>与《海南省休闲渔业发展规划（</w:t>
            </w:r>
            <w:r>
              <w:rPr>
                <w:rFonts w:ascii="Times New Roman" w:eastAsia="Times New Roman" w:hAnsi="Times New Roman" w:cs="Times New Roman"/>
                <w:b/>
                <w:bCs/>
                <w:spacing w:val="-4"/>
                <w:sz w:val="28"/>
                <w:szCs w:val="28"/>
              </w:rPr>
              <w:t xml:space="preserve">2019~2025 </w:t>
            </w:r>
            <w:r>
              <w:rPr>
                <w:spacing w:val="-4"/>
                <w:sz w:val="28"/>
                <w:szCs w:val="28"/>
                <w14:textOutline w14:w="5103" w14:cap="sq">
                  <w14:solidFill>
                    <w14:srgbClr w14:val="000000"/>
                  </w14:solidFill>
                  <w14:prstDash w14:val="solid"/>
                  <w14:bevel/>
                </w14:textOutline>
              </w:rPr>
              <w:t>年）》的符合性分析</w:t>
            </w:r>
          </w:p>
          <w:p>
            <w:pPr>
              <w:spacing w:line="285" w:lineRule="auto"/>
              <w:rPr>
                <w:rFonts w:ascii="Arial"/>
                <w:sz w:val="21"/>
              </w:rPr>
            </w:pPr>
          </w:p>
          <w:p>
            <w:pPr>
              <w:pStyle w:val="TableText"/>
              <w:spacing w:before="79" w:line="220" w:lineRule="auto"/>
              <w:ind w:right="10"/>
              <w:jc w:val="right"/>
            </w:pPr>
            <w:r>
              <w:rPr>
                <w:spacing w:val="-4"/>
              </w:rPr>
              <w:t>《海南省休闲渔业发展规划（</w:t>
            </w:r>
            <w:r>
              <w:rPr>
                <w:rFonts w:ascii="Times New Roman" w:eastAsia="Times New Roman" w:hAnsi="Times New Roman" w:cs="Times New Roman"/>
                <w:spacing w:val="-4"/>
              </w:rPr>
              <w:t>2019</w:t>
            </w:r>
            <w:r>
              <w:rPr>
                <w:spacing w:val="-4"/>
              </w:rPr>
              <w:t>－</w:t>
            </w:r>
            <w:r>
              <w:rPr>
                <w:rFonts w:ascii="Times New Roman" w:eastAsia="Times New Roman" w:hAnsi="Times New Roman" w:cs="Times New Roman"/>
                <w:spacing w:val="-4"/>
              </w:rPr>
              <w:t xml:space="preserve">2025 </w:t>
            </w:r>
            <w:r>
              <w:rPr>
                <w:spacing w:val="-4"/>
              </w:rPr>
              <w:t>年）》提出：海洋强国战略，叫响全国</w:t>
            </w:r>
          </w:p>
        </w:tc>
      </w:tr>
    </w:tbl>
    <w:p>
      <w:pPr>
        <w:pStyle w:val="BodyText"/>
      </w:pPr>
    </w:p>
    <w:p>
      <w:pPr>
        <w:sectPr>
          <w:headerReference w:type="default" r:id="rId25"/>
          <w:footerReference w:type="default" r:id="rId26"/>
          <w:type w:val="nextPage"/>
          <w:pgSz w:w="11906" w:h="16839"/>
          <w:pgMar w:top="1191" w:right="1298" w:bottom="1218" w:left="1298" w:header="901" w:footer="1015" w:gutter="0"/>
          <w:pgNumType w:start="12"/>
          <w:cols w:space="708"/>
          <w:titlePg w:val="0"/>
        </w:sectPr>
      </w:pPr>
    </w:p>
    <w:p>
      <w:pPr>
        <w:spacing w:before="13"/>
      </w:pPr>
      <w:r>
        <w:pict>
          <v:shape id="_x0000_s1029" style="width:442.25pt;height:0.75pt;margin-top:60.31pt;margin-left:76.55pt;mso-position-horizontal-relative:page;mso-position-vertical-relative:page;position:absolute;z-index:251662336" coordorigin="0,0" coordsize="8845,15" o:allowincell="f" path="m,l8844,l8844,14l,14l,xe" filled="t" fillcolor="black" stroked="f"/>
        </w:pict>
      </w:r>
    </w:p>
    <w:p>
      <w:pPr>
        <w:spacing w:before="13"/>
      </w:pPr>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27" w:history="1">
        <w:r>
          <w:rPr>
            <w:rFonts w:ascii="SimSun" w:eastAsia="SimSun" w:hAnsi="SimSun" w:cs="SimSun"/>
            <w:b/>
            <w:bCs/>
            <w:noProof w:val="0"/>
            <w:snapToGrid/>
            <w:color w:val="0000EE"/>
            <w:kern w:val="0"/>
            <w:sz w:val="30"/>
            <w:szCs w:val="30"/>
            <w:u w:val="single" w:color="0000EE"/>
          </w:rPr>
          <w:t>https://d.book118.com/726014111114010102</w:t>
        </w:r>
      </w:hyperlink>
    </w:p>
    <w:p>
      <w:pPr>
        <w:spacing w:before="13"/>
      </w:pPr>
    </w:p>
    <w:sectPr>
      <w:headerReference w:type="default" r:id="rId28"/>
      <w:footerReference w:type="default" r:id="rId29"/>
      <w:pgSz w:w="11906" w:h="16839"/>
      <w:pgMar w:top="1191" w:right="1298" w:bottom="1220" w:left="1298" w:header="901" w:footer="1015" w:gutter="0"/>
      <w:pgNumType w:start="13"/>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8" w:lineRule="auto"/>
      <w:ind w:right="2"/>
      <w:jc w:val="right"/>
      <w:rPr>
        <w:rFonts w:ascii="SimSun" w:eastAsia="SimSun" w:hAnsi="SimSun" w:cs="SimSun"/>
        <w:sz w:val="20"/>
        <w:szCs w:val="20"/>
      </w:rPr>
    </w:pPr>
    <w:r>
      <w:rPr>
        <w:rFonts w:ascii="SimSun" w:eastAsia="SimSun" w:hAnsi="SimSun" w:cs="SimSun"/>
        <w:spacing w:val="-4"/>
        <w:sz w:val="20"/>
        <w:szCs w:val="20"/>
      </w:rPr>
      <w:t>—</w:t>
    </w:r>
    <w:r>
      <w:rPr>
        <w:rFonts w:ascii="SimSun" w:eastAsia="SimSun" w:hAnsi="SimSun" w:cs="SimSun"/>
        <w:spacing w:val="15"/>
        <w:sz w:val="20"/>
        <w:szCs w:val="20"/>
      </w:rPr>
      <w:t xml:space="preserve">  </w:t>
    </w:r>
    <w:r>
      <w:rPr>
        <w:rFonts w:ascii="SimSun" w:eastAsia="SimSun" w:hAnsi="SimSun" w:cs="SimSun"/>
        <w:spacing w:val="-4"/>
        <w:sz w:val="20"/>
        <w:szCs w:val="20"/>
      </w:rPr>
      <w:t>I</w:t>
    </w:r>
    <w:r>
      <w:rPr>
        <w:rFonts w:ascii="SimSun" w:eastAsia="SimSun" w:hAnsi="SimSun" w:cs="SimSun"/>
        <w:spacing w:val="8"/>
        <w:sz w:val="20"/>
        <w:szCs w:val="20"/>
      </w:rPr>
      <w:t xml:space="preserve">  </w:t>
    </w:r>
    <w:r>
      <w:rPr>
        <w:rFonts w:ascii="SimSun" w:eastAsia="SimSun" w:hAnsi="SimSun" w:cs="SimSun"/>
        <w:spacing w:val="-4"/>
        <w:sz w:val="20"/>
        <w:szCs w:val="20"/>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9" w:lineRule="auto"/>
      <w:ind w:left="239"/>
      <w:rPr>
        <w:rFonts w:ascii="SimSun" w:eastAsia="SimSun" w:hAnsi="SimSun" w:cs="SimSun"/>
        <w:sz w:val="20"/>
        <w:szCs w:val="20"/>
      </w:rPr>
    </w:pPr>
    <w:r>
      <w:rPr>
        <w:rFonts w:ascii="SimSun" w:eastAsia="SimSun" w:hAnsi="SimSun" w:cs="SimSun"/>
        <w:spacing w:val="-1"/>
        <w:sz w:val="20"/>
        <w:szCs w:val="20"/>
      </w:rPr>
      <w:t>—</w:t>
    </w:r>
    <w:r>
      <w:rPr>
        <w:rFonts w:ascii="SimSun" w:eastAsia="SimSun" w:hAnsi="SimSun" w:cs="SimSun"/>
        <w:spacing w:val="11"/>
        <w:sz w:val="20"/>
        <w:szCs w:val="20"/>
      </w:rPr>
      <w:t xml:space="preserve">  </w:t>
    </w:r>
    <w:r>
      <w:rPr>
        <w:rFonts w:ascii="SimSun" w:eastAsia="SimSun" w:hAnsi="SimSun" w:cs="SimSun"/>
        <w:spacing w:val="-1"/>
        <w:sz w:val="20"/>
        <w:szCs w:val="20"/>
      </w:rPr>
      <w:t>2</w:t>
    </w:r>
    <w:r>
      <w:rPr>
        <w:rFonts w:ascii="SimSun" w:eastAsia="SimSun" w:hAnsi="SimSun" w:cs="SimSun"/>
        <w:spacing w:val="8"/>
        <w:sz w:val="20"/>
        <w:szCs w:val="20"/>
      </w:rPr>
      <w:t xml:space="preserve">  </w:t>
    </w:r>
    <w:r>
      <w:rPr>
        <w:rFonts w:ascii="SimSun" w:eastAsia="SimSun" w:hAnsi="SimSun" w:cs="SimSun"/>
        <w:spacing w:val="-1"/>
        <w:sz w:val="20"/>
        <w:szCs w:val="20"/>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9" w:lineRule="auto"/>
      <w:ind w:left="239"/>
      <w:rPr>
        <w:rFonts w:ascii="SimSun" w:eastAsia="SimSun" w:hAnsi="SimSun" w:cs="SimSun"/>
        <w:sz w:val="20"/>
        <w:szCs w:val="20"/>
      </w:rPr>
    </w:pPr>
    <w:r>
      <w:rPr>
        <w:rFonts w:ascii="SimSun" w:eastAsia="SimSun" w:hAnsi="SimSun" w:cs="SimSun"/>
        <w:spacing w:val="-1"/>
        <w:sz w:val="20"/>
        <w:szCs w:val="20"/>
      </w:rPr>
      <w:t>—</w:t>
    </w:r>
    <w:r>
      <w:rPr>
        <w:rFonts w:ascii="SimSun" w:eastAsia="SimSun" w:hAnsi="SimSun" w:cs="SimSun"/>
        <w:spacing w:val="11"/>
        <w:sz w:val="20"/>
        <w:szCs w:val="20"/>
      </w:rPr>
      <w:t xml:space="preserve">  </w:t>
    </w:r>
    <w:r>
      <w:rPr>
        <w:rFonts w:ascii="SimSun" w:eastAsia="SimSun" w:hAnsi="SimSun" w:cs="SimSun"/>
        <w:spacing w:val="-1"/>
        <w:sz w:val="20"/>
        <w:szCs w:val="20"/>
      </w:rPr>
      <w:t>2</w:t>
    </w:r>
    <w:r>
      <w:rPr>
        <w:rFonts w:ascii="SimSun" w:eastAsia="SimSun" w:hAnsi="SimSun" w:cs="SimSun"/>
        <w:spacing w:val="8"/>
        <w:sz w:val="20"/>
        <w:szCs w:val="20"/>
      </w:rPr>
      <w:t xml:space="preserve">  </w:t>
    </w:r>
    <w:r>
      <w:rPr>
        <w:rFonts w:ascii="SimSun" w:eastAsia="SimSun" w:hAnsi="SimSun" w:cs="SimSun"/>
        <w:spacing w:val="-1"/>
        <w:sz w:val="20"/>
        <w:szCs w:val="20"/>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9" w:lineRule="auto"/>
      <w:ind w:left="239"/>
      <w:rPr>
        <w:rFonts w:ascii="SimSun" w:eastAsia="SimSun" w:hAnsi="SimSun" w:cs="SimSun"/>
        <w:sz w:val="20"/>
        <w:szCs w:val="20"/>
      </w:rPr>
    </w:pPr>
    <w:r>
      <w:rPr>
        <w:rFonts w:ascii="SimSun" w:eastAsia="SimSun" w:hAnsi="SimSun" w:cs="SimSun"/>
        <w:spacing w:val="-1"/>
        <w:sz w:val="20"/>
        <w:szCs w:val="20"/>
      </w:rPr>
      <w:t>—</w:t>
    </w:r>
    <w:r>
      <w:rPr>
        <w:rFonts w:ascii="SimSun" w:eastAsia="SimSun" w:hAnsi="SimSun" w:cs="SimSun"/>
        <w:spacing w:val="11"/>
        <w:sz w:val="20"/>
        <w:szCs w:val="20"/>
      </w:rPr>
      <w:t xml:space="preserve">  </w:t>
    </w:r>
    <w:r>
      <w:rPr>
        <w:rFonts w:ascii="SimSun" w:eastAsia="SimSun" w:hAnsi="SimSun" w:cs="SimSun"/>
        <w:spacing w:val="-1"/>
        <w:sz w:val="20"/>
        <w:szCs w:val="20"/>
      </w:rPr>
      <w:t>2</w:t>
    </w:r>
    <w:r>
      <w:rPr>
        <w:rFonts w:ascii="SimSun" w:eastAsia="SimSun" w:hAnsi="SimSun" w:cs="SimSun"/>
        <w:spacing w:val="8"/>
        <w:sz w:val="20"/>
        <w:szCs w:val="20"/>
      </w:rPr>
      <w:t xml:space="preserve">  </w:t>
    </w:r>
    <w:r>
      <w:rPr>
        <w:rFonts w:ascii="SimSun" w:eastAsia="SimSun" w:hAnsi="SimSun" w:cs="SimSun"/>
        <w:spacing w:val="-1"/>
        <w:sz w:val="20"/>
        <w:szCs w:val="20"/>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9" w:lineRule="auto"/>
      <w:ind w:left="8137"/>
      <w:rPr>
        <w:rFonts w:ascii="SimSun" w:eastAsia="SimSun" w:hAnsi="SimSun" w:cs="SimSun"/>
        <w:sz w:val="20"/>
        <w:szCs w:val="20"/>
      </w:rPr>
    </w:pPr>
    <w:r>
      <w:rPr>
        <w:rFonts w:ascii="SimSun" w:eastAsia="SimSun" w:hAnsi="SimSun" w:cs="SimSun"/>
        <w:spacing w:val="-1"/>
        <w:sz w:val="20"/>
        <w:szCs w:val="20"/>
      </w:rPr>
      <w:t>—</w:t>
    </w:r>
    <w:r>
      <w:rPr>
        <w:rFonts w:ascii="SimSun" w:eastAsia="SimSun" w:hAnsi="SimSun" w:cs="SimSun"/>
        <w:spacing w:val="11"/>
        <w:sz w:val="20"/>
        <w:szCs w:val="20"/>
      </w:rPr>
      <w:t xml:space="preserve">  </w:t>
    </w:r>
    <w:r>
      <w:rPr>
        <w:rFonts w:ascii="SimSun" w:eastAsia="SimSun" w:hAnsi="SimSun" w:cs="SimSun"/>
        <w:spacing w:val="-1"/>
        <w:sz w:val="20"/>
        <w:szCs w:val="20"/>
      </w:rPr>
      <w:t>3</w:t>
    </w:r>
    <w:r>
      <w:rPr>
        <w:rFonts w:ascii="SimSun" w:eastAsia="SimSun" w:hAnsi="SimSun" w:cs="SimSun"/>
        <w:spacing w:val="8"/>
        <w:sz w:val="20"/>
        <w:szCs w:val="20"/>
      </w:rPr>
      <w:t xml:space="preserve">  </w:t>
    </w:r>
    <w:r>
      <w:rPr>
        <w:rFonts w:ascii="SimSun" w:eastAsia="SimSun" w:hAnsi="SimSun" w:cs="SimSun"/>
        <w:spacing w:val="-1"/>
        <w:sz w:val="20"/>
        <w:szCs w:val="20"/>
      </w:rPr>
      <w:t>—</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9" w:lineRule="auto"/>
      <w:ind w:left="8137"/>
      <w:rPr>
        <w:rFonts w:ascii="SimSun" w:eastAsia="SimSun" w:hAnsi="SimSun" w:cs="SimSun"/>
        <w:sz w:val="20"/>
        <w:szCs w:val="20"/>
      </w:rPr>
    </w:pPr>
    <w:r>
      <w:rPr>
        <w:rFonts w:ascii="SimSun" w:eastAsia="SimSun" w:hAnsi="SimSun" w:cs="SimSun"/>
        <w:spacing w:val="-1"/>
        <w:sz w:val="20"/>
        <w:szCs w:val="20"/>
      </w:rPr>
      <w:t>—</w:t>
    </w:r>
    <w:r>
      <w:rPr>
        <w:rFonts w:ascii="SimSun" w:eastAsia="SimSun" w:hAnsi="SimSun" w:cs="SimSun"/>
        <w:spacing w:val="11"/>
        <w:sz w:val="20"/>
        <w:szCs w:val="20"/>
      </w:rPr>
      <w:t xml:space="preserve">  </w:t>
    </w:r>
    <w:r>
      <w:rPr>
        <w:rFonts w:ascii="SimSun" w:eastAsia="SimSun" w:hAnsi="SimSun" w:cs="SimSun"/>
        <w:spacing w:val="-1"/>
        <w:sz w:val="20"/>
        <w:szCs w:val="20"/>
      </w:rPr>
      <w:t>3</w:t>
    </w:r>
    <w:r>
      <w:rPr>
        <w:rFonts w:ascii="SimSun" w:eastAsia="SimSun" w:hAnsi="SimSun" w:cs="SimSun"/>
        <w:spacing w:val="8"/>
        <w:sz w:val="20"/>
        <w:szCs w:val="20"/>
      </w:rPr>
      <w:t xml:space="preserve">  </w:t>
    </w:r>
    <w:r>
      <w:rPr>
        <w:rFonts w:ascii="SimSun" w:eastAsia="SimSun" w:hAnsi="SimSun" w:cs="SimSun"/>
        <w:spacing w:val="-1"/>
        <w:sz w:val="20"/>
        <w:szCs w:val="20"/>
      </w:rPr>
      <w: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9" w:lineRule="auto"/>
      <w:ind w:left="239"/>
      <w:rPr>
        <w:rFonts w:ascii="SimSun" w:eastAsia="SimSun" w:hAnsi="SimSun" w:cs="SimSun"/>
        <w:sz w:val="20"/>
        <w:szCs w:val="20"/>
      </w:rPr>
    </w:pPr>
    <w:r>
      <w:rPr>
        <w:rFonts w:ascii="SimSun" w:eastAsia="SimSun" w:hAnsi="SimSun" w:cs="SimSun"/>
        <w:sz w:val="20"/>
        <w:szCs w:val="20"/>
      </w:rPr>
      <w:t>—</w:t>
    </w:r>
    <w:r>
      <w:rPr>
        <w:rFonts w:ascii="SimSun" w:eastAsia="SimSun" w:hAnsi="SimSun" w:cs="SimSun"/>
        <w:spacing w:val="9"/>
        <w:sz w:val="20"/>
        <w:szCs w:val="20"/>
      </w:rPr>
      <w:t xml:space="preserve">  </w:t>
    </w:r>
    <w:r>
      <w:rPr>
        <w:rFonts w:ascii="SimSun" w:eastAsia="SimSun" w:hAnsi="SimSun" w:cs="SimSun"/>
        <w:sz w:val="20"/>
        <w:szCs w:val="20"/>
      </w:rPr>
      <w:t>4</w:t>
    </w:r>
    <w:r>
      <w:rPr>
        <w:rFonts w:ascii="SimSun" w:eastAsia="SimSun" w:hAnsi="SimSun" w:cs="SimSun"/>
        <w:spacing w:val="8"/>
        <w:sz w:val="20"/>
        <w:szCs w:val="20"/>
      </w:rPr>
      <w:t xml:space="preserve">  </w:t>
    </w:r>
    <w:r>
      <w:rPr>
        <w:rFonts w:ascii="SimSun" w:eastAsia="SimSun" w:hAnsi="SimSun" w:cs="SimSun"/>
        <w:sz w:val="20"/>
        <w:szCs w:val="20"/>
      </w:rPr>
      <w:t>—</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9" w:lineRule="auto"/>
      <w:ind w:left="239"/>
      <w:rPr>
        <w:rFonts w:ascii="SimSun" w:eastAsia="SimSun" w:hAnsi="SimSun" w:cs="SimSun"/>
        <w:sz w:val="20"/>
        <w:szCs w:val="20"/>
      </w:rPr>
    </w:pPr>
    <w:r>
      <w:rPr>
        <w:rFonts w:ascii="SimSun" w:eastAsia="SimSun" w:hAnsi="SimSun" w:cs="SimSun"/>
        <w:sz w:val="20"/>
        <w:szCs w:val="20"/>
      </w:rPr>
      <w:t>—</w:t>
    </w:r>
    <w:r>
      <w:rPr>
        <w:rFonts w:ascii="SimSun" w:eastAsia="SimSun" w:hAnsi="SimSun" w:cs="SimSun"/>
        <w:spacing w:val="9"/>
        <w:sz w:val="20"/>
        <w:szCs w:val="20"/>
      </w:rPr>
      <w:t xml:space="preserve">  </w:t>
    </w:r>
    <w:r>
      <w:rPr>
        <w:rFonts w:ascii="SimSun" w:eastAsia="SimSun" w:hAnsi="SimSun" w:cs="SimSun"/>
        <w:sz w:val="20"/>
        <w:szCs w:val="20"/>
      </w:rPr>
      <w:t>4</w:t>
    </w:r>
    <w:r>
      <w:rPr>
        <w:rFonts w:ascii="SimSun" w:eastAsia="SimSun" w:hAnsi="SimSun" w:cs="SimSun"/>
        <w:spacing w:val="8"/>
        <w:sz w:val="20"/>
        <w:szCs w:val="20"/>
      </w:rPr>
      <w:t xml:space="preserve">  </w:t>
    </w:r>
    <w:r>
      <w:rPr>
        <w:rFonts w:ascii="SimSun" w:eastAsia="SimSun" w:hAnsi="SimSun" w:cs="SimSun"/>
        <w:sz w:val="20"/>
        <w:szCs w:val="20"/>
      </w:rPr>
      <w:t>—</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8" w:lineRule="auto"/>
      <w:ind w:left="8137"/>
      <w:rPr>
        <w:rFonts w:ascii="SimSun" w:eastAsia="SimSun" w:hAnsi="SimSun" w:cs="SimSun"/>
        <w:sz w:val="20"/>
        <w:szCs w:val="20"/>
      </w:rPr>
    </w:pPr>
    <w:r>
      <w:rPr>
        <w:rFonts w:ascii="SimSun" w:eastAsia="SimSun" w:hAnsi="SimSun" w:cs="SimSun"/>
        <w:spacing w:val="-1"/>
        <w:sz w:val="20"/>
        <w:szCs w:val="20"/>
      </w:rPr>
      <w:t>—</w:t>
    </w:r>
    <w:r>
      <w:rPr>
        <w:rFonts w:ascii="SimSun" w:eastAsia="SimSun" w:hAnsi="SimSun" w:cs="SimSun"/>
        <w:spacing w:val="11"/>
        <w:sz w:val="20"/>
        <w:szCs w:val="20"/>
      </w:rPr>
      <w:t xml:space="preserve">  </w:t>
    </w:r>
    <w:r>
      <w:rPr>
        <w:rFonts w:ascii="SimSun" w:eastAsia="SimSun" w:hAnsi="SimSun" w:cs="SimSun"/>
        <w:spacing w:val="-1"/>
        <w:sz w:val="20"/>
        <w:szCs w:val="20"/>
      </w:rPr>
      <w:t>5</w:t>
    </w:r>
    <w:r>
      <w:rPr>
        <w:rFonts w:ascii="SimSun" w:eastAsia="SimSun" w:hAnsi="SimSun" w:cs="SimSun"/>
        <w:spacing w:val="8"/>
        <w:sz w:val="20"/>
        <w:szCs w:val="20"/>
      </w:rPr>
      <w:t xml:space="preserve">  </w:t>
    </w:r>
    <w:r>
      <w:rPr>
        <w:rFonts w:ascii="SimSun" w:eastAsia="SimSun" w:hAnsi="SimSun" w:cs="SimSun"/>
        <w:spacing w:val="-1"/>
        <w:sz w:val="20"/>
        <w:szCs w:val="20"/>
      </w:rPr>
      <w:t>—</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8" w:lineRule="auto"/>
      <w:ind w:left="8137"/>
      <w:rPr>
        <w:rFonts w:ascii="SimSun" w:eastAsia="SimSun" w:hAnsi="SimSun" w:cs="SimSun"/>
        <w:sz w:val="20"/>
        <w:szCs w:val="20"/>
      </w:rPr>
    </w:pPr>
    <w:r>
      <w:rPr>
        <w:rFonts w:ascii="SimSun" w:eastAsia="SimSun" w:hAnsi="SimSun" w:cs="SimSun"/>
        <w:spacing w:val="-1"/>
        <w:sz w:val="20"/>
        <w:szCs w:val="20"/>
      </w:rPr>
      <w:t>—</w:t>
    </w:r>
    <w:r>
      <w:rPr>
        <w:rFonts w:ascii="SimSun" w:eastAsia="SimSun" w:hAnsi="SimSun" w:cs="SimSun"/>
        <w:spacing w:val="11"/>
        <w:sz w:val="20"/>
        <w:szCs w:val="20"/>
      </w:rPr>
      <w:t xml:space="preserve">  </w:t>
    </w:r>
    <w:r>
      <w:rPr>
        <w:rFonts w:ascii="SimSun" w:eastAsia="SimSun" w:hAnsi="SimSun" w:cs="SimSun"/>
        <w:spacing w:val="-1"/>
        <w:sz w:val="20"/>
        <w:szCs w:val="20"/>
      </w:rPr>
      <w:t>5</w:t>
    </w:r>
    <w:r>
      <w:rPr>
        <w:rFonts w:ascii="SimSun" w:eastAsia="SimSun" w:hAnsi="SimSun" w:cs="SimSun"/>
        <w:spacing w:val="8"/>
        <w:sz w:val="20"/>
        <w:szCs w:val="20"/>
      </w:rPr>
      <w:t xml:space="preserve">  </w:t>
    </w:r>
    <w:r>
      <w:rPr>
        <w:rFonts w:ascii="SimSun" w:eastAsia="SimSun" w:hAnsi="SimSun" w:cs="SimSun"/>
        <w:spacing w:val="-1"/>
        <w:sz w:val="20"/>
        <w:szCs w:val="20"/>
      </w:rPr>
      <w:t>—</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9" w:lineRule="auto"/>
      <w:ind w:left="239"/>
      <w:rPr>
        <w:rFonts w:ascii="SimSun" w:eastAsia="SimSun" w:hAnsi="SimSun" w:cs="SimSun"/>
        <w:sz w:val="20"/>
        <w:szCs w:val="20"/>
      </w:rPr>
    </w:pPr>
    <w:r>
      <w:rPr>
        <w:rFonts w:ascii="SimSun" w:eastAsia="SimSun" w:hAnsi="SimSun" w:cs="SimSun"/>
        <w:spacing w:val="-1"/>
        <w:sz w:val="20"/>
        <w:szCs w:val="20"/>
      </w:rPr>
      <w:t>—</w:t>
    </w:r>
    <w:r>
      <w:rPr>
        <w:rFonts w:ascii="SimSun" w:eastAsia="SimSun" w:hAnsi="SimSun" w:cs="SimSun"/>
        <w:spacing w:val="11"/>
        <w:sz w:val="20"/>
        <w:szCs w:val="20"/>
      </w:rPr>
      <w:t xml:space="preserve">  </w:t>
    </w:r>
    <w:r>
      <w:rPr>
        <w:rFonts w:ascii="SimSun" w:eastAsia="SimSun" w:hAnsi="SimSun" w:cs="SimSun"/>
        <w:spacing w:val="-1"/>
        <w:sz w:val="20"/>
        <w:szCs w:val="20"/>
      </w:rPr>
      <w:t>6</w:t>
    </w:r>
    <w:r>
      <w:rPr>
        <w:rFonts w:ascii="SimSun" w:eastAsia="SimSun" w:hAnsi="SimSun" w:cs="SimSun"/>
        <w:spacing w:val="8"/>
        <w:sz w:val="20"/>
        <w:szCs w:val="20"/>
      </w:rPr>
      <w:t xml:space="preserve">  </w:t>
    </w:r>
    <w:r>
      <w:rPr>
        <w:rFonts w:ascii="SimSun" w:eastAsia="SimSun" w:hAnsi="SimSun" w:cs="SimSun"/>
        <w:spacing w:val="-1"/>
        <w:sz w:val="20"/>
        <w:szCs w:val="20"/>
      </w:rPr>
      <w: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229" w:lineRule="auto"/>
      <w:ind w:left="10"/>
      <w:rPr>
        <w:rFonts w:ascii="SimHei" w:eastAsia="SimHei" w:hAnsi="SimHei" w:cs="SimHei"/>
        <w:sz w:val="20"/>
        <w:szCs w:val="20"/>
      </w:rPr>
    </w:pPr>
    <w:r>
      <w:rPr>
        <w:rFonts w:ascii="SimHei" w:eastAsia="SimHei" w:hAnsi="SimHei" w:cs="SimHei"/>
        <w:spacing w:val="9"/>
        <w:sz w:val="20"/>
        <w:szCs w:val="20"/>
      </w:rPr>
      <w:t>文昌海钓休闲运动中心项目（一期）环境影响报告表</w:t>
    </w:r>
  </w:p>
  <w:p>
    <w:pPr>
      <w:spacing w:before="12" w:line="19" w:lineRule="exact"/>
    </w:pPr>
    <w:r>
      <w:rPr>
        <w:position w:val="-1"/>
      </w:rPr>
      <w:pict>
        <v:shape id="_x0000_i2049" style="width:442.25pt;height:1.45pt;mso-position-horizontal-relative:char;mso-position-vertical-relative:line" coordorigin="0,0" coordsize="8845,29" path="m,l8844,l8844,28l,28l,xe" filled="t" fillcolor="black" stroked="f">
          <w10:wrap type="non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229" w:lineRule="auto"/>
      <w:ind w:left="243"/>
      <w:rPr>
        <w:rFonts w:ascii="SimHei" w:eastAsia="SimHei" w:hAnsi="SimHei" w:cs="SimHei"/>
        <w:sz w:val="20"/>
        <w:szCs w:val="20"/>
      </w:rPr>
    </w:pPr>
    <w:r>
      <w:rPr>
        <w:rFonts w:ascii="SimHei" w:eastAsia="SimHei" w:hAnsi="SimHei" w:cs="SimHei"/>
        <w:spacing w:val="9"/>
        <w:sz w:val="20"/>
        <w:szCs w:val="20"/>
      </w:rPr>
      <w:t>文昌海钓休闲运动中心项目（一期）环境影响报告表</w:t>
    </w:r>
  </w:p>
  <w:p>
    <w:pPr>
      <w:spacing w:before="12" w:line="19" w:lineRule="exact"/>
      <w:ind w:firstLine="232"/>
    </w:pPr>
    <w:r>
      <w:rPr>
        <w:position w:val="-1"/>
      </w:rPr>
      <w:pict>
        <v:shape id="_x0000_i2050" style="width:442.25pt;height:1.45pt;mso-position-horizontal-relative:char;mso-position-vertical-relative:line" coordorigin="0,0" coordsize="8845,29" path="m,l8844,l8844,28l,28l,xe" filled="t" fillcolor="black" stroked="f">
          <w10:wrap type="non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229" w:lineRule="auto"/>
      <w:ind w:left="243"/>
      <w:rPr>
        <w:rFonts w:ascii="SimHei" w:eastAsia="SimHei" w:hAnsi="SimHei" w:cs="SimHei"/>
        <w:sz w:val="20"/>
        <w:szCs w:val="20"/>
      </w:rPr>
    </w:pPr>
    <w:r>
      <w:rPr>
        <w:rFonts w:ascii="SimHei" w:eastAsia="SimHei" w:hAnsi="SimHei" w:cs="SimHei"/>
        <w:spacing w:val="9"/>
        <w:sz w:val="20"/>
        <w:szCs w:val="20"/>
      </w:rPr>
      <w:t>文昌海钓休闲运动中心项目（一期）环境影响报告表</w:t>
    </w:r>
  </w:p>
  <w:p>
    <w:pPr>
      <w:spacing w:before="12" w:line="19" w:lineRule="exact"/>
      <w:ind w:firstLine="232"/>
    </w:pPr>
    <w:r>
      <w:rPr>
        <w:position w:val="-1"/>
      </w:rPr>
      <w:pict>
        <v:shape id="_x0000_i2051" style="width:442.25pt;height:1.45pt;mso-position-horizontal-relative:char;mso-position-vertical-relative:line" coordorigin="0,0" coordsize="8845,29" path="m,l8844,l8844,28l,28l,xe" filled="t" fillcolor="black" stroked="f">
          <w10:wrap type="none"/>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229" w:lineRule="auto"/>
      <w:ind w:left="243"/>
      <w:rPr>
        <w:rFonts w:ascii="SimHei" w:eastAsia="SimHei" w:hAnsi="SimHei" w:cs="SimHei"/>
        <w:sz w:val="20"/>
        <w:szCs w:val="20"/>
      </w:rPr>
    </w:pPr>
    <w:r>
      <w:rPr>
        <w:rFonts w:ascii="SimHei" w:eastAsia="SimHei" w:hAnsi="SimHei" w:cs="SimHei"/>
        <w:spacing w:val="9"/>
        <w:sz w:val="20"/>
        <w:szCs w:val="20"/>
      </w:rPr>
      <w:t>文昌海钓休闲运动中心项目（一期）环境影响报告表</w:t>
    </w:r>
  </w:p>
  <w:p>
    <w:pPr>
      <w:spacing w:before="12" w:line="19" w:lineRule="exact"/>
      <w:ind w:firstLine="232"/>
    </w:pPr>
    <w:r>
      <w:rPr>
        <w:position w:val="-1"/>
      </w:rPr>
      <w:pict>
        <v:shape id="_x0000_i2052" style="width:442.25pt;height:1.45pt;mso-position-horizontal-relative:char;mso-position-vertical-relative:line" coordorigin="0,0" coordsize="8845,29" path="m,l8844,l8844,28l,28l,xe" filled="t" fillcolor="black" stroked="f">
          <w10:wrap type="none"/>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229" w:lineRule="auto"/>
      <w:ind w:left="243"/>
      <w:rPr>
        <w:rFonts w:ascii="SimHei" w:eastAsia="SimHei" w:hAnsi="SimHei" w:cs="SimHei"/>
        <w:sz w:val="20"/>
        <w:szCs w:val="20"/>
      </w:rPr>
    </w:pPr>
    <w:r>
      <w:rPr>
        <w:rFonts w:ascii="SimHei" w:eastAsia="SimHei" w:hAnsi="SimHei" w:cs="SimHei"/>
        <w:spacing w:val="9"/>
        <w:sz w:val="20"/>
        <w:szCs w:val="20"/>
      </w:rPr>
      <w:t>文昌海钓休闲运动中心项目（一期）环境影响报告表</w:t>
    </w:r>
  </w:p>
  <w:p>
    <w:pPr>
      <w:spacing w:before="12" w:line="47" w:lineRule="exact"/>
      <w:ind w:firstLine="232"/>
    </w:pPr>
    <w:r>
      <w:rPr>
        <w:position w:val="-1"/>
      </w:rPr>
      <w:pict>
        <v:shape id="_x0000_i2053" style="width:442.25pt;height:2.9pt;mso-position-horizontal-relative:char;mso-position-vertical-relative:line" coordorigin="0,0" coordsize="8845,58" path="m,l8844,l8844,28l,28l,xem,43l8844,43l8844,57l,57l,43xe" filled="t" fillcolor="black" stroked="f">
          <w10:wrap type="none"/>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229" w:lineRule="auto"/>
      <w:ind w:left="243"/>
      <w:rPr>
        <w:rFonts w:ascii="SimHei" w:eastAsia="SimHei" w:hAnsi="SimHei" w:cs="SimHei"/>
        <w:sz w:val="20"/>
        <w:szCs w:val="20"/>
      </w:rPr>
    </w:pPr>
    <w:r>
      <w:rPr>
        <w:rFonts w:ascii="SimHei" w:eastAsia="SimHei" w:hAnsi="SimHei" w:cs="SimHei"/>
        <w:spacing w:val="9"/>
        <w:sz w:val="20"/>
        <w:szCs w:val="20"/>
      </w:rPr>
      <w:t>文昌海钓休闲运动中心项目（一期）环境影响报告表</w:t>
    </w:r>
  </w:p>
  <w:p>
    <w:pPr>
      <w:spacing w:before="12" w:line="47" w:lineRule="exact"/>
      <w:ind w:firstLine="232"/>
    </w:pPr>
    <w:r>
      <w:rPr>
        <w:position w:val="-1"/>
      </w:rPr>
      <w:pict>
        <v:shape id="_x0000_i2054" style="width:442.25pt;height:2.9pt;mso-position-horizontal-relative:char;mso-position-vertical-relative:line" coordorigin="0,0" coordsize="8845,58" path="m,l8844,l8844,28l,28l,xem,43l8844,43l8844,57l,57l,43xe" filled="t" fillcolor="black" stroked="f">
          <w10:wrap type="none"/>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229" w:lineRule="auto"/>
      <w:ind w:left="243"/>
      <w:rPr>
        <w:rFonts w:ascii="SimHei" w:eastAsia="SimHei" w:hAnsi="SimHei" w:cs="SimHei"/>
        <w:sz w:val="20"/>
        <w:szCs w:val="20"/>
      </w:rPr>
    </w:pPr>
    <w:r>
      <w:rPr>
        <w:rFonts w:ascii="SimHei" w:eastAsia="SimHei" w:hAnsi="SimHei" w:cs="SimHei"/>
        <w:spacing w:val="9"/>
        <w:sz w:val="20"/>
        <w:szCs w:val="20"/>
      </w:rPr>
      <w:t>文昌海钓休闲运动中心项目（一期）环境影响报告表</w:t>
    </w:r>
  </w:p>
  <w:p>
    <w:pPr>
      <w:spacing w:before="12" w:line="19" w:lineRule="exact"/>
      <w:ind w:firstLine="232"/>
    </w:pPr>
    <w:r>
      <w:rPr>
        <w:position w:val="-1"/>
      </w:rPr>
      <w:pict>
        <v:shape id="_x0000_i2055" style="width:442.25pt;height:1.45pt;mso-position-horizontal-relative:char;mso-position-vertical-relative:line" coordorigin="0,0" coordsize="8845,29" path="m,l8844,l8844,28l,28l,xe" filled="t" fillcolor="black" stroked="f">
          <w10:wrap type="none"/>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229" w:lineRule="auto"/>
      <w:ind w:left="243"/>
      <w:rPr>
        <w:rFonts w:ascii="SimHei" w:eastAsia="SimHei" w:hAnsi="SimHei" w:cs="SimHei"/>
        <w:sz w:val="20"/>
        <w:szCs w:val="20"/>
      </w:rPr>
    </w:pPr>
    <w:r>
      <w:rPr>
        <w:rFonts w:ascii="SimHei" w:eastAsia="SimHei" w:hAnsi="SimHei" w:cs="SimHei"/>
        <w:spacing w:val="9"/>
        <w:sz w:val="20"/>
        <w:szCs w:val="20"/>
      </w:rPr>
      <w:t>文昌海钓休闲运动中心项目（一期）环境影响报告表</w:t>
    </w:r>
  </w:p>
  <w:p>
    <w:pPr>
      <w:spacing w:before="12" w:line="19" w:lineRule="exact"/>
      <w:ind w:firstLine="232"/>
    </w:pPr>
    <w:r>
      <w:rPr>
        <w:position w:val="-1"/>
      </w:rPr>
      <w:pict>
        <v:shape id="_x0000_i2056" style="width:442.25pt;height:1.45pt;mso-position-horizontal-relative:char;mso-position-vertical-relative:line" coordorigin="0,0" coordsize="8845,29" path="m,l8844,l8844,28l,28l,xe" filled="t" fillcolor="black" stroked="f">
          <w10:wrap type="none"/>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229" w:lineRule="auto"/>
      <w:ind w:left="243"/>
      <w:rPr>
        <w:rFonts w:ascii="SimHei" w:eastAsia="SimHei" w:hAnsi="SimHei" w:cs="SimHei"/>
        <w:sz w:val="20"/>
        <w:szCs w:val="20"/>
      </w:rPr>
    </w:pPr>
    <w:r>
      <w:rPr>
        <w:rFonts w:ascii="SimHei" w:eastAsia="SimHei" w:hAnsi="SimHei" w:cs="SimHei"/>
        <w:spacing w:val="9"/>
        <w:sz w:val="20"/>
        <w:szCs w:val="20"/>
      </w:rPr>
      <w:t>文昌海钓休闲运动中心项目（一期）环境影响报告表</w:t>
    </w:r>
  </w:p>
  <w:p>
    <w:pPr>
      <w:spacing w:before="12" w:line="19" w:lineRule="exact"/>
      <w:ind w:firstLine="232"/>
    </w:pPr>
    <w:r>
      <w:rPr>
        <w:position w:val="-1"/>
      </w:rPr>
      <w:pict>
        <v:shape id="_x0000_i2057" style="width:442.25pt;height:1.45pt;mso-position-horizontal-relative:char;mso-position-vertical-relative:line" coordorigin="0,0" coordsize="8845,29" path="m,l8844,l8844,28l,28l,xe" filled="t" fillcolor="black" stroked="f">
          <w10:wrap type="none"/>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229" w:lineRule="auto"/>
      <w:ind w:left="243"/>
      <w:rPr>
        <w:rFonts w:ascii="SimHei" w:eastAsia="SimHei" w:hAnsi="SimHei" w:cs="SimHei"/>
        <w:sz w:val="20"/>
        <w:szCs w:val="20"/>
      </w:rPr>
    </w:pPr>
    <w:r>
      <w:rPr>
        <w:rFonts w:ascii="SimHei" w:eastAsia="SimHei" w:hAnsi="SimHei" w:cs="SimHei"/>
        <w:spacing w:val="9"/>
        <w:sz w:val="20"/>
        <w:szCs w:val="20"/>
      </w:rPr>
      <w:t>文昌海钓休闲运动中心项目（一期）环境影响报告表</w:t>
    </w:r>
  </w:p>
  <w:p>
    <w:pPr>
      <w:spacing w:before="12" w:line="19" w:lineRule="exact"/>
      <w:ind w:firstLine="232"/>
    </w:pPr>
    <w:r>
      <w:rPr>
        <w:position w:val="-1"/>
      </w:rPr>
      <w:pict>
        <v:shape id="_x0000_i2058" style="width:442.25pt;height:1.45pt;mso-position-horizontal-relative:char;mso-position-vertical-relative:line" coordorigin="0,0" coordsize="8845,29" path="m,l8844,l8844,28l,28l,xe" filled="t" fillcolor="black" stroked="f">
          <w10:wrap type="none"/>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229" w:lineRule="auto"/>
      <w:ind w:left="243"/>
      <w:rPr>
        <w:rFonts w:ascii="SimHei" w:eastAsia="SimHei" w:hAnsi="SimHei" w:cs="SimHei"/>
        <w:sz w:val="20"/>
        <w:szCs w:val="20"/>
      </w:rPr>
    </w:pPr>
    <w:r>
      <w:rPr>
        <w:rFonts w:ascii="SimHei" w:eastAsia="SimHei" w:hAnsi="SimHei" w:cs="SimHei"/>
        <w:spacing w:val="9"/>
        <w:sz w:val="20"/>
        <w:szCs w:val="20"/>
      </w:rPr>
      <w:t>文昌海钓休闲运动中心项目（一期）环境影响报告表</w:t>
    </w:r>
  </w:p>
  <w:p>
    <w:pPr>
      <w:spacing w:before="12" w:line="19" w:lineRule="exact"/>
      <w:ind w:firstLine="232"/>
    </w:pPr>
    <w:r>
      <w:rPr>
        <w:position w:val="-1"/>
      </w:rPr>
      <w:pict>
        <v:shape id="_x0000_i2059" style="width:442.25pt;height:1.45pt;mso-position-horizontal-relative:char;mso-position-vertical-relative:line" coordorigin="0,0" coordsize="8845,29" path="m,l8844,l8844,28l,28l,xe" filled="t" fillcolor="black" stroked="f">
          <w10:wrap type="non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Arial" w:eastAsia="Arial" w:hAnsi="Arial" w:cs="Arial"/>
      <w:sz w:val="21"/>
      <w:szCs w:val="21"/>
      <w:lang w:val="en-US" w:eastAsia="en-US" w:bidi="ar-SA"/>
    </w:rPr>
  </w:style>
  <w:style w:type="paragraph" w:customStyle="1" w:styleId="TableText">
    <w:name w:val="Table Text"/>
    <w:basedOn w:val="Normal"/>
    <w:semiHidden/>
    <w:qFormat/>
    <w:rPr>
      <w:rFonts w:ascii="SimSun" w:eastAsia="SimSun" w:hAnsi="SimSun" w:cs="SimSun"/>
      <w:sz w:val="24"/>
      <w:szCs w:val="24"/>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 w:type="table" w:customStyle="1" w:styleId="TableNormal5">
    <w:name w:val="Table Normal_5"/>
    <w:semiHidden/>
    <w:unhideWhenUsed/>
    <w:qFormat/>
    <w:tblPr>
      <w:tblCellMar>
        <w:top w:w="0" w:type="dxa"/>
        <w:left w:w="0" w:type="dxa"/>
        <w:bottom w:w="0" w:type="dxa"/>
        <w:right w:w="0" w:type="dxa"/>
      </w:tblCellMar>
    </w:tblPr>
  </w:style>
  <w:style w:type="table" w:customStyle="1" w:styleId="TableNormal6">
    <w:name w:val="Table Normal_6"/>
    <w:semiHidden/>
    <w:unhideWhenUsed/>
    <w:qFormat/>
    <w:tblPr>
      <w:tblCellMar>
        <w:top w:w="0" w:type="dxa"/>
        <w:left w:w="0" w:type="dxa"/>
        <w:bottom w:w="0" w:type="dxa"/>
        <w:right w:w="0" w:type="dxa"/>
      </w:tblCellMar>
    </w:tblPr>
  </w:style>
  <w:style w:type="table" w:customStyle="1" w:styleId="TableNormal7">
    <w:name w:val="Table Normal_7"/>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image" Target="media/image2.jpeg"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header" Target="header8.xml" /><Relationship Id="rId21" Type="http://schemas.openxmlformats.org/officeDocument/2006/relationships/footer" Target="footer8.xml" /><Relationship Id="rId22" Type="http://schemas.openxmlformats.org/officeDocument/2006/relationships/image" Target="media/image3.jpeg"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yperlink" Target="https://d.book118.com/726014111114010102" TargetMode="External" /><Relationship Id="rId28" Type="http://schemas.openxmlformats.org/officeDocument/2006/relationships/header" Target="header11.xml" /><Relationship Id="rId29" Type="http://schemas.openxmlformats.org/officeDocument/2006/relationships/footer" Target="footer11.xml" /><Relationship Id="rId3" Type="http://schemas.openxmlformats.org/officeDocument/2006/relationships/fontTable" Target="fontTable.xml" /><Relationship Id="rId30" Type="http://schemas.openxmlformats.org/officeDocument/2006/relationships/theme" Target="theme/theme1.xml" /><Relationship Id="rId31"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image" Target="media/image1.jpeg"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lhj</dc:creator>
  <cp:revision>0</cp:revision>
  <dcterms:created xsi:type="dcterms:W3CDTF">2024-03-14T22:17:43Z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2024-03-14T22:37:56Z</vt:filetime>
  </property>
  <property fmtid="{D5CDD505-2E9C-101B-9397-08002B2CF9AE}" pid="3" name="CRO">
    <vt:lpwstr>wqlLaW5nc29mdCBQREYgdG8gV1BTIDkw</vt:lpwstr>
  </property>
</Properties>
</file>