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overflowPunct w:val="0"/>
        <w:spacing w:line="360" w:lineRule="auto"/>
        <w:ind w:left="105" w:leftChars="50"/>
        <w:contextualSpacing/>
        <w:jc w:val="center"/>
        <w:textAlignment w:val="center"/>
        <w:rPr>
          <w:rFonts w:ascii="Times New Roman" w:eastAsia="幼圆" w:hAnsi="Times New Roman" w:cs="Times New Roman"/>
          <w:b/>
          <w:sz w:val="40"/>
          <w:szCs w:val="32"/>
        </w:rPr>
      </w:pPr>
      <w:bookmarkStart w:id="0" w:name="_GoBack"/>
      <w:bookmarkEnd w:id="0"/>
      <w:r>
        <w:rPr>
          <w:rFonts w:ascii="Times New Roman" w:eastAsia="幼圆" w:hAnsi="Times New Roman" w:cs="Times New Roman"/>
          <w:b/>
          <w:sz w:val="40"/>
          <w:szCs w:val="3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125095</wp:posOffset>
                </wp:positionV>
                <wp:extent cx="1614170" cy="533400"/>
                <wp:effectExtent l="0" t="0" r="24765" b="19050"/>
                <wp:wrapNone/>
                <wp:docPr id="30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14170" cy="533400"/>
                        </a:xfrm>
                        <a:prstGeom prst="rect">
                          <a:avLst/>
                        </a:prstGeom>
                        <a:solidFill>
                          <a:schemeClr val="bg2"/>
                        </a:solidFill>
                        <a:ln>
                          <a:prstDash val="sysDot"/>
                        </a:ln>
                      </wps:spPr>
                      <wps:style>
                        <a:lnRef idx="2">
                          <a:schemeClr val="accent2"/>
                        </a:lnRef>
                        <a:fillRef idx="1">
                          <a:schemeClr val="lt1"/>
                        </a:fillRef>
                        <a:effectRef idx="0">
                          <a:schemeClr val="accent2"/>
                        </a:effectRef>
                        <a:fontRef idx="minor">
                          <a:schemeClr val="dk1"/>
                        </a:fontRef>
                      </wps:style>
                      <wps:txbx>
                        <w:txbxContent>
                          <w:p>
                            <w:pPr>
                              <w:rPr>
                                <w:rFonts w:ascii="华文中宋" w:eastAsia="华文中宋" w:hAnsi="华文中宋" w:cs="Times New Roman"/>
                                <w:i/>
                                <w:sz w:val="28"/>
                                <w:szCs w:val="28"/>
                              </w:rPr>
                            </w:pPr>
                            <w:r>
                              <w:rPr>
                                <w:rFonts w:ascii="华文中宋" w:eastAsia="华文中宋" w:hAnsi="华文中宋" w:cs="Times New Roman" w:hint="eastAsia"/>
                                <w:i/>
                                <w:sz w:val="28"/>
                                <w:szCs w:val="28"/>
                              </w:rPr>
                              <w:t>A练——基础过关</w:t>
                            </w:r>
                          </w:p>
                        </w:txbxContent>
                      </wps:txbx>
                      <wps:bodyPr rot="0" vert="horz" wrap="square" anchor="ctr" anchorCtr="0"/>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127.1pt;height:42pt;margin-top:9.85pt;margin-left:0.15pt;mso-wrap-distance-bottom:0;mso-wrap-distance-left:9pt;mso-wrap-distance-right:9pt;mso-wrap-distance-top:0;position:absolute;v-text-anchor:middle;z-index:251658240" fillcolor="#eeece1" stroked="t" strokecolor="#c0504d" strokeweight="2pt">
                <v:stroke dashstyle="1 1"/>
                <v:textbox>
                  <w:txbxContent>
                    <w:p>
                      <w:pPr>
                        <w:rPr>
                          <w:rFonts w:ascii="华文中宋" w:eastAsia="华文中宋" w:hAnsi="华文中宋" w:cs="Times New Roman"/>
                          <w:i/>
                          <w:sz w:val="28"/>
                          <w:szCs w:val="28"/>
                        </w:rPr>
                      </w:pPr>
                      <w:r>
                        <w:rPr>
                          <w:rFonts w:ascii="华文中宋" w:eastAsia="华文中宋" w:hAnsi="华文中宋" w:cs="Times New Roman" w:hint="eastAsia"/>
                          <w:i/>
                          <w:sz w:val="28"/>
                          <w:szCs w:val="28"/>
                        </w:rPr>
                        <w:t>A练——基础过关</w:t>
                      </w:r>
                    </w:p>
                  </w:txbxContent>
                </v:textbox>
              </v:shape>
            </w:pict>
          </mc:Fallback>
        </mc:AlternateContent>
      </w:r>
      <w:r>
        <w:rPr>
          <w:rFonts w:ascii="Times New Roman" w:eastAsia="幼圆" w:hAnsi="Times New Roman" w:cs="Times New Roman"/>
          <w:b/>
          <w:sz w:val="40"/>
          <w:szCs w:val="32"/>
        </w:rPr>
        <w:t>第一章  物质及其变化</w:t>
      </w:r>
    </w:p>
    <w:p>
      <w:pPr>
        <w:overflowPunct w:val="0"/>
        <w:spacing w:line="360" w:lineRule="auto"/>
        <w:ind w:left="105" w:leftChars="50"/>
        <w:contextualSpacing/>
        <w:jc w:val="center"/>
        <w:textAlignment w:val="center"/>
        <w:rPr>
          <w:rFonts w:ascii="Times New Roman" w:eastAsia="黑体" w:hAnsi="Times New Roman" w:cs="Times New Roman"/>
          <w:sz w:val="32"/>
          <w:szCs w:val="32"/>
        </w:rPr>
      </w:pPr>
      <w:r>
        <w:rPr>
          <w:rFonts w:ascii="Times New Roman" w:eastAsia="黑体" w:hAnsi="Times New Roman" w:cs="Times New Roman"/>
          <w:sz w:val="32"/>
          <w:szCs w:val="32"/>
        </w:rPr>
        <w:t>第三节  氧化还原反应</w:t>
      </w:r>
    </w:p>
    <w:p>
      <w:pPr>
        <w:overflowPunct w:val="0"/>
        <w:spacing w:line="360" w:lineRule="auto"/>
        <w:ind w:left="105" w:leftChars="50"/>
        <w:contextualSpacing/>
        <w:jc w:val="center"/>
        <w:textAlignment w:val="center"/>
        <w:rPr>
          <w:rFonts w:ascii="Times New Roman" w:eastAsia="华文中宋" w:hAnsi="Times New Roman" w:cs="Times New Roman"/>
          <w:color w:val="0070C0"/>
          <w:kern w:val="0"/>
          <w:sz w:val="28"/>
        </w:rPr>
      </w:pPr>
      <w:r>
        <w:rPr>
          <w:rFonts w:ascii="Times New Roman" w:eastAsia="华文中宋" w:hAnsi="Times New Roman" w:cs="Times New Roman"/>
          <w:color w:val="0070C0"/>
          <w:kern w:val="0"/>
          <w:sz w:val="28"/>
        </w:rPr>
        <w:t>课时</w:t>
      </w:r>
      <w:r>
        <w:rPr>
          <w:rFonts w:ascii="Times New Roman" w:eastAsia="华文中宋" w:hAnsi="Times New Roman" w:cs="Times New Roman" w:hint="eastAsia"/>
          <w:color w:val="0070C0"/>
          <w:kern w:val="0"/>
          <w:sz w:val="28"/>
        </w:rPr>
        <w:t>2</w:t>
      </w:r>
      <w:r>
        <w:rPr>
          <w:rFonts w:ascii="Times New Roman" w:eastAsia="华文中宋" w:hAnsi="Times New Roman" w:cs="Times New Roman"/>
          <w:color w:val="0070C0"/>
          <w:kern w:val="0"/>
          <w:sz w:val="28"/>
        </w:rPr>
        <w:t xml:space="preserve">  </w:t>
      </w:r>
      <w:r>
        <w:rPr>
          <w:rFonts w:ascii="Times New Roman" w:eastAsia="华文中宋" w:hAnsi="Times New Roman" w:cs="Times New Roman" w:hint="eastAsia"/>
          <w:color w:val="0070C0"/>
          <w:kern w:val="0"/>
          <w:sz w:val="28"/>
        </w:rPr>
        <w:t>氧化剂和还原剂</w:t>
      </w:r>
    </w:p>
    <w:p>
      <w:pPr>
        <w:overflowPunct w:val="0"/>
        <w:spacing w:line="360" w:lineRule="auto"/>
        <w:contextualSpacing/>
        <w:textAlignment w:val="center"/>
        <w:rPr>
          <w:rFonts w:ascii="Times New Roman" w:eastAsia="方正姚体" w:hAnsi="Times New Roman" w:cs="Times New Roman"/>
          <w:color w:val="000000" w:themeColor="text1"/>
          <w:kern w:val="0"/>
          <w:sz w:val="28"/>
          <w:bdr w:val="single" w:sz="4" w:space="0" w:color="auto"/>
          <w14:textFill>
            <w14:solidFill>
              <w14:schemeClr w14:val="tx1"/>
            </w14:solidFill>
          </w14:textFill>
        </w:rPr>
      </w:pPr>
      <w:r>
        <w:rPr>
          <w:rFonts w:ascii="Times New Roman" w:eastAsia="方正姚体" w:hAnsi="Times New Roman" w:cs="Times New Roman"/>
          <w:color w:val="000000" w:themeColor="text1"/>
          <w:kern w:val="0"/>
          <w:sz w:val="24"/>
          <w:szCs w:val="21"/>
          <w:bdr w:val="single" w:sz="4" w:space="0" w:color="auto"/>
          <w:shd w:val="pct10" w:color="auto" w:fill="FFFFFF"/>
          <w14:textFill>
            <w14:solidFill>
              <w14:schemeClr w14:val="tx1"/>
            </w14:solidFill>
          </w14:textFill>
        </w:rPr>
        <w:t>本课学习目标</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1.了解氧化剂、还原剂、氧化产物和还原产物的概念；</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2.能利用“双线桥”和“单线桥”分析氧化还原反应，会标出电子转移的数目。</w:t>
      </w:r>
    </w:p>
    <w:p>
      <w:pPr>
        <w:adjustRightInd w:val="0"/>
        <w:snapToGrid w:val="0"/>
        <w:spacing w:line="360" w:lineRule="auto"/>
        <w:rPr>
          <w:rFonts w:ascii="Times New Roman" w:eastAsia="宋体" w:hAnsi="Times New Roman" w:cs="Times New Roman" w:hint="eastAsia"/>
          <w:shd w:val="pct10" w:color="auto" w:fill="FFFFFF"/>
        </w:rPr>
      </w:pPr>
      <w:r>
        <w:rPr>
          <w:rFonts w:ascii="Times New Roman" w:eastAsia="宋体" w:hAnsi="Times New Roman" w:cs="Times New Roman"/>
          <w:bCs/>
          <w:color w:val="000000"/>
          <w:szCs w:val="21"/>
        </w:rPr>
        <w:t>3.知道常见的氧化剂、还原剂。</w:t>
      </w:r>
    </w:p>
    <w:p>
      <w:pPr>
        <w:overflowPunct w:val="0"/>
        <w:spacing w:line="360" w:lineRule="auto"/>
        <w:contextualSpacing/>
        <w:textAlignment w:val="center"/>
        <w:rPr>
          <w:rFonts w:ascii="Times New Roman" w:eastAsia="方正姚体" w:hAnsi="Times New Roman" w:cs="Times New Roman"/>
          <w:color w:val="000000" w:themeColor="text1"/>
          <w:kern w:val="0"/>
          <w:sz w:val="28"/>
          <w:bdr w:val="single" w:sz="4" w:space="0" w:color="auto"/>
          <w14:textFill>
            <w14:solidFill>
              <w14:schemeClr w14:val="tx1"/>
            </w14:solidFill>
          </w14:textFill>
        </w:rPr>
      </w:pPr>
      <w:r>
        <w:rPr>
          <w:rFonts w:ascii="Times New Roman" w:eastAsia="方正姚体" w:hAnsi="Times New Roman" w:cs="Times New Roman"/>
          <w:color w:val="000000" w:themeColor="text1"/>
          <w:kern w:val="0"/>
          <w:sz w:val="24"/>
          <w:szCs w:val="21"/>
          <w:bdr w:val="single" w:sz="4" w:space="0" w:color="auto"/>
          <w:shd w:val="pct10" w:color="auto" w:fill="FFFFFF"/>
          <w14:textFill>
            <w14:solidFill>
              <w14:schemeClr w14:val="tx1"/>
            </w14:solidFill>
          </w14:textFill>
        </w:rPr>
        <w:t>课前预习导学</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．氧化剂和还原剂</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(1)氧化剂：___________电子(或电子对___________)的物质，具___________性，在反应时所含元素的化合价___________，本身被___________。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(2)还原剂：___________电子(或电子对___________)的物质，具有___________性，在反应时所含元素的化合价___________，本身被___________。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2．氧化产物和还原产物</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氧化产物：还原剂被___________生成的物质。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还原产物：氧化剂被___________生成的物质。</w:t>
      </w:r>
    </w:p>
    <w:p>
      <w:pPr>
        <w:overflowPunct w:val="0"/>
        <w:spacing w:line="360" w:lineRule="auto"/>
        <w:contextualSpacing/>
        <w:textAlignment w:val="center"/>
        <w:rPr>
          <w:rFonts w:ascii="Times New Roman" w:eastAsia="宋体" w:hAnsi="Times New Roman" w:cs="Times New Roman" w:hint="eastAsia"/>
        </w:rPr>
      </w:pPr>
      <w:r>
        <w:drawing>
          <wp:inline distT="0" distB="0" distL="0" distR="0">
            <wp:extent cx="5486400" cy="2338705"/>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6"/>
                    <a:stretch>
                      <a:fillRect/>
                    </a:stretch>
                  </pic:blipFill>
                  <pic:spPr>
                    <a:xfrm>
                      <a:off x="0" y="0"/>
                      <a:ext cx="5486400" cy="2338705"/>
                    </a:xfrm>
                    <a:prstGeom prst="rect">
                      <a:avLst/>
                    </a:prstGeom>
                  </pic:spPr>
                </pic:pic>
              </a:graphicData>
            </a:graphic>
          </wp:inline>
        </w:drawing>
      </w:r>
    </w:p>
    <w:p>
      <w:pPr>
        <w:overflowPunct w:val="0"/>
        <w:spacing w:line="360" w:lineRule="auto"/>
        <w:contextualSpacing/>
        <w:textAlignment w:val="center"/>
        <w:rPr>
          <w:rFonts w:ascii="Times New Roman" w:eastAsia="宋体" w:hAnsi="Times New Roman" w:cs="Times New Roman" w:hint="eastAsia"/>
        </w:rPr>
      </w:pP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3</w:t>
      </w:r>
      <w:r>
        <w:rPr>
          <w:rFonts w:ascii="Times New Roman" w:eastAsia="宋体" w:hAnsi="Times New Roman" w:cs="Times New Roman"/>
          <w:bCs/>
          <w:color w:val="000000"/>
          <w:szCs w:val="21"/>
        </w:rPr>
        <w:t>．氧化还原反应的表示方法</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（1）</w:t>
      </w:r>
      <w:r>
        <w:rPr>
          <w:rFonts w:ascii="Times New Roman" w:eastAsia="宋体" w:hAnsi="Times New Roman" w:cs="Times New Roman"/>
          <w:bCs/>
          <w:color w:val="000000"/>
          <w:szCs w:val="21"/>
        </w:rPr>
        <w:t>双线桥法</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双线桥法是用两条线桥来表示氧化还原反应中化合价变化或电子转移方向和数目的方法。</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方法如下：</w:t>
      </w:r>
    </w:p>
    <w:p>
      <w:pPr>
        <w:adjustRightInd w:val="0"/>
        <w:snapToGrid w:val="0"/>
        <w:spacing w:line="360" w:lineRule="auto"/>
        <w:rPr>
          <w:rFonts w:ascii="Times New Roman" w:eastAsia="宋体" w:hAnsi="Times New Roman" w:cs="Times New Roman"/>
        </w:rPr>
      </w:pPr>
      <w:r>
        <w:rPr>
          <w:rFonts w:ascii="Times New Roman" w:eastAsia="宋体" w:hAnsi="Times New Roman" w:cs="Times New Roman"/>
        </w:rPr>
        <w:t>一条线箭头由</w:t>
      </w:r>
      <w:r>
        <w:rPr>
          <w:rFonts w:ascii="Times New Roman" w:eastAsia="宋体" w:hAnsi="Times New Roman" w:cs="Times New Roman"/>
          <w:u w:val="single"/>
        </w:rPr>
        <w:t xml:space="preserve">    </w:t>
      </w:r>
      <w:r>
        <w:rPr>
          <w:rFonts w:ascii="Times New Roman" w:eastAsia="宋体" w:hAnsi="Times New Roman" w:cs="Times New Roman"/>
        </w:rPr>
        <w:t>中得电子的原子指向</w:t>
      </w:r>
      <w:r>
        <w:rPr>
          <w:rFonts w:ascii="Times New Roman" w:eastAsia="宋体" w:hAnsi="Times New Roman" w:cs="Times New Roman"/>
          <w:u w:val="single"/>
        </w:rPr>
        <w:t xml:space="preserve">    </w:t>
      </w:r>
      <w:r>
        <w:rPr>
          <w:rFonts w:ascii="Times New Roman" w:eastAsia="宋体" w:hAnsi="Times New Roman" w:cs="Times New Roman"/>
        </w:rPr>
        <w:t>中的同种元素的原子，并标明得到的电子数，</w:t>
      </w:r>
    </w:p>
    <w:p>
      <w:pPr>
        <w:adjustRightInd w:val="0"/>
        <w:snapToGrid w:val="0"/>
        <w:spacing w:line="360" w:lineRule="auto"/>
        <w:rPr>
          <w:rFonts w:ascii="Times New Roman" w:eastAsia="宋体" w:hAnsi="Times New Roman" w:cs="Times New Roman"/>
        </w:rPr>
        <w:sectPr>
          <w:pgSz w:w="11906" w:h="16838"/>
          <w:pgMar w:top="1417" w:right="1077" w:bottom="1417" w:left="1077" w:header="851" w:footer="992" w:gutter="0"/>
          <w:cols w:num="1" w:space="425"/>
          <w:docGrid w:linePitch="318" w:charSpace="409"/>
        </w:sectPr>
      </w:pPr>
      <w:r>
        <w:rPr>
          <w:rFonts w:ascii="Times New Roman" w:eastAsia="宋体" w:hAnsi="Times New Roman" w:cs="Times New Roman"/>
        </w:rPr>
        <w:t>另一条线箭头由</w:t>
      </w:r>
      <w:r>
        <w:rPr>
          <w:rFonts w:ascii="Times New Roman" w:eastAsia="宋体" w:hAnsi="Times New Roman" w:cs="Times New Roman"/>
          <w:u w:val="single"/>
        </w:rPr>
        <w:t xml:space="preserve">    </w:t>
      </w:r>
      <w:r>
        <w:rPr>
          <w:rFonts w:ascii="Times New Roman" w:eastAsia="宋体" w:hAnsi="Times New Roman" w:cs="Times New Roman"/>
        </w:rPr>
        <w:t>中失电子的原子指向</w:t>
      </w:r>
      <w:r>
        <w:rPr>
          <w:rFonts w:ascii="Times New Roman" w:eastAsia="宋体" w:hAnsi="Times New Roman" w:cs="Times New Roman"/>
          <w:u w:val="single"/>
        </w:rPr>
        <w:t xml:space="preserve">    </w:t>
      </w:r>
      <w:r>
        <w:rPr>
          <w:rFonts w:ascii="Times New Roman" w:eastAsia="宋体" w:hAnsi="Times New Roman" w:cs="Times New Roman"/>
        </w:rPr>
        <w:t>中的同种元素的原子，并标明失去的电子数。</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rPr>
        <w:t>可概括为“标变价、画箭头、算数目、说变化”。</w:t>
      </w:r>
    </w:p>
    <w:p>
      <w:pPr>
        <w:adjustRightInd w:val="0"/>
        <w:snapToGrid w:val="0"/>
        <w:spacing w:line="360" w:lineRule="auto"/>
        <w:jc w:val="center"/>
        <w:rPr>
          <w:rFonts w:ascii="Times New Roman" w:eastAsia="宋体" w:hAnsi="Times New Roman" w:cs="Times New Roman" w:hint="eastAsia"/>
          <w:bCs/>
          <w:color w:val="000000"/>
          <w:szCs w:val="21"/>
        </w:rPr>
      </w:pPr>
      <w:r>
        <w:rPr>
          <w:rFonts w:ascii="Times New Roman" w:eastAsia="宋体" w:hAnsi="Times New Roman" w:cs="Times New Roman"/>
        </w:rPr>
        <w:drawing>
          <wp:inline distT="0" distB="0" distL="0" distR="0">
            <wp:extent cx="2781300" cy="81534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781300" cy="815340"/>
                    </a:xfrm>
                    <a:prstGeom prst="rect">
                      <a:avLst/>
                    </a:prstGeom>
                    <a:noFill/>
                    <a:ln>
                      <a:noFill/>
                    </a:ln>
                  </pic:spPr>
                </pic:pic>
              </a:graphicData>
            </a:graphic>
          </wp:inline>
        </w:drawing>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（2）</w:t>
      </w:r>
      <w:r>
        <w:rPr>
          <w:rFonts w:ascii="Times New Roman" w:eastAsia="宋体" w:hAnsi="Times New Roman" w:cs="Times New Roman"/>
          <w:bCs/>
          <w:color w:val="000000"/>
          <w:szCs w:val="21"/>
        </w:rPr>
        <w:t>单线桥法</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单线桥法是用一条线桥来表示氧化还原反应中电子转移的方向和数目的方法。</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方法如下：在反应物一侧，</w:t>
      </w:r>
    </w:p>
    <w:p>
      <w:pPr>
        <w:tabs>
          <w:tab w:val="left" w:pos="3969"/>
          <w:tab w:val="left" w:pos="7371"/>
        </w:tabs>
        <w:overflowPunct w:val="0"/>
        <w:snapToGrid w:val="0"/>
        <w:spacing w:line="360" w:lineRule="auto"/>
        <w:rPr>
          <w:rFonts w:ascii="Times New Roman" w:eastAsia="宋体" w:hAnsi="Times New Roman" w:cs="Times New Roman"/>
          <w:szCs w:val="21"/>
        </w:rPr>
      </w:pPr>
      <w:r>
        <w:rPr>
          <w:rFonts w:ascii="Times New Roman" w:eastAsia="宋体" w:hAnsi="Times New Roman" w:cs="Times New Roman"/>
          <w:bCs/>
          <w:color w:val="000000"/>
          <w:szCs w:val="21"/>
        </w:rPr>
        <w:t>箭号起点为</w:t>
      </w:r>
      <w:r>
        <w:rPr>
          <w:rFonts w:ascii="Times New Roman" w:eastAsia="宋体" w:hAnsi="Times New Roman" w:cs="Times New Roman"/>
          <w:bCs/>
          <w:color w:val="000000"/>
          <w:szCs w:val="21"/>
          <w:u w:val="single"/>
        </w:rPr>
        <w:t xml:space="preserve">    </w:t>
      </w:r>
      <w:r>
        <w:rPr>
          <w:rFonts w:ascii="Times New Roman" w:eastAsia="宋体" w:hAnsi="Times New Roman" w:cs="Times New Roman"/>
          <w:bCs/>
          <w:color w:val="000000"/>
          <w:szCs w:val="21"/>
        </w:rPr>
        <w:t>原子，终点为</w:t>
      </w:r>
      <w:r>
        <w:rPr>
          <w:rFonts w:ascii="Times New Roman" w:eastAsia="宋体" w:hAnsi="Times New Roman" w:cs="Times New Roman"/>
          <w:bCs/>
          <w:color w:val="000000"/>
          <w:szCs w:val="21"/>
          <w:u w:val="single"/>
        </w:rPr>
        <w:t xml:space="preserve">    </w:t>
      </w:r>
      <w:r>
        <w:rPr>
          <w:rFonts w:ascii="Times New Roman" w:eastAsia="宋体" w:hAnsi="Times New Roman" w:cs="Times New Roman"/>
          <w:bCs/>
          <w:color w:val="000000"/>
          <w:szCs w:val="21"/>
        </w:rPr>
        <w:t>原子，在线上只标转移电子总数，不标</w:t>
      </w:r>
      <w:r>
        <w:rPr>
          <w:rFonts w:ascii="Times New Roman" w:eastAsia="宋体" w:hAnsi="Times New Roman" w:cs="Times New Roman"/>
          <w:szCs w:val="21"/>
        </w:rPr>
        <w:t>“得到”“失去”。</w:t>
      </w:r>
    </w:p>
    <w:p>
      <w:pPr>
        <w:adjustRightInd w:val="0"/>
        <w:snapToGrid w:val="0"/>
        <w:spacing w:line="360" w:lineRule="auto"/>
        <w:jc w:val="center"/>
        <w:rPr>
          <w:rFonts w:ascii="Times New Roman" w:eastAsia="宋体" w:hAnsi="Times New Roman" w:cs="Times New Roman"/>
          <w:bCs/>
          <w:color w:val="000000"/>
          <w:szCs w:val="21"/>
        </w:rPr>
      </w:pP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4</w:t>
      </w:r>
      <w:r>
        <w:rPr>
          <w:rFonts w:ascii="Times New Roman" w:eastAsia="宋体" w:hAnsi="Times New Roman" w:cs="Times New Roman"/>
          <w:bCs/>
          <w:color w:val="000000"/>
          <w:szCs w:val="21"/>
        </w:rPr>
        <w:t>．常见的氧化剂和还原剂</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（1）</w:t>
      </w:r>
      <w:r>
        <w:rPr>
          <w:rFonts w:ascii="Times New Roman" w:eastAsia="宋体" w:hAnsi="Times New Roman" w:cs="Times New Roman"/>
          <w:bCs/>
          <w:color w:val="000000"/>
          <w:szCs w:val="21"/>
        </w:rPr>
        <w:t>常见的氧化剂</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常见的氧化剂有：</w:t>
      </w:r>
    </w:p>
    <w:p>
      <w:pPr>
        <w:adjustRightInd w:val="0"/>
        <w:snapToGrid w:val="0"/>
        <w:spacing w:line="360" w:lineRule="auto"/>
        <w:rPr>
          <w:rFonts w:ascii="Times New Roman" w:eastAsia="宋体" w:hAnsi="Times New Roman" w:cs="Times New Roman"/>
          <w:bCs/>
          <w:color w:val="000000"/>
          <w:szCs w:val="21"/>
          <w:u w:val="single"/>
        </w:rPr>
      </w:pPr>
      <w:r>
        <w:rPr>
          <w:rFonts w:ascii="Times New Roman" w:eastAsia="宋体" w:hAnsi="Times New Roman" w:cs="Times New Roman"/>
          <w:bCs/>
          <w:color w:val="000000"/>
          <w:szCs w:val="21"/>
        </w:rPr>
        <w:t xml:space="preserve">  </w:t>
      </w:r>
      <w:r>
        <w:rPr>
          <w:rFonts w:ascii="宋体" w:eastAsia="宋体" w:hAnsi="宋体" w:cs="宋体" w:hint="eastAsia"/>
          <w:bCs/>
          <w:color w:val="000000"/>
          <w:szCs w:val="21"/>
        </w:rPr>
        <w:t>①</w:t>
      </w:r>
      <w:r>
        <w:rPr>
          <w:rFonts w:ascii="Times New Roman" w:eastAsia="宋体" w:hAnsi="Times New Roman" w:cs="Times New Roman"/>
          <w:bCs/>
          <w:color w:val="000000"/>
          <w:szCs w:val="21"/>
        </w:rPr>
        <w:t>典型的非金属单质，如：</w:t>
      </w:r>
      <w:r>
        <w:rPr>
          <w:rFonts w:ascii="Times New Roman" w:eastAsia="宋体" w:hAnsi="Times New Roman" w:cs="Times New Roman"/>
          <w:bCs/>
          <w:color w:val="000000"/>
          <w:szCs w:val="21"/>
          <w:u w:val="single"/>
          <w:vertAlign w:val="subscript"/>
        </w:rPr>
        <w:t xml:space="preserve">               </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 xml:space="preserve">  </w:t>
      </w:r>
      <w:r>
        <w:rPr>
          <w:rFonts w:ascii="宋体" w:eastAsia="宋体" w:hAnsi="宋体" w:cs="宋体" w:hint="eastAsia"/>
          <w:bCs/>
          <w:color w:val="000000"/>
          <w:szCs w:val="21"/>
        </w:rPr>
        <w:t>②</w:t>
      </w:r>
      <w:r>
        <w:rPr>
          <w:rFonts w:ascii="Times New Roman" w:eastAsia="宋体" w:hAnsi="Times New Roman" w:cs="Times New Roman"/>
          <w:bCs/>
          <w:color w:val="000000"/>
          <w:szCs w:val="21"/>
        </w:rPr>
        <w:t>有变价元素的高价态化合物或离子，如：</w:t>
      </w:r>
      <w:r>
        <w:rPr>
          <w:rFonts w:ascii="Times New Roman" w:eastAsia="宋体" w:hAnsi="Times New Roman" w:cs="Times New Roman"/>
          <w:bCs/>
          <w:color w:val="000000"/>
          <w:szCs w:val="21"/>
          <w:u w:val="single"/>
          <w:vertAlign w:val="subscript"/>
        </w:rPr>
        <w:t xml:space="preserve">                </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 xml:space="preserve">  </w:t>
      </w:r>
      <w:r>
        <w:rPr>
          <w:rFonts w:ascii="宋体" w:eastAsia="宋体" w:hAnsi="宋体" w:cs="宋体" w:hint="eastAsia"/>
          <w:bCs/>
          <w:color w:val="000000"/>
          <w:szCs w:val="21"/>
        </w:rPr>
        <w:t>③</w:t>
      </w:r>
      <w:r>
        <w:rPr>
          <w:rFonts w:ascii="Times New Roman" w:eastAsia="宋体" w:hAnsi="Times New Roman" w:cs="Times New Roman"/>
          <w:bCs/>
          <w:color w:val="000000"/>
          <w:szCs w:val="21"/>
        </w:rPr>
        <w:t>金属阳离子，如：</w:t>
      </w:r>
      <w:r>
        <w:rPr>
          <w:rFonts w:ascii="Times New Roman" w:eastAsia="宋体" w:hAnsi="Times New Roman" w:cs="Times New Roman"/>
          <w:bCs/>
          <w:color w:val="000000"/>
          <w:szCs w:val="21"/>
          <w:u w:val="single"/>
          <w:vertAlign w:val="subscript"/>
        </w:rPr>
        <w:t xml:space="preserve">               </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（2）</w:t>
      </w:r>
      <w:r>
        <w:rPr>
          <w:rFonts w:ascii="Times New Roman" w:eastAsia="宋体" w:hAnsi="Times New Roman" w:cs="Times New Roman"/>
          <w:bCs/>
          <w:color w:val="000000"/>
          <w:szCs w:val="21"/>
        </w:rPr>
        <w:t>常见的还原剂</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常见的还原剂有：</w:t>
      </w:r>
    </w:p>
    <w:p>
      <w:pPr>
        <w:adjustRightInd w:val="0"/>
        <w:snapToGrid w:val="0"/>
        <w:spacing w:line="360" w:lineRule="auto"/>
        <w:rPr>
          <w:rFonts w:ascii="Times New Roman" w:eastAsia="宋体" w:hAnsi="Times New Roman" w:cs="Times New Roman"/>
          <w:bCs/>
          <w:color w:val="000000"/>
          <w:szCs w:val="21"/>
        </w:rPr>
      </w:pPr>
      <w:r>
        <w:rPr>
          <w:rFonts w:ascii="宋体" w:eastAsia="宋体" w:hAnsi="宋体" w:cs="宋体" w:hint="eastAsia"/>
          <w:bCs/>
          <w:color w:val="000000"/>
          <w:szCs w:val="21"/>
        </w:rPr>
        <w:t>①</w:t>
      </w:r>
      <w:r>
        <w:rPr>
          <w:rFonts w:ascii="Times New Roman" w:eastAsia="宋体" w:hAnsi="Times New Roman" w:cs="Times New Roman"/>
          <w:bCs/>
          <w:color w:val="000000"/>
          <w:szCs w:val="21"/>
        </w:rPr>
        <w:t>典型的金属单质，如：</w:t>
      </w:r>
      <w:r>
        <w:rPr>
          <w:rFonts w:ascii="Times New Roman" w:eastAsia="宋体" w:hAnsi="Times New Roman" w:cs="Times New Roman"/>
          <w:bCs/>
          <w:color w:val="000000"/>
          <w:szCs w:val="21"/>
          <w:u w:val="single"/>
          <w:vertAlign w:val="subscript"/>
        </w:rPr>
        <w:t xml:space="preserve">              </w:t>
      </w:r>
    </w:p>
    <w:p>
      <w:pPr>
        <w:adjustRightInd w:val="0"/>
        <w:snapToGrid w:val="0"/>
        <w:spacing w:line="360" w:lineRule="auto"/>
        <w:rPr>
          <w:rFonts w:ascii="Times New Roman" w:eastAsia="宋体" w:hAnsi="Times New Roman" w:cs="Times New Roman"/>
          <w:bCs/>
          <w:color w:val="000000"/>
          <w:szCs w:val="21"/>
        </w:rPr>
      </w:pPr>
      <w:r>
        <w:rPr>
          <w:rFonts w:ascii="宋体" w:eastAsia="宋体" w:hAnsi="宋体" w:cs="宋体" w:hint="eastAsia"/>
          <w:bCs/>
          <w:color w:val="000000"/>
          <w:szCs w:val="21"/>
        </w:rPr>
        <w:t>②</w:t>
      </w:r>
      <w:r>
        <w:rPr>
          <w:rFonts w:ascii="Times New Roman" w:eastAsia="宋体" w:hAnsi="Times New Roman" w:cs="Times New Roman"/>
          <w:bCs/>
          <w:color w:val="000000"/>
          <w:szCs w:val="21"/>
        </w:rPr>
        <w:t>某些非金属单质及其化合物。如：</w:t>
      </w:r>
      <w:r>
        <w:rPr>
          <w:rFonts w:ascii="Times New Roman" w:eastAsia="宋体" w:hAnsi="Times New Roman" w:cs="Times New Roman"/>
          <w:bCs/>
          <w:color w:val="000000"/>
          <w:szCs w:val="21"/>
          <w:u w:val="single"/>
          <w:vertAlign w:val="subscript"/>
        </w:rPr>
        <w:t xml:space="preserve">               </w:t>
      </w:r>
    </w:p>
    <w:p>
      <w:pPr>
        <w:adjustRightInd w:val="0"/>
        <w:snapToGrid w:val="0"/>
        <w:spacing w:line="360" w:lineRule="auto"/>
        <w:rPr>
          <w:rFonts w:ascii="Times New Roman" w:eastAsia="宋体" w:hAnsi="Times New Roman" w:cs="Times New Roman"/>
          <w:bCs/>
          <w:color w:val="000000"/>
          <w:szCs w:val="21"/>
        </w:rPr>
      </w:pPr>
      <w:r>
        <w:rPr>
          <w:rFonts w:ascii="宋体" w:eastAsia="宋体" w:hAnsi="宋体" w:cs="宋体" w:hint="eastAsia"/>
          <w:bCs/>
          <w:color w:val="000000"/>
          <w:szCs w:val="21"/>
        </w:rPr>
        <w:t>③</w:t>
      </w:r>
      <w:r>
        <w:rPr>
          <w:rFonts w:ascii="Times New Roman" w:eastAsia="宋体" w:hAnsi="Times New Roman" w:cs="Times New Roman"/>
          <w:bCs/>
          <w:color w:val="000000"/>
          <w:szCs w:val="21"/>
        </w:rPr>
        <w:t>有变价元素的最低价态化合物或离子，如：</w:t>
      </w:r>
      <w:r>
        <w:rPr>
          <w:rFonts w:ascii="Times New Roman" w:eastAsia="宋体" w:hAnsi="Times New Roman" w:cs="Times New Roman"/>
          <w:bCs/>
          <w:color w:val="000000"/>
          <w:szCs w:val="21"/>
          <w:u w:val="single"/>
          <w:vertAlign w:val="subscript"/>
        </w:rPr>
        <w:t xml:space="preserve">                </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（3）</w:t>
      </w:r>
      <w:r>
        <w:rPr>
          <w:rFonts w:ascii="Times New Roman" w:eastAsia="宋体" w:hAnsi="Times New Roman" w:cs="Times New Roman"/>
          <w:bCs/>
          <w:color w:val="000000"/>
          <w:szCs w:val="21"/>
        </w:rPr>
        <w:t>具有中间价态原子的物质，既能表现氧化性，又能表现还原性</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例如：</w:t>
      </w:r>
    </w:p>
    <w:p>
      <w:pPr>
        <w:adjustRightInd w:val="0"/>
        <w:snapToGrid w:val="0"/>
        <w:spacing w:line="360" w:lineRule="auto"/>
        <w:ind w:firstLine="840" w:firstLineChars="400"/>
        <w:rPr>
          <w:rFonts w:ascii="Times New Roman" w:eastAsia="宋体" w:hAnsi="Times New Roman" w:cs="Times New Roman"/>
          <w:bCs/>
          <w:color w:val="000000"/>
          <w:szCs w:val="21"/>
        </w:rPr>
      </w:pPr>
      <w:r>
        <w:rPr>
          <w:rFonts w:ascii="Times New Roman" w:eastAsia="宋体" w:hAnsi="Times New Roman" w:cs="Times New Roman"/>
          <w:bCs/>
          <w:color w:val="000000"/>
          <w:szCs w:val="21"/>
        </w:rPr>
        <w:t>Fe    Fe</w:t>
      </w:r>
      <w:r>
        <w:rPr>
          <w:rFonts w:ascii="Times New Roman" w:eastAsia="宋体" w:hAnsi="Times New Roman" w:cs="Times New Roman"/>
          <w:bCs/>
          <w:color w:val="000000"/>
          <w:szCs w:val="21"/>
          <w:vertAlign w:val="superscript"/>
        </w:rPr>
        <w:t xml:space="preserve">2+     </w:t>
      </w:r>
      <w:r>
        <w:rPr>
          <w:rFonts w:ascii="Times New Roman" w:eastAsia="宋体" w:hAnsi="Times New Roman" w:cs="Times New Roman"/>
          <w:bCs/>
          <w:color w:val="000000"/>
          <w:szCs w:val="21"/>
        </w:rPr>
        <w:t>Fe</w:t>
      </w:r>
      <w:r>
        <w:rPr>
          <w:rFonts w:ascii="Times New Roman" w:eastAsia="宋体" w:hAnsi="Times New Roman" w:cs="Times New Roman"/>
          <w:bCs/>
          <w:color w:val="000000"/>
          <w:szCs w:val="21"/>
          <w:vertAlign w:val="superscript"/>
        </w:rPr>
        <w:t xml:space="preserve">3+     </w:t>
      </w:r>
      <w:r>
        <w:rPr>
          <w:rFonts w:ascii="Times New Roman" w:eastAsia="宋体" w:hAnsi="Times New Roman" w:cs="Times New Roman"/>
          <w:bCs/>
          <w:color w:val="000000"/>
          <w:szCs w:val="21"/>
        </w:rPr>
        <w:t>；</w:t>
      </w:r>
      <w:r>
        <w:rPr>
          <w:rFonts w:ascii="Times New Roman" w:eastAsia="宋体" w:hAnsi="Times New Roman" w:cs="Times New Roman"/>
          <w:bCs/>
          <w:color w:val="000000"/>
          <w:szCs w:val="21"/>
          <w:vertAlign w:val="superscript"/>
        </w:rPr>
        <w:t xml:space="preserve">       </w:t>
      </w:r>
      <w:r>
        <w:rPr>
          <w:rFonts w:ascii="Times New Roman" w:eastAsia="宋体" w:hAnsi="Times New Roman" w:cs="Times New Roman"/>
          <w:bCs/>
          <w:color w:val="000000"/>
          <w:szCs w:val="21"/>
        </w:rPr>
        <w:t>H</w:t>
      </w:r>
      <w:r>
        <w:rPr>
          <w:rFonts w:ascii="Times New Roman" w:eastAsia="宋体" w:hAnsi="Times New Roman" w:cs="Times New Roman"/>
          <w:bCs/>
          <w:color w:val="000000"/>
          <w:szCs w:val="21"/>
          <w:vertAlign w:val="subscript"/>
        </w:rPr>
        <w:t>2</w:t>
      </w:r>
      <w:r>
        <w:rPr>
          <w:rFonts w:ascii="Times New Roman" w:eastAsia="宋体" w:hAnsi="Times New Roman" w:cs="Times New Roman"/>
          <w:bCs/>
          <w:color w:val="000000"/>
          <w:szCs w:val="21"/>
          <w:u w:val="single"/>
        </w:rPr>
        <w:t>O</w:t>
      </w:r>
      <w:r>
        <w:rPr>
          <w:rFonts w:ascii="Times New Roman" w:eastAsia="宋体" w:hAnsi="Times New Roman" w:cs="Times New Roman"/>
          <w:bCs/>
          <w:color w:val="000000"/>
          <w:szCs w:val="21"/>
          <w:vertAlign w:val="subscript"/>
        </w:rPr>
        <w:t xml:space="preserve">       </w:t>
      </w:r>
      <w:r>
        <w:rPr>
          <w:rFonts w:ascii="Times New Roman" w:eastAsia="宋体" w:hAnsi="Times New Roman" w:cs="Times New Roman"/>
          <w:bCs/>
          <w:color w:val="000000"/>
          <w:szCs w:val="21"/>
        </w:rPr>
        <w:t>H</w:t>
      </w:r>
      <w:r>
        <w:rPr>
          <w:rFonts w:ascii="Times New Roman" w:eastAsia="宋体" w:hAnsi="Times New Roman" w:cs="Times New Roman"/>
          <w:bCs/>
          <w:color w:val="000000"/>
          <w:szCs w:val="21"/>
          <w:vertAlign w:val="subscript"/>
        </w:rPr>
        <w:t>2</w:t>
      </w:r>
      <w:r>
        <w:rPr>
          <w:rFonts w:ascii="Times New Roman" w:eastAsia="宋体" w:hAnsi="Times New Roman" w:cs="Times New Roman"/>
          <w:bCs/>
          <w:color w:val="000000"/>
          <w:szCs w:val="21"/>
          <w:u w:val="single"/>
        </w:rPr>
        <w:t>O</w:t>
      </w:r>
      <w:r>
        <w:rPr>
          <w:rFonts w:ascii="Times New Roman" w:eastAsia="宋体" w:hAnsi="Times New Roman" w:cs="Times New Roman"/>
          <w:bCs/>
          <w:color w:val="000000"/>
          <w:szCs w:val="21"/>
          <w:vertAlign w:val="subscript"/>
        </w:rPr>
        <w:t xml:space="preserve">2       </w:t>
      </w:r>
      <w:r>
        <w:rPr>
          <w:rFonts w:ascii="Times New Roman" w:eastAsia="宋体" w:hAnsi="Times New Roman" w:cs="Times New Roman"/>
          <w:bCs/>
          <w:color w:val="000000"/>
          <w:szCs w:val="21"/>
          <w:u w:val="single"/>
        </w:rPr>
        <w:t>O</w:t>
      </w:r>
      <w:r>
        <w:rPr>
          <w:rFonts w:ascii="Times New Roman" w:eastAsia="宋体" w:hAnsi="Times New Roman" w:cs="Times New Roman"/>
          <w:bCs/>
          <w:color w:val="000000"/>
          <w:szCs w:val="21"/>
          <w:vertAlign w:val="subscript"/>
        </w:rPr>
        <w:t xml:space="preserve">2       </w:t>
      </w:r>
      <w:r>
        <w:rPr>
          <w:rFonts w:ascii="Times New Roman" w:eastAsia="宋体" w:hAnsi="Times New Roman" w:cs="Times New Roman"/>
          <w:bCs/>
          <w:color w:val="000000"/>
          <w:szCs w:val="21"/>
          <w:vertAlign w:val="superscript"/>
        </w:rPr>
        <w:t xml:space="preserve"> </w:t>
      </w:r>
      <w:r>
        <w:rPr>
          <w:rFonts w:ascii="Times New Roman" w:eastAsia="宋体" w:hAnsi="Times New Roman" w:cs="Times New Roman"/>
          <w:bCs/>
          <w:color w:val="000000"/>
          <w:szCs w:val="21"/>
        </w:rPr>
        <w:t>；</w:t>
      </w:r>
      <w:r>
        <w:rPr>
          <w:rFonts w:ascii="Times New Roman" w:eastAsia="宋体" w:hAnsi="Times New Roman" w:cs="Times New Roman"/>
          <w:bCs/>
          <w:color w:val="000000"/>
          <w:szCs w:val="21"/>
          <w:vertAlign w:val="subscript"/>
        </w:rPr>
        <w:t xml:space="preserve">     </w:t>
      </w:r>
      <w:r>
        <w:rPr>
          <w:rFonts w:ascii="Times New Roman" w:eastAsia="宋体" w:hAnsi="Times New Roman" w:cs="Times New Roman"/>
          <w:bCs/>
          <w:color w:val="000000"/>
          <w:szCs w:val="21"/>
          <w:u w:val="single"/>
        </w:rPr>
        <w:t>S</w:t>
      </w:r>
      <w:r>
        <w:rPr>
          <w:rFonts w:ascii="Times New Roman" w:eastAsia="宋体" w:hAnsi="Times New Roman" w:cs="Times New Roman"/>
          <w:bCs/>
          <w:color w:val="000000"/>
          <w:szCs w:val="21"/>
          <w:vertAlign w:val="subscript"/>
        </w:rPr>
        <w:t xml:space="preserve">       </w:t>
      </w:r>
      <w:r>
        <w:rPr>
          <w:rFonts w:ascii="Times New Roman" w:eastAsia="宋体" w:hAnsi="Times New Roman" w:cs="Times New Roman"/>
          <w:bCs/>
          <w:color w:val="000000"/>
          <w:szCs w:val="21"/>
          <w:u w:val="single"/>
        </w:rPr>
        <w:t>S</w:t>
      </w:r>
      <w:r>
        <w:rPr>
          <w:rFonts w:ascii="Times New Roman" w:eastAsia="宋体" w:hAnsi="Times New Roman" w:cs="Times New Roman"/>
          <w:bCs/>
          <w:color w:val="000000"/>
          <w:szCs w:val="21"/>
        </w:rPr>
        <w:t>O</w:t>
      </w:r>
      <w:r>
        <w:rPr>
          <w:rFonts w:ascii="Times New Roman" w:eastAsia="宋体" w:hAnsi="Times New Roman" w:cs="Times New Roman"/>
          <w:bCs/>
          <w:color w:val="000000"/>
          <w:szCs w:val="21"/>
          <w:vertAlign w:val="subscript"/>
        </w:rPr>
        <w:t>3</w:t>
      </w:r>
      <w:r>
        <w:rPr>
          <w:rFonts w:ascii="Times New Roman" w:eastAsia="宋体" w:hAnsi="Times New Roman" w:cs="Times New Roman"/>
          <w:bCs/>
          <w:color w:val="000000"/>
          <w:szCs w:val="21"/>
          <w:vertAlign w:val="superscript"/>
        </w:rPr>
        <w:t xml:space="preserve">2-      </w:t>
      </w:r>
      <w:r>
        <w:rPr>
          <w:rFonts w:ascii="Times New Roman" w:eastAsia="宋体" w:hAnsi="Times New Roman" w:cs="Times New Roman"/>
          <w:bCs/>
          <w:color w:val="000000"/>
          <w:szCs w:val="21"/>
          <w:vertAlign w:val="subscript"/>
        </w:rPr>
        <w:t xml:space="preserve"> </w:t>
      </w:r>
      <w:r>
        <w:rPr>
          <w:rFonts w:ascii="Times New Roman" w:eastAsia="宋体" w:hAnsi="Times New Roman" w:cs="Times New Roman"/>
          <w:bCs/>
          <w:color w:val="000000"/>
          <w:szCs w:val="21"/>
          <w:u w:val="single"/>
        </w:rPr>
        <w:t>S</w:t>
      </w:r>
      <w:r>
        <w:rPr>
          <w:rFonts w:ascii="Times New Roman" w:eastAsia="宋体" w:hAnsi="Times New Roman" w:cs="Times New Roman"/>
          <w:bCs/>
          <w:color w:val="000000"/>
          <w:szCs w:val="21"/>
        </w:rPr>
        <w:t>O</w:t>
      </w:r>
      <w:r>
        <w:rPr>
          <w:rFonts w:ascii="Times New Roman" w:eastAsia="宋体" w:hAnsi="Times New Roman" w:cs="Times New Roman"/>
          <w:bCs/>
          <w:color w:val="000000"/>
          <w:szCs w:val="21"/>
          <w:vertAlign w:val="subscript"/>
        </w:rPr>
        <w:t>4</w:t>
      </w:r>
      <w:r>
        <w:rPr>
          <w:rFonts w:ascii="Times New Roman" w:eastAsia="宋体" w:hAnsi="Times New Roman" w:cs="Times New Roman"/>
          <w:bCs/>
          <w:color w:val="000000"/>
          <w:szCs w:val="21"/>
          <w:vertAlign w:val="superscript"/>
        </w:rPr>
        <w:t>2-</w:t>
      </w:r>
    </w:p>
    <w:p>
      <w:pPr>
        <w:adjustRightInd w:val="0"/>
        <w:snapToGrid w:val="0"/>
        <w:spacing w:line="360" w:lineRule="auto"/>
        <w:rPr>
          <w:rFonts w:ascii="Times New Roman" w:eastAsia="宋体" w:hAnsi="Times New Roman" w:cs="Times New Roman"/>
          <w:bCs/>
          <w:color w:val="000000"/>
          <w:szCs w:val="21"/>
        </w:rPr>
      </w:pPr>
      <w:r>
        <w:rPr>
          <w:rFonts w:ascii="Times New Roman" w:eastAsia="宋体" w:hAnsi="Times New Roman" w:cs="Times New Roman"/>
          <w:bCs/>
          <w:color w:val="000000"/>
          <w:szCs w:val="21"/>
        </w:rPr>
        <w:t>化合价  0     +2    +3             -2       -1     0            0    +4      +6</w:t>
      </w:r>
    </w:p>
    <w:p>
      <w:pPr>
        <w:tabs>
          <w:tab w:val="left" w:pos="3969"/>
          <w:tab w:val="left" w:pos="7371"/>
        </w:tabs>
        <w:overflowPunct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【注意】</w:t>
      </w:r>
    </w:p>
    <w:p>
      <w:pPr>
        <w:tabs>
          <w:tab w:val="left" w:pos="3969"/>
          <w:tab w:val="left" w:pos="7371"/>
        </w:tabs>
        <w:overflowPunct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(1)某元素由化合态变为游离态时，该元素可能被还原，也可能被氧化。</w:t>
      </w:r>
    </w:p>
    <w:p>
      <w:pPr>
        <w:tabs>
          <w:tab w:val="left" w:pos="3969"/>
          <w:tab w:val="left" w:pos="7371"/>
        </w:tabs>
        <w:overflowPunct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(2)在氧化还原反应中，非金属单质不一定只做氧化剂。</w:t>
      </w:r>
    </w:p>
    <w:p>
      <w:pPr>
        <w:tabs>
          <w:tab w:val="left" w:pos="3969"/>
          <w:tab w:val="left" w:pos="7371"/>
        </w:tabs>
        <w:overflowPunct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(3)所含元素价态越高，化合物的氧化性不一定越强。</w:t>
      </w:r>
    </w:p>
    <w:p>
      <w:pPr>
        <w:tabs>
          <w:tab w:val="left" w:pos="3969"/>
          <w:tab w:val="left" w:pos="7371"/>
        </w:tabs>
        <w:overflowPunct w:val="0"/>
        <w:snapToGrid w:val="0"/>
        <w:spacing w:line="360" w:lineRule="auto"/>
        <w:rPr>
          <w:rFonts w:ascii="Times New Roman" w:eastAsia="宋体" w:hAnsi="Times New Roman" w:cs="Times New Roman"/>
          <w:szCs w:val="21"/>
        </w:rPr>
      </w:pPr>
      <w:r>
        <w:rPr>
          <w:rFonts w:ascii="Times New Roman" w:eastAsia="宋体" w:hAnsi="Times New Roman" w:cs="Times New Roman"/>
          <w:szCs w:val="21"/>
        </w:rPr>
        <w:t>(4)在氧化还原反应中，一种元素被氧化，不一定有另一种元素被还原。</w:t>
      </w:r>
    </w:p>
    <w:p>
      <w:pPr>
        <w:overflowPunct w:val="0"/>
        <w:spacing w:line="360" w:lineRule="auto"/>
        <w:contextualSpacing/>
        <w:textAlignment w:val="center"/>
        <w:rPr>
          <w:rFonts w:ascii="Times New Roman" w:eastAsia="宋体" w:hAnsi="Times New Roman" w:cs="Times New Roman" w:hint="eastAsia"/>
        </w:rPr>
      </w:pPr>
    </w:p>
    <w:p>
      <w:pPr>
        <w:overflowPunct w:val="0"/>
        <w:spacing w:line="360" w:lineRule="auto"/>
        <w:contextualSpacing/>
        <w:textAlignment w:val="center"/>
        <w:rPr>
          <w:rFonts w:ascii="Times New Roman" w:eastAsia="宋体" w:hAnsi="Times New Roman" w:cs="Times New Roman" w:hint="eastAsia"/>
        </w:rPr>
      </w:pPr>
    </w:p>
    <w:p>
      <w:pPr>
        <w:overflowPunct w:val="0"/>
        <w:spacing w:line="360" w:lineRule="auto"/>
        <w:contextualSpacing/>
        <w:textAlignment w:val="center"/>
        <w:rPr>
          <w:rFonts w:ascii="Times New Roman" w:eastAsia="方正姚体" w:hAnsi="Times New Roman" w:cs="Times New Roman"/>
          <w:color w:val="000000" w:themeColor="text1"/>
          <w:kern w:val="0"/>
          <w:sz w:val="28"/>
          <w:bdr w:val="single" w:sz="4" w:space="0" w:color="auto"/>
          <w14:textFill>
            <w14:solidFill>
              <w14:schemeClr w14:val="tx1"/>
            </w14:solidFill>
          </w14:textFill>
        </w:rPr>
      </w:pPr>
      <w:r>
        <w:rPr>
          <w:rFonts w:ascii="Times New Roman" w:eastAsia="方正姚体" w:hAnsi="Times New Roman" w:cs="Times New Roman"/>
          <w:color w:val="000000" w:themeColor="text1"/>
          <w:kern w:val="0"/>
          <w:sz w:val="24"/>
          <w:szCs w:val="21"/>
          <w:bdr w:val="single" w:sz="4" w:space="0" w:color="auto"/>
          <w:shd w:val="pct10" w:color="auto" w:fill="FFFFFF"/>
          <w14:textFill>
            <w14:solidFill>
              <w14:schemeClr w14:val="tx1"/>
            </w14:solidFill>
          </w14:textFill>
        </w:rPr>
        <w:t>当堂练习达标</w:t>
      </w:r>
    </w:p>
    <w:p>
      <w:pPr>
        <w:spacing w:line="360" w:lineRule="auto"/>
        <w:contextualSpacing/>
        <w:jc w:val="left"/>
        <w:rPr>
          <w:rFonts w:ascii="Times New Roman" w:eastAsia="黑体" w:hAnsi="Times New Roman" w:cs="Times New Roman"/>
          <w:szCs w:val="21"/>
        </w:rPr>
      </w:pPr>
      <w:r>
        <w:rPr>
          <w:rFonts w:ascii="Times New Roman" w:eastAsia="黑体" w:hAnsi="Times New Roman" w:cs="Times New Roman"/>
          <w:szCs w:val="21"/>
        </w:rPr>
        <w:t>知识点一  氧化剂、还原剂及相关概念</w:t>
      </w:r>
    </w:p>
    <w:p>
      <w:pPr>
        <w:spacing w:line="360" w:lineRule="auto"/>
        <w:jc w:val="left"/>
        <w:textAlignment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hint="eastAsia"/>
          <w:color w:val="000000" w:themeColor="text1"/>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．下列关于氧化还原反应的叙述，正确的是 (    )</w:t>
      </w:r>
      <w:r>
        <w:rPr>
          <w:rFonts w:ascii="Times New Roman" w:hAnsi="Times New Roman" w:cs="Times New Roman"/>
          <w:color w:val="000000" w:themeColor="text1"/>
          <w14:textFill>
            <w14:solidFill>
              <w14:schemeClr w14:val="tx1"/>
            </w14:solidFill>
          </w14:textFill>
        </w:rPr>
        <w:br/>
      </w:r>
      <w:r>
        <w:rPr>
          <w:rFonts w:ascii="Times New Roman" w:hAnsi="Times New Roman" w:cs="Times New Roman"/>
          <w:color w:val="000000" w:themeColor="text1"/>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https://d.book118.com/726021012211010103</w:t>
        </w:r>
      </w:hyperlink>
    </w:p>
    <w:p>
      <w:pPr>
        <w:spacing w:line="360" w:lineRule="auto"/>
        <w:jc w:val="left"/>
        <w:textAlignment w:val="center"/>
        <w:rPr>
          <w:rFonts w:ascii="Times New Roman" w:hAnsi="Times New Roman" w:cs="Times New Roman"/>
          <w:color w:val="000000" w:themeColor="text1"/>
          <w14:textFill>
            <w14:solidFill>
              <w14:schemeClr w14:val="tx1"/>
            </w14:solidFill>
          </w14:textFill>
        </w:rPr>
      </w:pPr>
    </w:p>
    <w:sectPr>
      <w:type w:val="nextPage"/>
      <w:pgSz w:w="11906" w:h="16838"/>
      <w:pgMar w:top="1417" w:right="1077" w:bottom="1417" w:left="1077" w:header="851" w:footer="992" w:gutter="0"/>
      <w:pgNumType w:start="2"/>
      <w:cols w:num="1" w:space="425"/>
      <w:titlePg w:val="0"/>
      <w:docGrid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MS Mincho">
    <w:altName w:val="S2G love"/>
    <w:panose1 w:val="02020609040205080304"/>
    <w:charset w:val="80"/>
    <w:family w:val="modern"/>
    <w:pitch w:val="default"/>
    <w:sig w:usb0="00000000" w:usb1="00000000" w:usb2="00000010" w:usb3="00000000" w:csb0="0002009F" w:csb1="00000000"/>
  </w:font>
  <w:font w:name="华文彩云">
    <w:panose1 w:val="02010800040101010101"/>
    <w:charset w:val="86"/>
    <w:family w:val="auto"/>
    <w:pitch w:val="default"/>
    <w:sig w:usb0="00000001" w:usb1="080F0000" w:usb2="00000000" w:usb3="00000000" w:csb0="00040000" w:csb1="00000000"/>
  </w:font>
  <w:font w:name="S2G love">
    <w:panose1 w:val="02000609000000000000"/>
    <w:charset w:val="80"/>
    <w:family w:val="auto"/>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15507"/>
    <w:rsid w:val="00032146"/>
    <w:rsid w:val="00041561"/>
    <w:rsid w:val="0004675E"/>
    <w:rsid w:val="00051F46"/>
    <w:rsid w:val="00071361"/>
    <w:rsid w:val="00074F17"/>
    <w:rsid w:val="000777B6"/>
    <w:rsid w:val="00092AC2"/>
    <w:rsid w:val="000A11E5"/>
    <w:rsid w:val="000B6691"/>
    <w:rsid w:val="000C00B1"/>
    <w:rsid w:val="000C3F31"/>
    <w:rsid w:val="000D38AA"/>
    <w:rsid w:val="000D3A55"/>
    <w:rsid w:val="000D7007"/>
    <w:rsid w:val="000E2263"/>
    <w:rsid w:val="000E4A0D"/>
    <w:rsid w:val="000E6F27"/>
    <w:rsid w:val="0010086E"/>
    <w:rsid w:val="001157F8"/>
    <w:rsid w:val="0011654E"/>
    <w:rsid w:val="001374DA"/>
    <w:rsid w:val="00146953"/>
    <w:rsid w:val="00151C6C"/>
    <w:rsid w:val="0017778F"/>
    <w:rsid w:val="00191499"/>
    <w:rsid w:val="001C00EC"/>
    <w:rsid w:val="001C5535"/>
    <w:rsid w:val="001D264D"/>
    <w:rsid w:val="001D4CC8"/>
    <w:rsid w:val="001E071B"/>
    <w:rsid w:val="001E25DE"/>
    <w:rsid w:val="001E492C"/>
    <w:rsid w:val="001F7A30"/>
    <w:rsid w:val="0020199E"/>
    <w:rsid w:val="002140CD"/>
    <w:rsid w:val="002227B0"/>
    <w:rsid w:val="00241D2D"/>
    <w:rsid w:val="00260DA9"/>
    <w:rsid w:val="00262D13"/>
    <w:rsid w:val="00267B8F"/>
    <w:rsid w:val="0027067E"/>
    <w:rsid w:val="002771D2"/>
    <w:rsid w:val="002B2733"/>
    <w:rsid w:val="002C04F7"/>
    <w:rsid w:val="002C7E27"/>
    <w:rsid w:val="002D2CA7"/>
    <w:rsid w:val="002D6A82"/>
    <w:rsid w:val="002E56FE"/>
    <w:rsid w:val="002F0034"/>
    <w:rsid w:val="002F3EFD"/>
    <w:rsid w:val="003148EB"/>
    <w:rsid w:val="00316A1B"/>
    <w:rsid w:val="00346E63"/>
    <w:rsid w:val="003476BB"/>
    <w:rsid w:val="00350902"/>
    <w:rsid w:val="00356A6D"/>
    <w:rsid w:val="00363227"/>
    <w:rsid w:val="00375DFE"/>
    <w:rsid w:val="00380854"/>
    <w:rsid w:val="003823AA"/>
    <w:rsid w:val="00382586"/>
    <w:rsid w:val="00397F12"/>
    <w:rsid w:val="003A53AC"/>
    <w:rsid w:val="003A5DD2"/>
    <w:rsid w:val="003A722A"/>
    <w:rsid w:val="003B6A60"/>
    <w:rsid w:val="003D687D"/>
    <w:rsid w:val="003F1EFD"/>
    <w:rsid w:val="003F5969"/>
    <w:rsid w:val="00401952"/>
    <w:rsid w:val="0040402F"/>
    <w:rsid w:val="00412C7F"/>
    <w:rsid w:val="00412E34"/>
    <w:rsid w:val="004151FC"/>
    <w:rsid w:val="004345D7"/>
    <w:rsid w:val="00443702"/>
    <w:rsid w:val="00467572"/>
    <w:rsid w:val="0047331D"/>
    <w:rsid w:val="00474D14"/>
    <w:rsid w:val="00486104"/>
    <w:rsid w:val="00490809"/>
    <w:rsid w:val="00496965"/>
    <w:rsid w:val="00497F78"/>
    <w:rsid w:val="004A28E0"/>
    <w:rsid w:val="004A3F48"/>
    <w:rsid w:val="004A5D3E"/>
    <w:rsid w:val="004A6B13"/>
    <w:rsid w:val="004B3CD2"/>
    <w:rsid w:val="004C3107"/>
    <w:rsid w:val="004C7201"/>
    <w:rsid w:val="004D1F2F"/>
    <w:rsid w:val="004E1F76"/>
    <w:rsid w:val="004F27C7"/>
    <w:rsid w:val="00516410"/>
    <w:rsid w:val="00532F76"/>
    <w:rsid w:val="00537BEE"/>
    <w:rsid w:val="00543158"/>
    <w:rsid w:val="00547B5F"/>
    <w:rsid w:val="00551DBB"/>
    <w:rsid w:val="0056487D"/>
    <w:rsid w:val="005A10DA"/>
    <w:rsid w:val="005C454E"/>
    <w:rsid w:val="005D4291"/>
    <w:rsid w:val="00600D29"/>
    <w:rsid w:val="00623DD3"/>
    <w:rsid w:val="00633680"/>
    <w:rsid w:val="00635404"/>
    <w:rsid w:val="00647715"/>
    <w:rsid w:val="006519C7"/>
    <w:rsid w:val="00655CA5"/>
    <w:rsid w:val="0066771E"/>
    <w:rsid w:val="00667A82"/>
    <w:rsid w:val="006A62C9"/>
    <w:rsid w:val="006C00F6"/>
    <w:rsid w:val="006E406D"/>
    <w:rsid w:val="006F0BDD"/>
    <w:rsid w:val="006F3295"/>
    <w:rsid w:val="007161C7"/>
    <w:rsid w:val="00721109"/>
    <w:rsid w:val="007260FF"/>
    <w:rsid w:val="00740877"/>
    <w:rsid w:val="00753E7B"/>
    <w:rsid w:val="00761E8E"/>
    <w:rsid w:val="00767320"/>
    <w:rsid w:val="00773439"/>
    <w:rsid w:val="007757FD"/>
    <w:rsid w:val="007A43E3"/>
    <w:rsid w:val="007C0374"/>
    <w:rsid w:val="007D4512"/>
    <w:rsid w:val="007D7FDF"/>
    <w:rsid w:val="007E1C5C"/>
    <w:rsid w:val="007E4654"/>
    <w:rsid w:val="007E5CBD"/>
    <w:rsid w:val="007E6691"/>
    <w:rsid w:val="007F19F1"/>
    <w:rsid w:val="007F3EEE"/>
    <w:rsid w:val="00803419"/>
    <w:rsid w:val="0081069C"/>
    <w:rsid w:val="008124A7"/>
    <w:rsid w:val="008201A7"/>
    <w:rsid w:val="00820D23"/>
    <w:rsid w:val="008231B3"/>
    <w:rsid w:val="00823A09"/>
    <w:rsid w:val="0085328A"/>
    <w:rsid w:val="00881ED5"/>
    <w:rsid w:val="008833D6"/>
    <w:rsid w:val="00883725"/>
    <w:rsid w:val="008A36E9"/>
    <w:rsid w:val="008A62A4"/>
    <w:rsid w:val="008B2D70"/>
    <w:rsid w:val="008D7545"/>
    <w:rsid w:val="008F1BE0"/>
    <w:rsid w:val="008F3AF6"/>
    <w:rsid w:val="008F7B0B"/>
    <w:rsid w:val="009035F2"/>
    <w:rsid w:val="009069DE"/>
    <w:rsid w:val="009116C3"/>
    <w:rsid w:val="00913910"/>
    <w:rsid w:val="00950E0C"/>
    <w:rsid w:val="009513EE"/>
    <w:rsid w:val="00962479"/>
    <w:rsid w:val="00965AD4"/>
    <w:rsid w:val="00995CC3"/>
    <w:rsid w:val="009A056D"/>
    <w:rsid w:val="009A2072"/>
    <w:rsid w:val="009A3698"/>
    <w:rsid w:val="009A607F"/>
    <w:rsid w:val="009A7BE6"/>
    <w:rsid w:val="009D0D9B"/>
    <w:rsid w:val="009D6E8A"/>
    <w:rsid w:val="009E5A9D"/>
    <w:rsid w:val="009F0B76"/>
    <w:rsid w:val="00A03058"/>
    <w:rsid w:val="00A2247D"/>
    <w:rsid w:val="00A2284B"/>
    <w:rsid w:val="00A254A3"/>
    <w:rsid w:val="00A50E95"/>
    <w:rsid w:val="00A52B14"/>
    <w:rsid w:val="00A70188"/>
    <w:rsid w:val="00A865EA"/>
    <w:rsid w:val="00A908F1"/>
    <w:rsid w:val="00A97E7F"/>
    <w:rsid w:val="00AC006C"/>
    <w:rsid w:val="00AC1DE3"/>
    <w:rsid w:val="00B007E0"/>
    <w:rsid w:val="00B02878"/>
    <w:rsid w:val="00B03C8B"/>
    <w:rsid w:val="00B205AE"/>
    <w:rsid w:val="00B32243"/>
    <w:rsid w:val="00B4253A"/>
    <w:rsid w:val="00B4489F"/>
    <w:rsid w:val="00BB23F4"/>
    <w:rsid w:val="00BB3FE4"/>
    <w:rsid w:val="00BB46E9"/>
    <w:rsid w:val="00BD57D6"/>
    <w:rsid w:val="00BD7BEA"/>
    <w:rsid w:val="00BE5AD4"/>
    <w:rsid w:val="00BE6B1A"/>
    <w:rsid w:val="00BF2518"/>
    <w:rsid w:val="00BF281D"/>
    <w:rsid w:val="00BF4AD7"/>
    <w:rsid w:val="00C02FC6"/>
    <w:rsid w:val="00C035AB"/>
    <w:rsid w:val="00C06D82"/>
    <w:rsid w:val="00C2613D"/>
    <w:rsid w:val="00C368E4"/>
    <w:rsid w:val="00C40F2C"/>
    <w:rsid w:val="00C429C3"/>
    <w:rsid w:val="00C84E90"/>
    <w:rsid w:val="00CB78BF"/>
    <w:rsid w:val="00CC0F5E"/>
    <w:rsid w:val="00CE4494"/>
    <w:rsid w:val="00D14140"/>
    <w:rsid w:val="00D1761D"/>
    <w:rsid w:val="00D32E18"/>
    <w:rsid w:val="00D436D8"/>
    <w:rsid w:val="00D47C2A"/>
    <w:rsid w:val="00D551EE"/>
    <w:rsid w:val="00D567C5"/>
    <w:rsid w:val="00D74603"/>
    <w:rsid w:val="00D77C2E"/>
    <w:rsid w:val="00D82C10"/>
    <w:rsid w:val="00D904FC"/>
    <w:rsid w:val="00D92911"/>
    <w:rsid w:val="00D96692"/>
    <w:rsid w:val="00DB27B6"/>
    <w:rsid w:val="00DB693B"/>
    <w:rsid w:val="00DC47A2"/>
    <w:rsid w:val="00DC6C49"/>
    <w:rsid w:val="00DD0D58"/>
    <w:rsid w:val="00DD6415"/>
    <w:rsid w:val="00DD7C63"/>
    <w:rsid w:val="00DE2F4E"/>
    <w:rsid w:val="00DE74BD"/>
    <w:rsid w:val="00E01619"/>
    <w:rsid w:val="00E03742"/>
    <w:rsid w:val="00E0403B"/>
    <w:rsid w:val="00E1172C"/>
    <w:rsid w:val="00E11CAF"/>
    <w:rsid w:val="00E26868"/>
    <w:rsid w:val="00E57D3C"/>
    <w:rsid w:val="00E866FF"/>
    <w:rsid w:val="00E91DA9"/>
    <w:rsid w:val="00E979F9"/>
    <w:rsid w:val="00EA4134"/>
    <w:rsid w:val="00EC28F0"/>
    <w:rsid w:val="00ED3034"/>
    <w:rsid w:val="00ED422B"/>
    <w:rsid w:val="00EF66F4"/>
    <w:rsid w:val="00F003F6"/>
    <w:rsid w:val="00F03884"/>
    <w:rsid w:val="00F2101F"/>
    <w:rsid w:val="00F30139"/>
    <w:rsid w:val="00F3217C"/>
    <w:rsid w:val="00F610DE"/>
    <w:rsid w:val="00F6191B"/>
    <w:rsid w:val="00F63CE9"/>
    <w:rsid w:val="00F67343"/>
    <w:rsid w:val="00F8198C"/>
    <w:rsid w:val="00F85A1E"/>
    <w:rsid w:val="00FA62A7"/>
    <w:rsid w:val="00FC4E46"/>
    <w:rsid w:val="00FD02C9"/>
    <w:rsid w:val="00FD3891"/>
    <w:rsid w:val="00FE49FE"/>
    <w:rsid w:val="00FE7C7E"/>
    <w:rsid w:val="00FF4FFA"/>
    <w:rsid w:val="029063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uiPriority="0"/>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2"/>
    <w:autoRedefine/>
    <w:semiHidden/>
    <w:unhideWhenUsed/>
    <w:rPr>
      <w:rFonts w:ascii="宋体" w:eastAsia="宋体" w:hAnsi="Courier New" w:cs="Courier New"/>
      <w:szCs w:val="21"/>
    </w:rPr>
  </w:style>
  <w:style w:type="paragraph" w:styleId="BalloonText">
    <w:name w:val="Balloon Text"/>
    <w:basedOn w:val="Normal"/>
    <w:link w:val="Char1"/>
    <w:autoRedefine/>
    <w:semiHidden/>
    <w:unhideWhenUsed/>
    <w:rPr>
      <w:sz w:val="18"/>
      <w:szCs w:val="18"/>
    </w:rPr>
  </w:style>
  <w:style w:type="paragraph" w:styleId="Footer">
    <w:name w:val="footer"/>
    <w:basedOn w:val="Normal"/>
    <w:link w:val="Char0"/>
    <w:autoRedefine/>
    <w:uiPriority w:val="99"/>
    <w:semiHidden/>
    <w:unhideWhenUsed/>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rPr>
      <w:sz w:val="18"/>
      <w:szCs w:val="18"/>
    </w:rPr>
  </w:style>
  <w:style w:type="paragraph" w:customStyle="1" w:styleId="Bodytext1">
    <w:name w:val="Body text|1"/>
    <w:basedOn w:val="Normal"/>
    <w:autoRedefine/>
    <w:qFormat/>
    <w:pPr>
      <w:spacing w:line="403" w:lineRule="auto"/>
      <w:ind w:firstLine="320"/>
      <w:jc w:val="left"/>
    </w:pPr>
    <w:rPr>
      <w:rFonts w:ascii="宋体" w:eastAsia="宋体" w:hAnsi="宋体" w:cs="宋体"/>
      <w:kern w:val="0"/>
      <w:sz w:val="20"/>
      <w:szCs w:val="20"/>
      <w:lang w:val="zh-TW" w:eastAsia="zh-TW" w:bidi="zh-TW"/>
    </w:rPr>
  </w:style>
  <w:style w:type="character" w:customStyle="1" w:styleId="Char2">
    <w:name w:val="纯文本 Char"/>
    <w:basedOn w:val="DefaultParagraphFont"/>
    <w:link w:val="PlainText"/>
    <w:autoRedefine/>
    <w:qFormat/>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yperlink" Target="https://d.book118.com/726021012211010103"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481425-76E2-4C92-A0A5-06DD87F805C6}">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1859</Words>
  <Characters>10601</Characters>
  <Application>Microsoft Office Word</Application>
  <DocSecurity>0</DocSecurity>
  <Lines>88</Lines>
  <Paragraphs>24</Paragraphs>
  <ScaleCrop>false</ScaleCrop>
  <Company/>
  <LinksUpToDate>false</LinksUpToDate>
  <CharactersWithSpaces>12436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5</cp:revision>
  <dcterms:created xsi:type="dcterms:W3CDTF">2022-06-30T07:40:00Z</dcterms:created>
  <dcterms:modified xsi:type="dcterms:W3CDTF">2024-03-13T08:30:07Z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6D5EC7EB5F244EAF9D14CE3A1F3DD80F_13</vt:lpwstr>
  </property>
  <property fmtid="{D5CDD505-2E9C-101B-9397-08002B2CF9AE}" pid="7" name="KSOProductBuildVer">
    <vt:lpwstr>2052-12.1.0.16364</vt:lpwstr>
  </property>
</Properties>
</file>