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652"/>
        </w:tabs>
      </w:pPr>
      <w:r>
        <w:t>目</w:t>
        <w:tab/>
        <w:t>录</w:t>
      </w:r>
    </w:p>
    <w:p>
      <w:pPr>
        <w:pStyle w:val="BodyText"/>
        <w:spacing w:before="5"/>
        <w:rPr>
          <w:rFonts w:ascii="黑体"/>
          <w:b/>
          <w:sz w:val="89"/>
        </w:rPr>
      </w:pPr>
    </w:p>
    <w:sdt>
      <w:sdtPr>
        <w:id w:val="180281457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088"/>
              <w:tab w:val="right" w:leader="dot" w:pos="14027"/>
            </w:tabs>
            <w:rPr>
              <w:b/>
            </w:rPr>
          </w:pPr>
          <w:hyperlink w:anchor="_TOC_250001" w:history="1">
            <w:r>
              <w:t>第一章</w:t>
              <w:tab/>
              <w:t>工程概况</w:t>
              <w:tab/>
            </w:r>
            <w:r>
              <w:rPr>
                <w:b/>
              </w:rPr>
              <w:t>2</w:t>
            </w:r>
          </w:hyperlink>
        </w:p>
        <w:p>
          <w:pPr>
            <w:pStyle w:val="TOC1"/>
            <w:tabs>
              <w:tab w:val="left" w:pos="2088"/>
              <w:tab w:val="right" w:leader="dot" w:pos="14023"/>
            </w:tabs>
            <w:spacing w:before="558"/>
            <w:rPr>
              <w:b/>
            </w:rPr>
          </w:pPr>
          <w:hyperlink w:anchor="_TOC_250000" w:history="1">
            <w:r>
              <w:t>第二章</w:t>
              <w:tab/>
              <w:t>基础施工工艺流程图</w:t>
              <w:tab/>
            </w:r>
            <w:r>
              <w:rPr>
                <w:b/>
              </w:rPr>
              <w:t>3</w:t>
            </w:r>
          </w:hyperlink>
        </w:p>
      </w:sdtContent>
    </w:sdt>
    <w:p>
      <w:pPr>
        <w:spacing w:after="0"/>
        <w:sectPr>
          <w:headerReference w:type="default" r:id="rId4"/>
          <w:footerReference w:type="default" r:id="rId5"/>
          <w:type w:val="continuous"/>
          <w:pgSz w:w="17860" w:h="25270"/>
          <w:pgMar w:top="1620" w:right="120" w:bottom="2040" w:left="1760" w:header="960" w:footer="1848"/>
          <w:cols w:space="708"/>
        </w:sectPr>
      </w:pPr>
    </w:p>
    <w:p>
      <w:pPr>
        <w:spacing w:before="557" w:line="472" w:lineRule="auto"/>
        <w:ind w:left="289" w:right="38" w:firstLine="0"/>
        <w:jc w:val="both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第三章第四章第五章第六章第七章第八章</w:t>
      </w:r>
    </w:p>
    <w:p>
      <w:pPr>
        <w:tabs>
          <w:tab w:val="right" w:leader="dot" w:pos="12227"/>
        </w:tabs>
        <w:spacing w:before="557"/>
        <w:ind w:left="289" w:right="0" w:firstLine="0"/>
        <w:jc w:val="left"/>
        <w:rPr>
          <w:rFonts w:ascii="黑体" w:eastAsia="黑体" w:hint="eastAsia"/>
          <w:b/>
          <w:sz w:val="45"/>
        </w:rPr>
      </w:pPr>
      <w:r>
        <w:br w:type="column"/>
      </w:r>
      <w:r>
        <w:rPr>
          <w:rFonts w:ascii="黑体" w:eastAsia="黑体" w:hint="eastAsia"/>
          <w:sz w:val="45"/>
        </w:rPr>
        <w:t>线路复测、分坑</w:t>
        <w:tab/>
      </w:r>
      <w:r>
        <w:rPr>
          <w:rFonts w:ascii="黑体" w:eastAsia="黑体" w:hint="eastAsia"/>
          <w:b/>
          <w:sz w:val="45"/>
        </w:rPr>
        <w:t>3</w:t>
      </w:r>
    </w:p>
    <w:p>
      <w:pPr>
        <w:tabs>
          <w:tab w:val="right" w:leader="dot" w:pos="12227"/>
        </w:tabs>
        <w:spacing w:before="558"/>
        <w:ind w:left="289" w:right="0" w:firstLine="0"/>
        <w:jc w:val="left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sz w:val="45"/>
        </w:rPr>
        <w:t>土石方工程</w:t>
        <w:tab/>
      </w:r>
      <w:r>
        <w:rPr>
          <w:rFonts w:ascii="黑体" w:eastAsia="黑体" w:hint="eastAsia"/>
          <w:b/>
          <w:sz w:val="45"/>
        </w:rPr>
        <w:t>5</w:t>
      </w:r>
    </w:p>
    <w:p>
      <w:pPr>
        <w:tabs>
          <w:tab w:val="right" w:leader="dot" w:pos="12227"/>
        </w:tabs>
        <w:spacing w:before="558"/>
        <w:ind w:left="289" w:right="0" w:firstLine="0"/>
        <w:jc w:val="left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sz w:val="45"/>
        </w:rPr>
        <w:t>基础浇制</w:t>
        <w:tab/>
      </w:r>
      <w:r>
        <w:rPr>
          <w:rFonts w:ascii="黑体" w:eastAsia="黑体" w:hint="eastAsia"/>
          <w:b/>
          <w:sz w:val="45"/>
        </w:rPr>
        <w:t>7</w:t>
      </w:r>
    </w:p>
    <w:p>
      <w:pPr>
        <w:tabs>
          <w:tab w:val="right" w:leader="dot" w:pos="12448"/>
        </w:tabs>
        <w:spacing w:before="557"/>
        <w:ind w:left="289" w:right="0" w:firstLine="0"/>
        <w:jc w:val="left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sz w:val="45"/>
        </w:rPr>
        <w:t>质量要求及检查方法</w:t>
        <w:tab/>
      </w:r>
      <w:r>
        <w:rPr>
          <w:rFonts w:ascii="黑体" w:eastAsia="黑体" w:hint="eastAsia"/>
          <w:b/>
          <w:sz w:val="45"/>
        </w:rPr>
        <w:t>14</w:t>
      </w:r>
    </w:p>
    <w:p>
      <w:pPr>
        <w:tabs>
          <w:tab w:val="right" w:leader="dot" w:pos="12452"/>
        </w:tabs>
        <w:spacing w:before="558"/>
        <w:ind w:left="289" w:right="0" w:firstLine="0"/>
        <w:jc w:val="left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sz w:val="45"/>
        </w:rPr>
        <w:t>安全施工措施</w:t>
        <w:tab/>
      </w:r>
      <w:r>
        <w:rPr>
          <w:rFonts w:ascii="黑体" w:eastAsia="黑体" w:hint="eastAsia"/>
          <w:b/>
          <w:sz w:val="45"/>
        </w:rPr>
        <w:t>19</w:t>
      </w:r>
    </w:p>
    <w:p>
      <w:pPr>
        <w:tabs>
          <w:tab w:val="right" w:leader="dot" w:pos="12448"/>
        </w:tabs>
        <w:spacing w:before="557"/>
        <w:ind w:left="289" w:right="0" w:firstLine="0"/>
        <w:jc w:val="left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sz w:val="45"/>
        </w:rPr>
        <w:t>基础保护、文明施工与环境保护措施</w:t>
        <w:tab/>
      </w:r>
      <w:r>
        <w:rPr>
          <w:rFonts w:ascii="黑体" w:eastAsia="黑体" w:hint="eastAsia"/>
          <w:b/>
          <w:sz w:val="45"/>
        </w:rPr>
        <w:t>23</w:t>
      </w:r>
    </w:p>
    <w:p>
      <w:pPr>
        <w:spacing w:after="0"/>
        <w:jc w:val="left"/>
        <w:rPr>
          <w:rFonts w:ascii="黑体" w:eastAsia="黑体" w:hint="eastAsia"/>
          <w:sz w:val="45"/>
        </w:rPr>
        <w:sectPr>
          <w:headerReference w:type="default" r:id="rId6"/>
          <w:footerReference w:type="default" r:id="rId7"/>
          <w:type w:val="continuous"/>
          <w:pgSz w:w="17860" w:h="25270"/>
          <w:pgMar w:top="1620" w:right="120" w:bottom="2040" w:left="1760" w:header="708" w:footer="708"/>
          <w:pgNumType w:start="2"/>
          <w:cols w:num="2" w:space="708" w:equalWidth="0">
            <w:col w:w="1680" w:space="120"/>
            <w:col w:w="14180" w:space="0"/>
          </w:cols>
        </w:sectPr>
      </w:pPr>
    </w:p>
    <w:p>
      <w:pPr>
        <w:pStyle w:val="BodyText"/>
        <w:rPr>
          <w:rFonts w:ascii="黑体"/>
          <w:b/>
          <w:sz w:val="44"/>
        </w:rPr>
      </w:pPr>
    </w:p>
    <w:p>
      <w:pPr>
        <w:pStyle w:val="BodyText"/>
        <w:rPr>
          <w:rFonts w:ascii="黑体"/>
          <w:b/>
          <w:sz w:val="44"/>
        </w:rPr>
      </w:pPr>
    </w:p>
    <w:p>
      <w:pPr>
        <w:pStyle w:val="BodyText"/>
        <w:spacing w:before="7"/>
        <w:rPr>
          <w:rFonts w:ascii="黑体"/>
          <w:b/>
          <w:sz w:val="63"/>
        </w:rPr>
      </w:pPr>
    </w:p>
    <w:p>
      <w:pPr>
        <w:spacing w:before="0"/>
        <w:ind w:left="289" w:right="0" w:firstLine="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附件 1：基础工程明细表</w:t>
      </w:r>
    </w:p>
    <w:p>
      <w:pPr>
        <w:spacing w:after="0"/>
        <w:jc w:val="left"/>
        <w:rPr>
          <w:rFonts w:ascii="黑体" w:eastAsia="黑体" w:hint="eastAsia"/>
          <w:sz w:val="45"/>
        </w:rPr>
        <w:sectPr>
          <w:headerReference w:type="default" r:id="rId8"/>
          <w:footerReference w:type="default" r:id="rId9"/>
          <w:type w:val="continuous"/>
          <w:pgSz w:w="17860" w:h="25270"/>
          <w:pgMar w:top="1620" w:right="120" w:bottom="2040" w:left="1760" w:header="708" w:footer="708"/>
          <w:pgNumType w:start="3"/>
          <w:cols w:space="708"/>
        </w:sectPr>
      </w:pPr>
    </w:p>
    <w:p>
      <w:pPr>
        <w:pStyle w:val="BodyText"/>
        <w:spacing w:before="2"/>
        <w:rPr>
          <w:rFonts w:ascii="黑体"/>
          <w:sz w:val="15"/>
        </w:rPr>
      </w:pPr>
    </w:p>
    <w:p>
      <w:pPr>
        <w:pStyle w:val="Heading1"/>
        <w:tabs>
          <w:tab w:val="left" w:pos="6816"/>
        </w:tabs>
        <w:ind w:left="4652"/>
      </w:pPr>
      <w:bookmarkStart w:id="0" w:name="_TOC_250001"/>
      <w:r>
        <w:t>第一章</w:t>
        <w:tab/>
        <w:t>工 程 概</w:t>
      </w:r>
      <w:r>
        <w:rPr>
          <w:spacing w:val="-9"/>
        </w:rPr>
        <w:t xml:space="preserve"> </w:t>
      </w:r>
      <w:bookmarkEnd w:id="0"/>
      <w:r>
        <w:t>况</w:t>
      </w:r>
    </w:p>
    <w:p>
      <w:pPr>
        <w:pStyle w:val="BodyText"/>
        <w:spacing w:before="383"/>
        <w:ind w:left="289"/>
      </w:pPr>
      <w:r>
        <w:t>1、工程简况</w:t>
      </w:r>
    </w:p>
    <w:p>
      <w:pPr>
        <w:pStyle w:val="BodyText"/>
        <w:tabs>
          <w:tab w:val="left" w:pos="7464"/>
        </w:tabs>
        <w:spacing w:before="276" w:line="362" w:lineRule="auto"/>
        <w:ind w:left="289" w:right="1802" w:firstLine="83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7696200</wp:posOffset>
            </wp:positionH>
            <wp:positionV relativeFrom="paragraph">
              <wp:posOffset>1601978</wp:posOffset>
            </wp:positionV>
            <wp:extent cx="292100" cy="546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清江至葛山、白沙</w:t>
      </w:r>
      <w:r>
        <w:rPr>
          <w:spacing w:val="-92"/>
        </w:rPr>
        <w:t xml:space="preserve"> </w:t>
      </w:r>
      <w:r>
        <w:t>220kV</w:t>
      </w:r>
      <w:r>
        <w:rPr>
          <w:spacing w:val="-94"/>
        </w:rPr>
        <w:t xml:space="preserve"> </w:t>
      </w:r>
      <w:r>
        <w:t>双回线路破口进新干变工程，将现有的白沙</w:t>
      </w:r>
      <w:r>
        <w:rPr>
          <w:spacing w:val="-17"/>
        </w:rPr>
        <w:t>至</w:t>
      </w:r>
      <w:r>
        <w:t>清江</w:t>
      </w:r>
      <w:r>
        <w:rPr>
          <w:spacing w:val="-73"/>
        </w:rPr>
        <w:t>、</w:t>
      </w:r>
      <w:r>
        <w:t>葛山至清江</w:t>
      </w:r>
      <w:r>
        <w:rPr>
          <w:spacing w:val="-93"/>
        </w:rPr>
        <w:t xml:space="preserve"> </w:t>
      </w:r>
      <w:r>
        <w:t>220kV</w:t>
      </w:r>
      <w:r>
        <w:rPr>
          <w:spacing w:val="-88"/>
        </w:rPr>
        <w:t xml:space="preserve"> </w:t>
      </w:r>
      <w:r>
        <w:t>送电线路分别破口至新干</w:t>
      </w:r>
      <w:r>
        <w:rPr>
          <w:spacing w:val="-84"/>
        </w:rPr>
        <w:t>变</w:t>
      </w:r>
      <w:r>
        <w:t>（熊家曹站址</w:t>
      </w:r>
      <w:r>
        <w:rPr>
          <w:spacing w:val="-220"/>
        </w:rPr>
        <w:t>）</w:t>
      </w:r>
      <w:r>
        <w:rPr>
          <w:spacing w:val="-69"/>
        </w:rPr>
        <w:t>。</w:t>
      </w:r>
      <w:r>
        <w:t>线路长度：葛山、白沙侧至新干变破口段长</w:t>
        <w:tab/>
        <w:t>2.214km，清江侧至新干变破口段长2.453km，全线双回路、单回路塔设计。新建铁塔</w:t>
      </w:r>
      <w:r>
        <w:rPr>
          <w:spacing w:val="-119"/>
        </w:rPr>
        <w:t xml:space="preserve"> </w:t>
      </w:r>
      <w:r>
        <w:t>17</w:t>
      </w:r>
      <w:r>
        <w:rPr>
          <w:spacing w:val="-108"/>
        </w:rPr>
        <w:t xml:space="preserve"> </w:t>
      </w:r>
      <w:r>
        <w:t>基。</w:t>
      </w:r>
    </w:p>
    <w:p>
      <w:pPr>
        <w:pStyle w:val="BodyText"/>
        <w:spacing w:before="15"/>
        <w:ind w:left="289"/>
      </w:pPr>
      <w:r>
        <w:t>2、交通运输条件</w:t>
      </w:r>
    </w:p>
    <w:p>
      <w:pPr>
        <w:pStyle w:val="BodyText"/>
        <w:spacing w:before="301" w:line="376" w:lineRule="auto"/>
        <w:ind w:left="289" w:right="1806" w:firstLine="856"/>
      </w:pPr>
      <w:r>
        <w:t>本线路所经地区为新干县境内, 线路交通条件良好。但雨水季节载重汽车难行驶，运输有一定的难度。</w:t>
      </w:r>
    </w:p>
    <w:p>
      <w:pPr>
        <w:pStyle w:val="BodyText"/>
        <w:spacing w:line="374" w:lineRule="auto"/>
        <w:ind w:left="289" w:right="1583" w:firstLine="838"/>
      </w:pPr>
      <w:r>
        <w:t>3、地形地貌情况：沿线地质条件良好，地貌以丘陵、河网泥沼为主，海拔标高在 30-100 米之间。</w:t>
      </w:r>
    </w:p>
    <w:p>
      <w:pPr>
        <w:pStyle w:val="BodyText"/>
        <w:ind w:left="289"/>
      </w:pPr>
      <w:r>
        <w:t>4、基础型式及工程量</w:t>
      </w:r>
    </w:p>
    <w:p>
      <w:pPr>
        <w:pStyle w:val="BodyText"/>
        <w:spacing w:before="295"/>
        <w:ind w:left="1128"/>
      </w:pPr>
      <w:r>
        <w:t>基础采用现浇钢筋混凝土斜柱柔性基础和斜柱半掏挖基础。基础砼量</w:t>
      </w:r>
    </w:p>
    <w:p>
      <w:pPr>
        <w:pStyle w:val="BodyText"/>
        <w:spacing w:before="301" w:line="376" w:lineRule="auto"/>
        <w:ind w:left="289" w:right="3396"/>
      </w:pPr>
      <w:r>
        <w:t xml:space="preserve">802.27 </w:t>
      </w:r>
      <w:r>
        <w:rPr>
          <w:spacing w:val="-16"/>
        </w:rPr>
        <w:t>m</w:t>
      </w:r>
      <w:r>
        <w:rPr>
          <w:spacing w:val="-16"/>
          <w:position w:val="3"/>
          <w:sz w:val="29"/>
        </w:rPr>
        <w:t>3</w:t>
      </w:r>
      <w:r>
        <w:rPr>
          <w:spacing w:val="-30"/>
        </w:rPr>
        <w:t xml:space="preserve">，采用 </w:t>
      </w:r>
      <w:r>
        <w:t>C20</w:t>
      </w:r>
      <w:r>
        <w:rPr>
          <w:spacing w:val="-4"/>
        </w:rPr>
        <w:t xml:space="preserve"> 混凝土，其中斜柱柔性基础需用</w:t>
      </w:r>
      <w:r>
        <w:t>C10</w:t>
      </w:r>
      <w:r>
        <w:rPr>
          <w:spacing w:val="-25"/>
        </w:rPr>
        <w:t xml:space="preserve"> 打垫层。</w:t>
      </w:r>
      <w:r>
        <w:t>5、杆塔基础编号规定</w:t>
      </w:r>
    </w:p>
    <w:p>
      <w:pPr>
        <w:pStyle w:val="BodyText"/>
        <w:spacing w:line="374" w:lineRule="auto"/>
        <w:ind w:left="289" w:right="1792" w:firstLine="838"/>
      </w:pPr>
      <w:r>
        <w:t>线路方向由小号侧（新干变）至大号侧（破口侧）方向，基础编号如下图所示</w:t>
      </w:r>
    </w:p>
    <w:p>
      <w:pPr>
        <w:pStyle w:val="BodyText"/>
        <w:spacing w:before="4"/>
        <w:rPr>
          <w:sz w:val="21"/>
        </w:rPr>
      </w:pPr>
      <w:r>
        <w:pict>
          <v:group id="_x0000_s1025" style="width:289pt;height:331pt;margin-top:15.64pt;margin-left:157pt;mso-position-horizontal-relative:page;mso-wrap-distance-left:0;mso-wrap-distance-right:0;position:absolute;z-index:-251657216" coordorigin="3140,313" coordsize="5780,66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780;height:6620;left:3140;position:absolute;top:312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232;height:317;left:5069;position:absolute;top:5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31"/>
                      </w:rPr>
                    </w:pPr>
                    <w:r>
                      <w:rPr>
                        <w:rFonts w:ascii="仿宋" w:eastAsia="仿宋" w:hint="eastAsia"/>
                        <w:sz w:val="31"/>
                      </w:rPr>
                      <w:t>大号侧(破口侧)</w:t>
                    </w:r>
                  </w:p>
                </w:txbxContent>
              </v:textbox>
            </v:shape>
            <v:shape id="_x0000_s1028" type="#_x0000_t202" style="width:232;height:337;left:3366;position:absolute;top:182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29" type="#_x0000_t202" style="width:232;height:337;left:8418;position:absolute;top:182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30" type="#_x0000_t202" style="width:1517;height:317;left:5443;position:absolute;top:32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57"/>
                        <w:sz w:val="31"/>
                      </w:rPr>
                      <w:t>塔位中心</w:t>
                    </w:r>
                  </w:p>
                </w:txbxContent>
              </v:textbox>
            </v:shape>
            <v:shape id="_x0000_s1031" type="#_x0000_t202" style="width:249;height:337;left:3525;position:absolute;top:513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32" type="#_x0000_t202" style="width:249;height:337;left:8418;position:absolute;top:513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33" type="#_x0000_t202" style="width:1604;height:317;left:5231;position:absolute;top:64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直线塔基础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282pt;height:316pt;margin-top:19.64pt;margin-left:453pt;mso-position-horizontal-relative:page;mso-wrap-distance-left:0;mso-wrap-distance-right:0;position:absolute;z-index:-251656192" coordorigin="9060,393" coordsize="5640,6320">
            <v:shape id="_x0000_s1035" type="#_x0000_t75" style="width:5640;height:6320;left:9060;position:absolute;top:392" stroked="f">
              <v:imagedata r:id="rId12" o:title=""/>
            </v:shape>
            <v:shape id="_x0000_s1036" type="#_x0000_t202" style="width:2231;height:317;left:10049;position:absolute;top: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31"/>
                      </w:rPr>
                    </w:pPr>
                    <w:r>
                      <w:rPr>
                        <w:rFonts w:ascii="仿宋" w:eastAsia="仿宋" w:hint="eastAsia"/>
                        <w:sz w:val="31"/>
                      </w:rPr>
                      <w:t>大号侧(破口侧)</w:t>
                    </w:r>
                  </w:p>
                </w:txbxContent>
              </v:textbox>
            </v:shape>
            <v:shape id="_x0000_s1037" type="#_x0000_t202" style="width:232;height:337;left:9296;position:absolute;top:182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38" type="#_x0000_t202" style="width:232;height:337;left:14190;position:absolute;top:182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39" type="#_x0000_t202" style="width:1517;height:317;left:11216;position:absolute;top:32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塔位中 心</w:t>
                    </w:r>
                  </w:p>
                </w:txbxContent>
              </v:textbox>
            </v:shape>
            <v:shape id="_x0000_s1040" type="#_x0000_t202" style="width:249;height:337;left:9296;position:absolute;top:513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41" type="#_x0000_t202" style="width:249;height:337;left:14190;position:absolute;top:513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42" type="#_x0000_t202" style="width:1604;height:317;left:11295;position:absolute;top:62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耐张塔基础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6766"/>
          <w:tab w:val="left" w:pos="9016"/>
        </w:tabs>
        <w:spacing w:before="3"/>
        <w:ind w:left="3017" w:right="0" w:firstLine="0"/>
        <w:jc w:val="left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>小号</w:t>
      </w:r>
      <w:r>
        <w:rPr>
          <w:rFonts w:ascii="宋体" w:eastAsia="宋体" w:hint="eastAsia"/>
          <w:spacing w:val="-3"/>
          <w:sz w:val="31"/>
        </w:rPr>
        <w:t>侧</w:t>
      </w:r>
      <w:r>
        <w:rPr>
          <w:rFonts w:ascii="Arial" w:eastAsia="Arial"/>
          <w:sz w:val="31"/>
        </w:rPr>
        <w:t>(</w:t>
      </w:r>
      <w:r>
        <w:rPr>
          <w:rFonts w:ascii="宋体" w:eastAsia="宋体" w:hint="eastAsia"/>
          <w:sz w:val="31"/>
        </w:rPr>
        <w:t>新干变</w:t>
      </w:r>
      <w:r>
        <w:rPr>
          <w:rFonts w:ascii="宋体" w:eastAsia="宋体" w:hint="eastAsia"/>
          <w:spacing w:val="-8"/>
          <w:sz w:val="31"/>
        </w:rPr>
        <w:t>侧</w:t>
      </w:r>
      <w:r>
        <w:rPr>
          <w:rFonts w:ascii="Arial" w:eastAsia="Arial"/>
          <w:sz w:val="31"/>
        </w:rPr>
        <w:t>)</w:t>
        <w:tab/>
      </w:r>
      <w:r>
        <w:rPr>
          <w:rFonts w:ascii="宋体" w:eastAsia="宋体" w:hint="eastAsia"/>
          <w:position w:val="2"/>
          <w:sz w:val="36"/>
        </w:rPr>
        <w:t>第</w:t>
      </w:r>
      <w:r>
        <w:rPr>
          <w:rFonts w:ascii="宋体" w:eastAsia="宋体" w:hint="eastAsia"/>
          <w:spacing w:val="-7"/>
          <w:position w:val="2"/>
          <w:sz w:val="36"/>
        </w:rPr>
        <w:t xml:space="preserve"> </w:t>
      </w:r>
      <w:r>
        <w:rPr>
          <w:rFonts w:ascii="Arial" w:eastAsia="Arial"/>
          <w:position w:val="2"/>
          <w:sz w:val="36"/>
        </w:rPr>
        <w:t>2</w:t>
      </w:r>
      <w:r>
        <w:rPr>
          <w:rFonts w:ascii="Arial" w:eastAsia="Arial"/>
          <w:spacing w:val="31"/>
          <w:position w:val="2"/>
          <w:sz w:val="36"/>
        </w:rPr>
        <w:t xml:space="preserve"> </w:t>
      </w:r>
      <w:r>
        <w:rPr>
          <w:rFonts w:ascii="宋体" w:eastAsia="宋体" w:hint="eastAsia"/>
          <w:position w:val="2"/>
          <w:sz w:val="36"/>
        </w:rPr>
        <w:t>页</w:t>
        <w:tab/>
      </w:r>
      <w:r>
        <w:rPr>
          <w:rFonts w:ascii="宋体" w:eastAsia="宋体" w:hint="eastAsia"/>
          <w:sz w:val="31"/>
        </w:rPr>
        <w:t>小号侧</w:t>
      </w:r>
      <w:r>
        <w:rPr>
          <w:rFonts w:ascii="Arial" w:eastAsia="Arial"/>
          <w:spacing w:val="-5"/>
          <w:sz w:val="31"/>
        </w:rPr>
        <w:t>(</w:t>
      </w:r>
      <w:r>
        <w:rPr>
          <w:rFonts w:ascii="宋体" w:eastAsia="宋体" w:hint="eastAsia"/>
          <w:sz w:val="31"/>
        </w:rPr>
        <w:t>新干变</w:t>
      </w:r>
      <w:r>
        <w:rPr>
          <w:rFonts w:ascii="宋体" w:eastAsia="宋体" w:hint="eastAsia"/>
          <w:spacing w:val="-4"/>
          <w:sz w:val="31"/>
        </w:rPr>
        <w:t>侧</w:t>
      </w:r>
      <w:r>
        <w:rPr>
          <w:rFonts w:ascii="Arial" w:eastAsia="Arial"/>
          <w:sz w:val="31"/>
        </w:rPr>
        <w:t>)</w:t>
      </w:r>
    </w:p>
    <w:p>
      <w:pPr>
        <w:spacing w:after="0"/>
        <w:jc w:val="left"/>
        <w:rPr>
          <w:rFonts w:ascii="Arial" w:eastAsia="Arial"/>
          <w:sz w:val="31"/>
        </w:rPr>
        <w:sectPr>
          <w:headerReference w:type="default" r:id="rId13"/>
          <w:footerReference w:type="default" r:id="rId14"/>
          <w:pgSz w:w="17860" w:h="25270"/>
          <w:pgMar w:top="1620" w:right="120" w:bottom="280" w:left="1760" w:header="960" w:footer="0"/>
          <w:pgNumType w:start="4"/>
          <w:cols w:space="708"/>
        </w:sectPr>
      </w:pPr>
    </w:p>
    <w:p>
      <w:pPr>
        <w:pStyle w:val="BodyText"/>
        <w:spacing w:before="10"/>
        <w:rPr>
          <w:rFonts w:ascii="Arial"/>
          <w:sz w:val="11"/>
        </w:rPr>
      </w:pPr>
    </w:p>
    <w:p>
      <w:pPr>
        <w:pStyle w:val="Heading1"/>
        <w:ind w:left="3838"/>
      </w:pPr>
      <w:bookmarkStart w:id="1" w:name="_TOC_250000"/>
      <w:bookmarkEnd w:id="1"/>
      <w:r>
        <w:t>第二章 基础施工工艺流程图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1"/>
        <w:rPr>
          <w:rFonts w:ascii="黑体"/>
          <w:b/>
          <w:sz w:val="26"/>
        </w:rPr>
      </w:pPr>
      <w:r>
        <w:pict>
          <v:group id="_x0000_s1043" style="width:636pt;height:278pt;margin-top:19.2pt;margin-left:145pt;mso-position-horizontal-relative:page;mso-wrap-distance-left:0;mso-wrap-distance-right:0;position:absolute;z-index:-251655168" coordorigin="2900,384" coordsize="12720,5560">
            <v:shape id="_x0000_s1044" type="#_x0000_t75" style="width:12720;height:5560;left:2900;position:absolute;top:384" stroked="f">
              <v:imagedata r:id="rId15" o:title=""/>
            </v:shape>
            <v:shape id="_x0000_s1045" type="#_x0000_t202" style="width:1820;height:450;left:3370;position:absolute;top:43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线路复测</w:t>
                    </w:r>
                  </w:p>
                </w:txbxContent>
              </v:textbox>
            </v:shape>
            <v:shape id="_x0000_s1046" type="#_x0000_t202" style="width:1144;height:450;left:6989;position:absolute;top:43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分 坑</w:t>
                    </w:r>
                  </w:p>
                </w:txbxContent>
              </v:textbox>
            </v:shape>
            <v:shape id="_x0000_s1047" type="#_x0000_t202" style="width:1817;height:450;left:9707;position:absolute;top:43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土 石 方</w:t>
                    </w:r>
                  </w:p>
                </w:txbxContent>
              </v:textbox>
            </v:shape>
            <v:shape id="_x0000_s1048" type="#_x0000_t202" style="width:1820;height:450;left:13106;position:absolute;top:43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工地运输</w:t>
                    </w:r>
                  </w:p>
                </w:txbxContent>
              </v:textbox>
            </v:shape>
            <v:shape id="_x0000_s1049" type="#_x0000_t202" style="width:3170;height:450;left:3262;position:absolute;top:272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绑扎钢筋及制模</w:t>
                    </w:r>
                  </w:p>
                </w:txbxContent>
              </v:textbox>
            </v:shape>
            <v:shape id="_x0000_s1050" type="#_x0000_t202" style="width:2270;height:450;left:8810;position:absolute;top:272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混凝土浇制</w:t>
                    </w:r>
                  </w:p>
                </w:txbxContent>
              </v:textbox>
            </v:shape>
            <v:shape id="_x0000_s1051" type="#_x0000_t202" style="width:470;height:450;left:13564;position:absolute;top:272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养</w:t>
                    </w:r>
                  </w:p>
                </w:txbxContent>
              </v:textbox>
            </v:shape>
            <v:shape id="_x0000_s1052" type="#_x0000_t202" style="width:470;height:450;left:14687;position:absolute;top:272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护</w:t>
                    </w:r>
                  </w:p>
                </w:txbxContent>
              </v:textbox>
            </v:shape>
            <v:shape id="_x0000_s1053" type="#_x0000_t202" style="width:1144;height:450;left:3255;position:absolute;top:511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拆 模</w:t>
                    </w:r>
                  </w:p>
                </w:txbxContent>
              </v:textbox>
            </v:shape>
            <v:shape id="_x0000_s1054" type="#_x0000_t202" style="width:2270;height:450;left:5858;position:absolute;top:511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接地体敷设</w:t>
                    </w:r>
                  </w:p>
                </w:txbxContent>
              </v:textbox>
            </v:shape>
            <v:shape id="_x0000_s1055" type="#_x0000_t202" style="width:1817;height:450;left:10053;position:absolute;top:511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回 填 土</w:t>
                    </w:r>
                  </w:p>
                </w:txbxContent>
              </v:textbox>
            </v:shape>
            <v:shape id="_x0000_s1056" type="#_x0000_t202" style="width:442;height:422;left:13787;position:absolute;top:51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清</w:t>
                    </w:r>
                  </w:p>
                </w:txbxContent>
              </v:textbox>
            </v:shape>
            <v:shape id="_x0000_s1057" type="#_x0000_t202" style="width:442;height:422;left:14626;position:absolute;top:51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7"/>
        <w:rPr>
          <w:rFonts w:ascii="黑体"/>
          <w:b/>
          <w:sz w:val="28"/>
        </w:rPr>
      </w:pPr>
    </w:p>
    <w:p>
      <w:pPr>
        <w:spacing w:before="24"/>
        <w:ind w:left="0" w:right="666" w:firstLine="0"/>
        <w:jc w:val="center"/>
        <w:rPr>
          <w:rFonts w:ascii="黑体" w:eastAsia="黑体" w:hint="eastAsia"/>
          <w:b/>
          <w:sz w:val="54"/>
        </w:rPr>
      </w:pPr>
      <w:r>
        <w:rPr>
          <w:rFonts w:ascii="黑体" w:eastAsia="黑体" w:hint="eastAsia"/>
          <w:b/>
          <w:sz w:val="54"/>
        </w:rPr>
        <w:t>第三章 线路复测、分坑</w:t>
      </w:r>
    </w:p>
    <w:p>
      <w:pPr>
        <w:pStyle w:val="BodyText"/>
        <w:spacing w:before="5"/>
        <w:rPr>
          <w:rFonts w:ascii="黑体"/>
          <w:b/>
          <w:sz w:val="63"/>
        </w:rPr>
      </w:pPr>
    </w:p>
    <w:p>
      <w:pPr>
        <w:pStyle w:val="BodyText"/>
        <w:ind w:left="289"/>
      </w:pPr>
      <w:r>
        <w:t>1、线路复测</w:t>
      </w:r>
    </w:p>
    <w:p>
      <w:pPr>
        <w:pStyle w:val="ListParagraph"/>
        <w:numPr>
          <w:ilvl w:val="1"/>
          <w:numId w:val="23"/>
        </w:numPr>
        <w:tabs>
          <w:tab w:val="left" w:pos="1863"/>
        </w:tabs>
        <w:spacing w:before="272" w:after="0" w:line="362" w:lineRule="auto"/>
        <w:ind w:left="289" w:right="1479" w:firstLine="838"/>
        <w:jc w:val="left"/>
        <w:rPr>
          <w:b/>
          <w:sz w:val="42"/>
        </w:rPr>
      </w:pPr>
      <w:r>
        <w:rPr>
          <w:spacing w:val="-1"/>
          <w:sz w:val="42"/>
        </w:rPr>
        <w:t xml:space="preserve">对所使用的经纬仪、钢卷尺、标尺等测量工具，须在有效使用期内， </w:t>
      </w:r>
      <w:r>
        <w:rPr>
          <w:spacing w:val="-2"/>
          <w:sz w:val="42"/>
        </w:rPr>
        <w:t>并且必须进行校正，符合精度要求方可使用，</w:t>
      </w:r>
      <w:r>
        <w:rPr>
          <w:b/>
          <w:spacing w:val="-10"/>
          <w:sz w:val="42"/>
        </w:rPr>
        <w:t xml:space="preserve">经纬仪最小读数不大于 </w:t>
      </w:r>
      <w:r>
        <w:rPr>
          <w:b/>
          <w:sz w:val="42"/>
        </w:rPr>
        <w:t>1′。</w:t>
      </w:r>
    </w:p>
    <w:p>
      <w:pPr>
        <w:pStyle w:val="ListParagraph"/>
        <w:numPr>
          <w:ilvl w:val="1"/>
          <w:numId w:val="23"/>
        </w:numPr>
        <w:tabs>
          <w:tab w:val="left" w:pos="1967"/>
        </w:tabs>
        <w:spacing w:before="0" w:after="0" w:line="362" w:lineRule="auto"/>
        <w:ind w:left="289" w:right="1780" w:firstLine="838"/>
        <w:jc w:val="both"/>
        <w:rPr>
          <w:sz w:val="42"/>
        </w:rPr>
      </w:pPr>
      <w:r>
        <w:rPr>
          <w:sz w:val="42"/>
        </w:rPr>
        <w:t>依据设计平断面图及杆塔明细表，核对现场桩位是否与设计图纸提</w:t>
      </w:r>
      <w:r>
        <w:rPr>
          <w:spacing w:val="-9"/>
          <w:w w:val="100"/>
          <w:sz w:val="42"/>
        </w:rPr>
        <w:t>供的数椐相符</w:t>
      </w:r>
      <w:r>
        <w:rPr>
          <w:w w:val="100"/>
          <w:sz w:val="42"/>
        </w:rPr>
        <w:t>（档距、高差、转角、跨越等</w:t>
      </w:r>
      <w:r>
        <w:rPr>
          <w:spacing w:val="-369"/>
          <w:w w:val="100"/>
          <w:sz w:val="42"/>
        </w:rPr>
        <w:t>）</w:t>
      </w:r>
      <w:r>
        <w:rPr>
          <w:spacing w:val="-2"/>
          <w:w w:val="100"/>
          <w:sz w:val="42"/>
        </w:rPr>
        <w:t>，复测主要内容和允许误差见第</w:t>
      </w:r>
      <w:r>
        <w:rPr>
          <w:w w:val="100"/>
          <w:sz w:val="42"/>
        </w:rPr>
        <w:t>六章线路复测质量要求及检查方法（表</w:t>
      </w:r>
      <w:r>
        <w:rPr>
          <w:spacing w:val="-127"/>
          <w:sz w:val="42"/>
        </w:rPr>
        <w:t xml:space="preserve"> </w:t>
      </w:r>
      <w:r>
        <w:rPr>
          <w:spacing w:val="-1"/>
          <w:w w:val="100"/>
          <w:sz w:val="42"/>
        </w:rPr>
        <w:t>1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ListParagraph"/>
        <w:numPr>
          <w:ilvl w:val="1"/>
          <w:numId w:val="23"/>
        </w:numPr>
        <w:tabs>
          <w:tab w:val="left" w:pos="1899"/>
        </w:tabs>
        <w:spacing w:before="0" w:after="0" w:line="362" w:lineRule="auto"/>
        <w:ind w:left="289" w:right="1812" w:firstLine="838"/>
        <w:jc w:val="both"/>
        <w:rPr>
          <w:sz w:val="42"/>
        </w:rPr>
      </w:pPr>
      <w:r>
        <w:rPr>
          <w:spacing w:val="-5"/>
          <w:sz w:val="42"/>
        </w:rPr>
        <w:t xml:space="preserve">各施工段复测时应向相邻段延伸 </w:t>
      </w:r>
      <w:r>
        <w:rPr>
          <w:sz w:val="42"/>
        </w:rPr>
        <w:t>2-3</w:t>
      </w:r>
      <w:r>
        <w:rPr>
          <w:spacing w:val="-9"/>
          <w:sz w:val="42"/>
        </w:rPr>
        <w:t xml:space="preserve"> 个桩位，并互相协调，直至线</w:t>
      </w:r>
      <w:r>
        <w:rPr>
          <w:sz w:val="42"/>
        </w:rPr>
        <w:t>路贯通并与设计图纸相符。</w:t>
      </w:r>
    </w:p>
    <w:p>
      <w:pPr>
        <w:pStyle w:val="ListParagraph"/>
        <w:numPr>
          <w:ilvl w:val="1"/>
          <w:numId w:val="23"/>
        </w:numPr>
        <w:tabs>
          <w:tab w:val="left" w:pos="1863"/>
        </w:tabs>
        <w:spacing w:before="0" w:after="0" w:line="533" w:lineRule="exact"/>
        <w:ind w:left="1862" w:right="0" w:hanging="735"/>
        <w:jc w:val="left"/>
        <w:rPr>
          <w:sz w:val="42"/>
        </w:rPr>
      </w:pPr>
      <w:r>
        <w:rPr>
          <w:spacing w:val="-6"/>
          <w:sz w:val="42"/>
        </w:rPr>
        <w:t xml:space="preserve">对遗失桩应按要求进行补钉，其精度应满足表 </w:t>
      </w:r>
      <w:r>
        <w:rPr>
          <w:sz w:val="42"/>
        </w:rPr>
        <w:t>1</w:t>
      </w:r>
      <w:r>
        <w:rPr>
          <w:spacing w:val="-27"/>
          <w:sz w:val="42"/>
        </w:rPr>
        <w:t xml:space="preserve"> 要求。</w:t>
      </w:r>
    </w:p>
    <w:p>
      <w:pPr>
        <w:pStyle w:val="ListParagraph"/>
        <w:numPr>
          <w:ilvl w:val="1"/>
          <w:numId w:val="23"/>
        </w:numPr>
        <w:tabs>
          <w:tab w:val="left" w:pos="1967"/>
        </w:tabs>
        <w:spacing w:before="260" w:after="0" w:line="362" w:lineRule="auto"/>
        <w:ind w:left="289" w:right="1796" w:firstLine="838"/>
        <w:jc w:val="left"/>
        <w:rPr>
          <w:sz w:val="42"/>
        </w:rPr>
      </w:pPr>
      <w:r>
        <w:rPr>
          <w:spacing w:val="-1"/>
          <w:sz w:val="42"/>
        </w:rPr>
        <w:t>复测完成后，应及时填写复测记录和复测分坑关键工序把关卡中的</w:t>
      </w:r>
      <w:r>
        <w:rPr>
          <w:sz w:val="42"/>
        </w:rPr>
        <w:t>复测记录项目。</w:t>
      </w:r>
    </w:p>
    <w:p>
      <w:pPr>
        <w:pStyle w:val="BodyText"/>
        <w:spacing w:line="533" w:lineRule="exact"/>
        <w:ind w:left="289"/>
      </w:pPr>
      <w:r>
        <w:t>2、基础分坑</w:t>
      </w:r>
    </w:p>
    <w:p>
      <w:pPr>
        <w:spacing w:after="0" w:line="533" w:lineRule="exact"/>
        <w:sectPr>
          <w:headerReference w:type="default" r:id="rId16"/>
          <w:footerReference w:type="default" r:id="rId17"/>
          <w:pgSz w:w="17860" w:h="25270"/>
          <w:pgMar w:top="1620" w:right="120" w:bottom="2020" w:left="1760" w:header="960" w:footer="1839"/>
          <w:pgNumType w:start="3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42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本工程根据塔位的具体地形配置了不同长度的接腿，因此在基础施工分坑时，必须核实塔位中心桩及地形是否正确，各塔位的</w:t>
      </w:r>
      <w:r>
        <w:rPr>
          <w:sz w:val="42"/>
        </w:rPr>
        <w:t>A</w:t>
      </w:r>
      <w:r>
        <w:rPr>
          <w:spacing w:val="-43"/>
          <w:sz w:val="42"/>
        </w:rPr>
        <w:t>、</w:t>
      </w:r>
      <w:r>
        <w:rPr>
          <w:sz w:val="42"/>
        </w:rPr>
        <w:t>B</w:t>
      </w:r>
      <w:r>
        <w:rPr>
          <w:spacing w:val="-40"/>
          <w:sz w:val="42"/>
        </w:rPr>
        <w:t>、</w:t>
      </w:r>
      <w:r>
        <w:rPr>
          <w:sz w:val="42"/>
        </w:rPr>
        <w:t>C</w:t>
      </w:r>
      <w:r>
        <w:rPr>
          <w:spacing w:val="-44"/>
          <w:sz w:val="42"/>
        </w:rPr>
        <w:t>、</w:t>
      </w:r>
      <w:r>
        <w:rPr>
          <w:sz w:val="42"/>
        </w:rPr>
        <w:t>D</w:t>
      </w:r>
      <w:r>
        <w:rPr>
          <w:spacing w:val="-28"/>
          <w:sz w:val="42"/>
        </w:rPr>
        <w:t xml:space="preserve"> 四个塔腿与中心桩的高差是否符合《铁塔及基础明细表》中所标注的数据。</w:t>
      </w: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分坑放样时，以基础中心桩为准，以基坑底与中心桩高差控制各个</w:t>
      </w:r>
      <w:r>
        <w:rPr>
          <w:spacing w:val="-1"/>
          <w:sz w:val="42"/>
        </w:rPr>
        <w:t>洞深。同时考虑基础浇制成型后基础表面露出地面高度满足设计要求，不能</w:t>
      </w:r>
      <w:r>
        <w:rPr>
          <w:sz w:val="42"/>
        </w:rPr>
        <w:t>形成凹进地面现象。</w:t>
      </w: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0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校核基础保护范围及基础高低腿是否符合设计要求，如有不够时应</w:t>
      </w:r>
      <w:r>
        <w:rPr>
          <w:sz w:val="42"/>
        </w:rPr>
        <w:t>及时通知项目部及设计。</w:t>
      </w: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铁塔基础施工应保留原设计中心桩，以便恢复中心桩和作为施工质</w:t>
      </w:r>
      <w:r>
        <w:rPr>
          <w:spacing w:val="-1"/>
          <w:sz w:val="42"/>
        </w:rPr>
        <w:t>量检查用，施工过程中无法保留的塔位中心桩，挖除前必须在平基影响范围以外的前、后、左、右方向钉出牢固的辅助桩，将塔位中心桩引出，并作好</w:t>
      </w:r>
      <w:r>
        <w:rPr>
          <w:sz w:val="42"/>
        </w:rPr>
        <w:t>记录。</w:t>
      </w:r>
    </w:p>
    <w:p>
      <w:pPr>
        <w:pStyle w:val="ListParagraph"/>
        <w:numPr>
          <w:ilvl w:val="1"/>
          <w:numId w:val="21"/>
        </w:numPr>
        <w:tabs>
          <w:tab w:val="left" w:pos="1974"/>
        </w:tabs>
        <w:spacing w:before="0" w:after="0" w:line="528" w:lineRule="exact"/>
        <w:ind w:left="1973" w:right="0" w:hanging="846"/>
        <w:jc w:val="both"/>
        <w:rPr>
          <w:sz w:val="42"/>
        </w:rPr>
      </w:pPr>
      <w:r>
        <w:rPr>
          <w:spacing w:val="-2"/>
          <w:sz w:val="42"/>
        </w:rPr>
        <w:t>铁塔及明细表及分坑浇制资料中所有高差均为相对中心桩而言 ,即</w:t>
      </w:r>
    </w:p>
    <w:p>
      <w:pPr>
        <w:pStyle w:val="BodyText"/>
        <w:spacing w:before="252"/>
        <w:ind w:left="289"/>
      </w:pPr>
      <w:r>
        <w:t>中心桩处地面标高为±0.00m。</w:t>
      </w:r>
    </w:p>
    <w:p>
      <w:pPr>
        <w:pStyle w:val="ListParagraph"/>
        <w:numPr>
          <w:ilvl w:val="1"/>
          <w:numId w:val="21"/>
        </w:numPr>
        <w:tabs>
          <w:tab w:val="left" w:pos="1967"/>
        </w:tabs>
        <w:spacing w:before="272" w:after="0" w:line="240" w:lineRule="auto"/>
        <w:ind w:left="1966" w:right="0" w:hanging="839"/>
        <w:jc w:val="both"/>
        <w:rPr>
          <w:sz w:val="42"/>
        </w:rPr>
      </w:pPr>
      <w:r>
        <w:rPr>
          <w:sz w:val="42"/>
        </w:rPr>
        <w:t>分坑所需数据详见《基础分坑资料》</w:t>
      </w:r>
    </w:p>
    <w:p>
      <w:pPr>
        <w:spacing w:before="218" w:line="336" w:lineRule="auto"/>
        <w:ind w:left="289" w:right="1828" w:firstLine="676"/>
        <w:jc w:val="left"/>
        <w:rPr>
          <w:b/>
          <w:sz w:val="45"/>
        </w:rPr>
      </w:pPr>
      <w:r>
        <w:rPr>
          <w:b/>
          <w:spacing w:val="-18"/>
          <w:sz w:val="45"/>
        </w:rPr>
        <w:t xml:space="preserve">备注：⑴清江 </w:t>
      </w:r>
      <w:r>
        <w:rPr>
          <w:b/>
          <w:sz w:val="45"/>
        </w:rPr>
        <w:t>I、II</w:t>
      </w:r>
      <w:r>
        <w:rPr>
          <w:b/>
          <w:spacing w:val="-27"/>
          <w:sz w:val="45"/>
        </w:rPr>
        <w:t xml:space="preserve"> 回破口段单回路的 </w:t>
      </w:r>
      <w:r>
        <w:rPr>
          <w:b/>
          <w:sz w:val="45"/>
        </w:rPr>
        <w:t>5#、9#</w:t>
      </w:r>
      <w:r>
        <w:rPr>
          <w:b/>
          <w:spacing w:val="-2"/>
          <w:sz w:val="45"/>
        </w:rPr>
        <w:t>以及葛山、白沙破口</w:t>
      </w:r>
      <w:r>
        <w:rPr>
          <w:b/>
          <w:spacing w:val="-19"/>
          <w:sz w:val="45"/>
        </w:rPr>
        <w:t xml:space="preserve">段单回路的 </w:t>
      </w:r>
      <w:r>
        <w:rPr>
          <w:b/>
          <w:sz w:val="45"/>
        </w:rPr>
        <w:t>5</w:t>
      </w:r>
      <w:r>
        <w:rPr>
          <w:b/>
          <w:spacing w:val="1"/>
          <w:sz w:val="45"/>
        </w:rPr>
        <w:t>#、</w:t>
      </w:r>
      <w:r>
        <w:rPr>
          <w:b/>
          <w:sz w:val="45"/>
        </w:rPr>
        <w:t>8#</w:t>
      </w:r>
      <w:r>
        <w:rPr>
          <w:b/>
          <w:spacing w:val="-19"/>
          <w:sz w:val="45"/>
        </w:rPr>
        <w:t xml:space="preserve">应分别对应 </w:t>
      </w:r>
      <w:r>
        <w:rPr>
          <w:b/>
          <w:sz w:val="45"/>
        </w:rPr>
        <w:t>4#的横担投影桩。</w:t>
      </w:r>
    </w:p>
    <w:p>
      <w:pPr>
        <w:spacing w:before="5"/>
        <w:ind w:left="2315" w:right="0" w:firstLine="0"/>
        <w:jc w:val="left"/>
        <w:rPr>
          <w:rFonts w:ascii="仿宋" w:eastAsia="仿宋" w:hAnsi="仿宋" w:hint="eastAsia"/>
          <w:b/>
          <w:sz w:val="45"/>
        </w:rPr>
      </w:pPr>
      <w:r>
        <w:rPr>
          <w:rFonts w:ascii="仿宋" w:eastAsia="仿宋" w:hAnsi="仿宋" w:hint="eastAsia"/>
          <w:b/>
          <w:sz w:val="45"/>
        </w:rPr>
        <w:t>⑵两破口段 1#、4#塔分坑按设计图纸要求进行。</w:t>
      </w:r>
    </w:p>
    <w:p>
      <w:pPr>
        <w:pStyle w:val="BodyText"/>
        <w:rPr>
          <w:rFonts w:ascii="仿宋"/>
          <w:b/>
          <w:sz w:val="44"/>
        </w:rPr>
      </w:pPr>
    </w:p>
    <w:p>
      <w:pPr>
        <w:pStyle w:val="Heading1"/>
        <w:tabs>
          <w:tab w:val="left" w:pos="6949"/>
        </w:tabs>
        <w:spacing w:before="314"/>
        <w:ind w:left="4786"/>
      </w:pPr>
      <w:r>
        <w:t>第四章</w:t>
        <w:tab/>
        <w:t>土石方工程</w:t>
      </w: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spacing w:before="350"/>
        <w:ind w:left="289"/>
      </w:pPr>
      <w:r>
        <w:t>1、开挖前必须核对铁塔及基础明细表上数据是否与分坑资料上一致。</w:t>
      </w:r>
    </w:p>
    <w:p>
      <w:pPr>
        <w:pStyle w:val="BodyText"/>
        <w:spacing w:before="272" w:line="362" w:lineRule="auto"/>
        <w:ind w:left="289" w:right="1581"/>
      </w:pPr>
      <w:r>
        <w:t>2、检查塔位桩，控制桩是否完好，转角方向、中心桩位置、上拔下压基础布置是否正确。</w:t>
      </w:r>
    </w:p>
    <w:p>
      <w:pPr>
        <w:pStyle w:val="BodyText"/>
        <w:spacing w:line="533" w:lineRule="exact"/>
        <w:ind w:left="289"/>
      </w:pPr>
      <w:r>
        <w:t>3、各种基础型式开挖尺寸和深度详见分坑浇制图。</w:t>
      </w:r>
    </w:p>
    <w:p>
      <w:pPr>
        <w:pStyle w:val="BodyText"/>
        <w:spacing w:before="272"/>
        <w:ind w:left="289"/>
      </w:pPr>
      <w:r>
        <w:t>4、基础开挖时，如遇地质条件与设计不符（基础埋深不够、边坡保护不够、</w:t>
      </w:r>
    </w:p>
    <w:p>
      <w:pPr>
        <w:spacing w:after="0"/>
        <w:sectPr>
          <w:headerReference w:type="default" r:id="rId18"/>
          <w:footerReference w:type="default" r:id="rId19"/>
          <w:pgSz w:w="17860" w:h="25270"/>
          <w:pgMar w:top="1620" w:right="120" w:bottom="2040" w:left="1760" w:header="960" w:footer="1839"/>
          <w:pgNumType w:start="4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42" w:line="362" w:lineRule="auto"/>
        <w:ind w:left="289" w:right="1576"/>
      </w:pPr>
      <w:r>
        <w:rPr>
          <w:w w:val="100"/>
        </w:rPr>
        <w:t>等</w:t>
      </w:r>
      <w:r>
        <w:rPr>
          <w:spacing w:val="-209"/>
          <w:w w:val="100"/>
        </w:rPr>
        <w:t>）</w:t>
      </w:r>
      <w:r>
        <w:rPr>
          <w:spacing w:val="-1"/>
          <w:w w:val="100"/>
        </w:rPr>
        <w:t>，或有溶洞、岩石裂缝、墓穴、滑坡等，应及时通知项目部，以便报监理</w:t>
      </w:r>
      <w:r>
        <w:t>及设计单位处理。</w:t>
      </w:r>
    </w:p>
    <w:p>
      <w:pPr>
        <w:pStyle w:val="BodyText"/>
        <w:spacing w:line="362" w:lineRule="auto"/>
        <w:ind w:left="289" w:right="1822"/>
      </w:pPr>
      <w:r>
        <w:t>5</w:t>
      </w:r>
      <w:r>
        <w:rPr>
          <w:spacing w:val="-18"/>
        </w:rPr>
        <w:t>、本工程斜柱柔性基础基坑开挖时，应视土质情况放好边坡，并且按设计要</w:t>
      </w:r>
      <w:r>
        <w:t>求打好垫层。</w:t>
      </w:r>
    </w:p>
    <w:p>
      <w:pPr>
        <w:pStyle w:val="BodyText"/>
        <w:spacing w:line="362" w:lineRule="auto"/>
        <w:ind w:left="289" w:right="1765"/>
        <w:jc w:val="both"/>
      </w:pPr>
      <w:r>
        <w:t>6</w:t>
      </w:r>
      <w:r>
        <w:rPr>
          <w:spacing w:val="-9"/>
        </w:rPr>
        <w:t>、本工程半掏挖基坑开挖时，掏挖部分要求尽量做到以“坑壁成型”代替侧</w:t>
      </w:r>
      <w:r>
        <w:t>向模板，使底板四边嵌入岩石（或原状土）中，当基坑挖至掏挖部分上平面深度时，一般不允许再采用爆破的方法而采用人工开凿。</w:t>
      </w:r>
    </w:p>
    <w:p>
      <w:pPr>
        <w:pStyle w:val="BodyText"/>
        <w:spacing w:line="531" w:lineRule="exact"/>
        <w:ind w:left="289"/>
      </w:pPr>
      <w:r>
        <w:t>7、基坑开挖不得超深，一般情况下基坑不要一次挖到设计埋深，应预留</w:t>
      </w:r>
    </w:p>
    <w:p>
      <w:pPr>
        <w:pStyle w:val="BodyText"/>
        <w:spacing w:before="261" w:line="362" w:lineRule="auto"/>
        <w:ind w:left="289" w:right="1830"/>
      </w:pPr>
      <w:r>
        <w:rPr>
          <w:spacing w:val="-12"/>
        </w:rPr>
        <w:t>200mm</w:t>
      </w:r>
      <w:r>
        <w:rPr>
          <w:spacing w:val="-13"/>
        </w:rPr>
        <w:t>，在浇制混凝土时才挖至设计深度，如出现基坑超深不得用土回填，超</w:t>
      </w:r>
      <w:r>
        <w:t>深部分必须采取铺石灌浆处理，严禁在浮土上浇制基础。</w:t>
      </w:r>
    </w:p>
    <w:p>
      <w:pPr>
        <w:pStyle w:val="BodyText"/>
        <w:spacing w:line="362" w:lineRule="auto"/>
        <w:ind w:left="289" w:right="1763"/>
      </w:pPr>
      <w:r>
        <w:t>8</w:t>
      </w:r>
      <w:r>
        <w:rPr>
          <w:spacing w:val="-15"/>
        </w:rPr>
        <w:t>、基础土石方开挖时，须结合现场实际情况慎重进行，不可贸然开方；对于</w:t>
      </w:r>
      <w:r>
        <w:t>降基量较小的基础，可与基坑开挖同时完成。</w:t>
      </w:r>
    </w:p>
    <w:p>
      <w:pPr>
        <w:pStyle w:val="BodyText"/>
        <w:spacing w:line="362" w:lineRule="auto"/>
        <w:ind w:left="289" w:right="1824"/>
      </w:pPr>
      <w:r>
        <w:t>9</w:t>
      </w:r>
      <w:r>
        <w:rPr>
          <w:spacing w:val="-19"/>
        </w:rPr>
        <w:t xml:space="preserve">、在施工基面的开凿过程中，凡超过 </w:t>
      </w:r>
      <w:r>
        <w:t>2</w:t>
      </w:r>
      <w:r>
        <w:rPr>
          <w:spacing w:val="-15"/>
        </w:rPr>
        <w:t xml:space="preserve"> 米高的后边坡均须采取分级放坡，严</w:t>
      </w:r>
      <w:r>
        <w:t>禁形成直陡坡。</w:t>
      </w:r>
    </w:p>
    <w:p>
      <w:pPr>
        <w:pStyle w:val="BodyText"/>
        <w:spacing w:line="355" w:lineRule="auto"/>
        <w:ind w:left="289" w:right="1788"/>
        <w:jc w:val="both"/>
      </w:pPr>
      <w:r>
        <w:t>10、挖完后必须用经纬仪、塔尺，按基础坑深值进行操平、找正，并检查、验收各部尺寸，坑深操平时，塔尺分别立于中心及四角，测点不少于五处。11、水坑开挖要求</w:t>
      </w:r>
    </w:p>
    <w:p>
      <w:pPr>
        <w:pStyle w:val="BodyText"/>
        <w:spacing w:before="123" w:line="417" w:lineRule="auto"/>
        <w:ind w:left="289" w:right="105" w:firstLine="756"/>
      </w:pPr>
      <w:r>
        <w:t xml:space="preserve">水坑开挖方式主要根据被开挖基坑的渗水量和坑壁土质而定，如果坑壁土质较 </w:t>
      </w:r>
      <w:r>
        <w:rPr>
          <w:spacing w:val="-1"/>
        </w:rPr>
        <w:t>好，则需按要求放坡开挖；对不塌方且渗水速度较慢的泥水坑，可采用人工排水边挖边排的施工方法，够深时打垫层，立即浇制；对于渗水较快较大的泥水坑，应采用抽</w:t>
      </w:r>
      <w:r>
        <w:t>水泵排水</w:t>
      </w:r>
      <w:r>
        <w:rPr>
          <w:spacing w:val="-54"/>
        </w:rPr>
        <w:t>，采用挡土板加支撑木的方法坑。深达到设计深度时</w:t>
      </w:r>
      <w:r>
        <w:rPr>
          <w:spacing w:val="-40"/>
        </w:rPr>
        <w:t>尽，快把底层铺石灌浆，</w:t>
      </w:r>
    </w:p>
    <w:p>
      <w:pPr>
        <w:pStyle w:val="BodyText"/>
        <w:spacing w:line="417" w:lineRule="auto"/>
        <w:ind w:left="289" w:right="8529"/>
      </w:pPr>
      <w:r>
        <w:t>而后采用塑料袋隔水浇制底板混凝土。12、流砂坑开挖</w:t>
      </w:r>
    </w:p>
    <w:p>
      <w:pPr>
        <w:pStyle w:val="BodyText"/>
        <w:spacing w:line="537" w:lineRule="exact"/>
        <w:ind w:left="1045"/>
      </w:pPr>
      <w:r>
        <w:rPr>
          <w:spacing w:val="-9"/>
        </w:rPr>
        <w:t>基坑开挖遇到流砂时会出现流砂不断涌出的现</w:t>
      </w:r>
      <w:r>
        <w:rPr>
          <w:spacing w:val="-107"/>
        </w:rPr>
        <w:t>如象在，坑内抽水</w:t>
      </w:r>
      <w:r>
        <w:rPr>
          <w:spacing w:val="-54"/>
        </w:rPr>
        <w:t>，有的坑底的土</w:t>
      </w:r>
    </w:p>
    <w:p>
      <w:pPr>
        <w:spacing w:after="0" w:line="537" w:lineRule="exact"/>
        <w:sectPr>
          <w:headerReference w:type="default" r:id="rId20"/>
          <w:footerReference w:type="default" r:id="rId21"/>
          <w:pgSz w:w="17860" w:h="25270"/>
          <w:pgMar w:top="1620" w:right="120" w:bottom="2040" w:left="1760" w:header="960" w:footer="1839"/>
          <w:pgNumType w:start="5"/>
          <w:cols w:space="708"/>
        </w:sect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43" w:line="417" w:lineRule="auto"/>
        <w:ind w:left="289" w:right="105"/>
      </w:pPr>
      <w:r>
        <w:rPr>
          <w:spacing w:val="-1"/>
        </w:rPr>
        <w:t>会流动状态，随地下水涌起而失去承载力，流砂边挖边冒，人难立足，对流砂坑的施</w:t>
      </w:r>
      <w:r>
        <w:rPr>
          <w:spacing w:val="-41"/>
        </w:rPr>
        <w:t>工，现场施工人员应根据不同情况采取有效措如施果。流砂严重可采用大开挖的方法，</w:t>
      </w:r>
    </w:p>
    <w:p>
      <w:pPr>
        <w:pStyle w:val="BodyText"/>
        <w:spacing w:line="417" w:lineRule="auto"/>
        <w:ind w:left="289" w:right="105"/>
      </w:pPr>
      <w:r>
        <w:rPr>
          <w:spacing w:val="-1"/>
        </w:rPr>
        <w:t>并在施工前做好下道工序的准备工作，尽量使施工不间断，缩短工期，一次成功。尽</w:t>
      </w:r>
      <w:r>
        <w:rPr>
          <w:spacing w:val="-3"/>
        </w:rPr>
        <w:t>量安排在枯水期施工，最高的地下水位不高于</w:t>
      </w:r>
      <w:r>
        <w:rPr>
          <w:spacing w:val="-162"/>
        </w:rPr>
        <w:t>0</w:t>
      </w:r>
      <w:r>
        <w:rPr>
          <w:spacing w:val="-171"/>
        </w:rPr>
        <w:t>坑.</w:t>
      </w:r>
      <w:r>
        <w:rPr>
          <w:spacing w:val="-81"/>
        </w:rPr>
        <w:t>5</w:t>
      </w:r>
      <w:r>
        <w:rPr>
          <w:spacing w:val="-20"/>
        </w:rPr>
        <w:t>底米，这时动力压力不大，就很</w:t>
      </w:r>
    </w:p>
    <w:p>
      <w:pPr>
        <w:pStyle w:val="BodyText"/>
        <w:spacing w:line="417" w:lineRule="auto"/>
        <w:ind w:left="289" w:right="105"/>
      </w:pPr>
      <w:r>
        <w:t>少出现流砂。如果流砂较大，可采用沿基坑四周打板桩，使板桩达到不透水层，以阻挡坑外水向坑内压入，减少坑内动水压力，并防止流砂大量出现和侵入。</w:t>
      </w:r>
    </w:p>
    <w:p>
      <w:pPr>
        <w:pStyle w:val="BodyText"/>
        <w:ind w:left="289"/>
      </w:pPr>
      <w:r>
        <w:t>13、岩石坑的开挖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ind w:left="1045"/>
      </w:pPr>
      <w:r>
        <w:t>岩石坑的开挖采用普通爆破法，在风化较轻的岩石地区，采用爆破开挖基坑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89" w:right="105"/>
      </w:pPr>
      <w:r>
        <w:rPr>
          <w:spacing w:val="-1"/>
        </w:rPr>
        <w:t>时，可在基础中心打一主炮孔，再在基础坑内圈打一些防震孔，以控制放炮时坑壁的震裂破坏范围。保证岩石的整体稳定性。主炮孔和防震孔采用人工打孔，工作时应密</w:t>
      </w:r>
      <w:r>
        <w:rPr>
          <w:spacing w:val="-13"/>
        </w:rPr>
        <w:t>切配合,要注意避免滑锤伤人。碎石块的堆放必须远离洞口，以防石块滚下伤人。当</w:t>
      </w:r>
      <w:r>
        <w:rPr>
          <w:spacing w:val="-21"/>
        </w:rPr>
        <w:t>洞深超过</w:t>
      </w:r>
      <w:r>
        <w:t>1m</w:t>
      </w:r>
      <w:r>
        <w:rPr>
          <w:spacing w:val="-12"/>
        </w:rPr>
        <w:t xml:space="preserve"> 时洞内放炮应先在洞中架设好梯子，以便点火后撤出。一个洞放炮时， 别的基础坑不允许有人施工。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8"/>
        </w:rPr>
      </w:pPr>
    </w:p>
    <w:p>
      <w:pPr>
        <w:pStyle w:val="Heading1"/>
        <w:tabs>
          <w:tab w:val="left" w:pos="6816"/>
        </w:tabs>
        <w:spacing w:before="0"/>
        <w:ind w:left="4652"/>
      </w:pPr>
      <w:r>
        <w:t>第五章</w:t>
        <w:tab/>
        <w:t>基 础 浇</w:t>
      </w:r>
      <w:r>
        <w:rPr>
          <w:spacing w:val="-9"/>
        </w:rPr>
        <w:t xml:space="preserve"> </w:t>
      </w:r>
      <w:r>
        <w:t>制</w:t>
      </w: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spacing w:before="459"/>
        <w:ind w:left="289"/>
      </w:pPr>
      <w:r>
        <w:t>1、混凝土原材料选用</w:t>
      </w:r>
    </w:p>
    <w:p>
      <w:pPr>
        <w:pStyle w:val="ListParagraph"/>
        <w:numPr>
          <w:ilvl w:val="1"/>
          <w:numId w:val="24"/>
        </w:numPr>
        <w:tabs>
          <w:tab w:val="left" w:pos="1967"/>
        </w:tabs>
        <w:spacing w:before="272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水泥的特性必须符合国家技术规定，并出自建设单位指定的生产厂</w:t>
      </w:r>
      <w:r>
        <w:rPr>
          <w:spacing w:val="-1"/>
          <w:sz w:val="42"/>
        </w:rPr>
        <w:t>家。每批水泥必须有出厂日期及出厂证明。不同厂家、不同标号、不同品种</w:t>
      </w:r>
      <w:r>
        <w:rPr>
          <w:spacing w:val="-21"/>
          <w:sz w:val="42"/>
        </w:rPr>
        <w:t>的水泥不得在同一腿中混合使用，但可在同一基基础中使用，若在同一基</w:t>
      </w:r>
      <w:r>
        <w:rPr>
          <w:sz w:val="42"/>
        </w:rPr>
        <w:t>（不同腿）中使用，必须分别制作试件，并作好记录。</w:t>
      </w:r>
    </w:p>
    <w:p>
      <w:pPr>
        <w:spacing w:after="0" w:line="362" w:lineRule="auto"/>
        <w:jc w:val="both"/>
        <w:rPr>
          <w:sz w:val="42"/>
        </w:rPr>
        <w:sectPr>
          <w:headerReference w:type="default" r:id="rId22"/>
          <w:footerReference w:type="default" r:id="rId23"/>
          <w:pgSz w:w="17860" w:h="25270"/>
          <w:pgMar w:top="1620" w:right="120" w:bottom="2040" w:left="1760" w:header="960" w:footer="1839"/>
          <w:pgNumType w:start="6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1"/>
          <w:numId w:val="20"/>
        </w:numPr>
        <w:tabs>
          <w:tab w:val="left" w:pos="1863"/>
        </w:tabs>
        <w:spacing w:before="42" w:after="0" w:line="362" w:lineRule="auto"/>
        <w:ind w:left="289" w:right="1820" w:firstLine="838"/>
        <w:jc w:val="left"/>
        <w:rPr>
          <w:sz w:val="42"/>
        </w:rPr>
      </w:pPr>
      <w:r>
        <w:rPr>
          <w:spacing w:val="-28"/>
          <w:w w:val="100"/>
          <w:sz w:val="42"/>
        </w:rPr>
        <w:t>砂、石必须符合要求，碎石粒径为</w:t>
      </w:r>
      <w:r>
        <w:rPr>
          <w:spacing w:val="-107"/>
          <w:sz w:val="42"/>
        </w:rPr>
        <w:t xml:space="preserve"> </w:t>
      </w:r>
      <w:r>
        <w:rPr>
          <w:w w:val="100"/>
          <w:sz w:val="42"/>
        </w:rPr>
        <w:t>2-4c</w:t>
      </w:r>
      <w:r>
        <w:rPr>
          <w:spacing w:val="-9"/>
          <w:w w:val="100"/>
          <w:sz w:val="42"/>
        </w:rPr>
        <w:t>m</w:t>
      </w:r>
      <w:r>
        <w:rPr>
          <w:spacing w:val="-26"/>
          <w:w w:val="100"/>
          <w:sz w:val="42"/>
        </w:rPr>
        <w:t>，中砂平均粒径</w:t>
      </w:r>
      <w:r>
        <w:rPr>
          <w:spacing w:val="-112"/>
          <w:sz w:val="42"/>
        </w:rPr>
        <w:t xml:space="preserve"> </w:t>
      </w:r>
      <w:r>
        <w:rPr>
          <w:spacing w:val="-2"/>
          <w:w w:val="100"/>
          <w:sz w:val="42"/>
        </w:rPr>
        <w:t>0.35-0.5mm</w:t>
      </w:r>
      <w:r>
        <w:rPr>
          <w:spacing w:val="-2"/>
          <w:w w:val="100"/>
          <w:sz w:val="42"/>
        </w:rPr>
        <w:t>,</w:t>
      </w:r>
      <w:r>
        <w:rPr>
          <w:spacing w:val="-13"/>
          <w:sz w:val="42"/>
        </w:rPr>
        <w:t xml:space="preserve">粗砂平均粒径大于 </w:t>
      </w:r>
      <w:r>
        <w:rPr>
          <w:sz w:val="42"/>
        </w:rPr>
        <w:t>0.5mm。</w:t>
      </w:r>
    </w:p>
    <w:p>
      <w:pPr>
        <w:pStyle w:val="ListParagraph"/>
        <w:numPr>
          <w:ilvl w:val="1"/>
          <w:numId w:val="20"/>
        </w:numPr>
        <w:tabs>
          <w:tab w:val="left" w:pos="1863"/>
        </w:tabs>
        <w:spacing w:before="0" w:after="0" w:line="362" w:lineRule="auto"/>
        <w:ind w:left="289" w:right="1600" w:firstLine="838"/>
        <w:jc w:val="left"/>
        <w:rPr>
          <w:sz w:val="42"/>
        </w:rPr>
      </w:pPr>
      <w:r>
        <w:rPr>
          <w:spacing w:val="-20"/>
          <w:sz w:val="42"/>
        </w:rPr>
        <w:t xml:space="preserve">砂、石、水泥运至施工现场后，必须妥善保管,并在地面上铺彩条布， </w:t>
      </w:r>
      <w:r>
        <w:rPr>
          <w:sz w:val="42"/>
        </w:rPr>
        <w:t>保持砂、石的干净，不能有泥巴、草屑、木块等杂物。必须切实做好水泥的防潮工作，水泥应整齐堆放在特制的长木板上，并做到下垫上盖，木板离地</w:t>
      </w:r>
      <w:r>
        <w:rPr>
          <w:spacing w:val="-53"/>
          <w:sz w:val="42"/>
        </w:rPr>
        <w:t xml:space="preserve">面 </w:t>
      </w:r>
      <w:r>
        <w:rPr>
          <w:sz w:val="42"/>
        </w:rPr>
        <w:t>0.2-0.3</w:t>
      </w:r>
      <w:r>
        <w:rPr>
          <w:spacing w:val="-12"/>
          <w:sz w:val="42"/>
        </w:rPr>
        <w:t xml:space="preserve"> 米，并在四周开挖排水沟。</w:t>
      </w:r>
    </w:p>
    <w:p>
      <w:pPr>
        <w:pStyle w:val="ListParagraph"/>
        <w:numPr>
          <w:ilvl w:val="1"/>
          <w:numId w:val="20"/>
        </w:numPr>
        <w:tabs>
          <w:tab w:val="left" w:pos="1967"/>
        </w:tabs>
        <w:spacing w:before="0" w:after="0" w:line="362" w:lineRule="auto"/>
        <w:ind w:left="289" w:right="1796" w:firstLine="838"/>
        <w:jc w:val="left"/>
        <w:rPr>
          <w:sz w:val="42"/>
        </w:rPr>
      </w:pPr>
      <w:r>
        <w:rPr>
          <w:spacing w:val="-1"/>
          <w:sz w:val="42"/>
        </w:rPr>
        <w:t>浇制混凝土及养生宜用饮用水，在无饮用水时可用河溪水或清洁的</w:t>
      </w:r>
      <w:r>
        <w:rPr>
          <w:sz w:val="42"/>
        </w:rPr>
        <w:t>池塘水，水中不得含有油脂或有害化合物。</w:t>
      </w:r>
    </w:p>
    <w:p>
      <w:pPr>
        <w:pStyle w:val="ListParagraph"/>
        <w:numPr>
          <w:ilvl w:val="1"/>
          <w:numId w:val="20"/>
        </w:numPr>
        <w:tabs>
          <w:tab w:val="left" w:pos="1967"/>
        </w:tabs>
        <w:spacing w:before="0" w:after="0" w:line="362" w:lineRule="auto"/>
        <w:ind w:left="289" w:right="1762" w:firstLine="838"/>
        <w:jc w:val="both"/>
        <w:rPr>
          <w:sz w:val="42"/>
        </w:rPr>
      </w:pPr>
      <w:r>
        <w:rPr>
          <w:sz w:val="42"/>
        </w:rPr>
        <w:t>砂、石、水泥、配合比均应经过有国家计量合格证的检验单位检验</w:t>
      </w:r>
      <w:r>
        <w:rPr>
          <w:spacing w:val="-9"/>
          <w:sz w:val="42"/>
        </w:rPr>
        <w:t>并取得检验报告；同品牌、同标号、同编号的水泥每</w:t>
      </w:r>
      <w:r>
        <w:rPr>
          <w:sz w:val="42"/>
        </w:rPr>
        <w:t>200t</w:t>
      </w:r>
      <w:r>
        <w:rPr>
          <w:spacing w:val="-12"/>
          <w:sz w:val="42"/>
        </w:rPr>
        <w:t xml:space="preserve"> 送检一次，不足者也为一批，砂、石每 </w:t>
      </w:r>
      <w:r>
        <w:rPr>
          <w:sz w:val="42"/>
        </w:rPr>
        <w:t>400m</w:t>
      </w:r>
      <w:r>
        <w:rPr>
          <w:position w:val="3"/>
          <w:sz w:val="29"/>
        </w:rPr>
        <w:t>3</w:t>
      </w:r>
      <w:r>
        <w:rPr>
          <w:sz w:val="42"/>
        </w:rPr>
        <w:t>送检一次。</w:t>
      </w:r>
    </w:p>
    <w:p>
      <w:pPr>
        <w:pStyle w:val="ListParagraph"/>
        <w:numPr>
          <w:ilvl w:val="1"/>
          <w:numId w:val="20"/>
        </w:numPr>
        <w:tabs>
          <w:tab w:val="left" w:pos="1899"/>
        </w:tabs>
        <w:spacing w:before="0" w:after="0" w:line="362" w:lineRule="auto"/>
        <w:ind w:left="289" w:right="1822" w:firstLine="838"/>
        <w:jc w:val="both"/>
        <w:rPr>
          <w:sz w:val="42"/>
        </w:rPr>
      </w:pPr>
      <w:r>
        <w:rPr>
          <w:spacing w:val="-4"/>
          <w:sz w:val="42"/>
        </w:rPr>
        <w:t xml:space="preserve">钢材必须有出厂合格证和材质复检报告(以每 </w:t>
      </w:r>
      <w:r>
        <w:rPr>
          <w:sz w:val="42"/>
        </w:rPr>
        <w:t>60t</w:t>
      </w:r>
      <w:r>
        <w:rPr>
          <w:spacing w:val="-11"/>
          <w:sz w:val="42"/>
        </w:rPr>
        <w:t xml:space="preserve"> 为一批)，钢质和</w:t>
      </w:r>
      <w:r>
        <w:rPr>
          <w:sz w:val="42"/>
        </w:rPr>
        <w:t>相应规格必须与设计图纸相符，并出自建设单位指定的生产厂家。</w:t>
      </w:r>
    </w:p>
    <w:p>
      <w:pPr>
        <w:pStyle w:val="BodyText"/>
        <w:spacing w:line="534" w:lineRule="exact"/>
        <w:ind w:left="289"/>
      </w:pPr>
      <w:r>
        <w:t>2、钢筋制作</w:t>
      </w:r>
    </w:p>
    <w:p>
      <w:pPr>
        <w:pStyle w:val="ListParagraph"/>
        <w:numPr>
          <w:ilvl w:val="1"/>
          <w:numId w:val="19"/>
        </w:numPr>
        <w:tabs>
          <w:tab w:val="left" w:pos="1863"/>
        </w:tabs>
        <w:spacing w:before="244" w:after="0" w:line="240" w:lineRule="auto"/>
        <w:ind w:left="1862" w:right="0" w:hanging="735"/>
        <w:jc w:val="left"/>
        <w:rPr>
          <w:sz w:val="42"/>
        </w:rPr>
      </w:pPr>
      <w:r>
        <w:rPr>
          <w:sz w:val="42"/>
        </w:rPr>
        <w:t>制作前应核查钢材材质、加工长度、数量；熟悉加工图纸。</w:t>
      </w:r>
    </w:p>
    <w:p>
      <w:pPr>
        <w:pStyle w:val="ListParagraph"/>
        <w:numPr>
          <w:ilvl w:val="1"/>
          <w:numId w:val="19"/>
        </w:numPr>
        <w:tabs>
          <w:tab w:val="left" w:pos="1863"/>
        </w:tabs>
        <w:spacing w:before="272" w:after="0" w:line="362" w:lineRule="auto"/>
        <w:ind w:left="289" w:right="1813" w:firstLine="838"/>
        <w:jc w:val="left"/>
        <w:rPr>
          <w:sz w:val="42"/>
        </w:rPr>
      </w:pPr>
      <w:r>
        <w:rPr>
          <w:spacing w:val="-8"/>
          <w:sz w:val="42"/>
        </w:rPr>
        <w:t>钢筋制作应按设计图纸尺寸进行,加工后的形状、尺寸必须符合设计</w:t>
      </w:r>
      <w:r>
        <w:rPr>
          <w:sz w:val="42"/>
        </w:rPr>
        <w:t>要求，表面应洁净平直、无损伤。</w:t>
      </w:r>
    </w:p>
    <w:p>
      <w:pPr>
        <w:pStyle w:val="ListParagraph"/>
        <w:numPr>
          <w:ilvl w:val="1"/>
          <w:numId w:val="19"/>
        </w:numPr>
        <w:tabs>
          <w:tab w:val="left" w:pos="1863"/>
        </w:tabs>
        <w:spacing w:before="0" w:after="0" w:line="362" w:lineRule="auto"/>
        <w:ind w:left="289" w:right="1784" w:firstLine="838"/>
        <w:jc w:val="both"/>
        <w:rPr>
          <w:sz w:val="42"/>
        </w:rPr>
      </w:pPr>
      <w:r>
        <w:rPr>
          <w:spacing w:val="26"/>
          <w:sz w:val="42"/>
        </w:rPr>
        <w:t>基础钢筋</w:t>
      </w:r>
      <w:r>
        <w:rPr>
          <w:sz w:val="42"/>
        </w:rPr>
        <w:t>I</w:t>
      </w:r>
      <w:r>
        <w:rPr>
          <w:spacing w:val="-24"/>
          <w:sz w:val="42"/>
        </w:rPr>
        <w:t xml:space="preserve"> 级钢筋末端需作 </w:t>
      </w:r>
      <w:r>
        <w:rPr>
          <w:sz w:val="42"/>
        </w:rPr>
        <w:t>180</w:t>
      </w:r>
      <w:r>
        <w:rPr>
          <w:spacing w:val="-29"/>
          <w:sz w:val="42"/>
        </w:rPr>
        <w:t xml:space="preserve">°弯钩，其圆弧弯曲直径 </w:t>
      </w:r>
      <w:r>
        <w:rPr>
          <w:sz w:val="42"/>
        </w:rPr>
        <w:t>D</w:t>
      </w:r>
      <w:r>
        <w:rPr>
          <w:spacing w:val="-21"/>
          <w:sz w:val="42"/>
        </w:rPr>
        <w:t xml:space="preserve"> 不应小于</w:t>
      </w:r>
      <w:r>
        <w:rPr>
          <w:spacing w:val="10"/>
          <w:sz w:val="42"/>
        </w:rPr>
        <w:t>钢筋直径</w:t>
      </w:r>
      <w:r>
        <w:rPr>
          <w:sz w:val="42"/>
        </w:rPr>
        <w:t>d</w:t>
      </w:r>
      <w:r>
        <w:rPr>
          <w:spacing w:val="-67"/>
          <w:sz w:val="42"/>
        </w:rPr>
        <w:t xml:space="preserve"> 的 </w:t>
      </w:r>
      <w:r>
        <w:rPr>
          <w:sz w:val="42"/>
        </w:rPr>
        <w:t>2.5</w:t>
      </w:r>
      <w:r>
        <w:rPr>
          <w:spacing w:val="-17"/>
          <w:sz w:val="42"/>
        </w:rPr>
        <w:t xml:space="preserve"> 倍,平直部分长度不宜小于钢筋直径的 </w:t>
      </w:r>
      <w:r>
        <w:rPr>
          <w:sz w:val="42"/>
        </w:rPr>
        <w:t>3</w:t>
      </w:r>
      <w:r>
        <w:rPr>
          <w:spacing w:val="-37"/>
          <w:sz w:val="42"/>
        </w:rPr>
        <w:t xml:space="preserve"> 倍。Ⅱ、Ⅲ级钢筋</w:t>
      </w:r>
      <w:r>
        <w:rPr>
          <w:spacing w:val="-30"/>
          <w:sz w:val="42"/>
        </w:rPr>
        <w:t>用作主筋，可不作弯钩或弯成</w:t>
      </w:r>
      <w:r>
        <w:rPr>
          <w:sz w:val="42"/>
        </w:rPr>
        <w:t>90</w:t>
      </w:r>
      <w:r>
        <w:rPr>
          <w:spacing w:val="3"/>
          <w:sz w:val="42"/>
        </w:rPr>
        <w:t>°，其弯曲直径不小于钢筋直径的</w:t>
      </w:r>
      <w:r>
        <w:rPr>
          <w:sz w:val="42"/>
        </w:rPr>
        <w:t>4</w:t>
      </w:r>
      <w:r>
        <w:rPr>
          <w:spacing w:val="-25"/>
          <w:sz w:val="42"/>
        </w:rPr>
        <w:t xml:space="preserve"> 倍，平</w:t>
      </w:r>
      <w:r>
        <w:rPr>
          <w:spacing w:val="-19"/>
          <w:sz w:val="42"/>
        </w:rPr>
        <w:t xml:space="preserve">直部分为 </w:t>
      </w:r>
      <w:r>
        <w:rPr>
          <w:sz w:val="42"/>
        </w:rPr>
        <w:t>100mm</w:t>
      </w:r>
      <w:r>
        <w:rPr>
          <w:spacing w:val="-7"/>
          <w:sz w:val="42"/>
        </w:rPr>
        <w:t xml:space="preserve">；箍筋末端形状如图，弯曲直径不小于 </w:t>
      </w:r>
      <w:r>
        <w:rPr>
          <w:sz w:val="42"/>
        </w:rPr>
        <w:t>2.5d，平直部不小于5d；如下图：</w:t>
      </w:r>
    </w:p>
    <w:p>
      <w:pPr>
        <w:pStyle w:val="BodyText"/>
        <w:spacing w:before="4"/>
        <w:rPr>
          <w:sz w:val="15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149451</wp:posOffset>
            </wp:positionV>
            <wp:extent cx="2216943" cy="38004"/>
            <wp:effectExtent l="0" t="0" r="0" b="0"/>
            <wp:wrapTopAndBottom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694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8" style="width:206pt;height:111.15pt;margin-top:23.77pt;margin-left:189pt;mso-position-horizontal-relative:page;mso-wrap-distance-left:0;mso-wrap-distance-right:0;position:absolute;z-index:-251651072" coordorigin="3780,475" coordsize="4120,2223">
            <v:shape id="_x0000_s1059" type="#_x0000_t75" style="width:4120;height:2120;left:3780;position:absolute;top:475" stroked="f">
              <v:imagedata r:id="rId25" o:title=""/>
            </v:shape>
            <v:shape id="_x0000_s1060" type="#_x0000_t202" style="width:575;height:317;left:6384;position:absolute;top:103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2.5d</w:t>
                    </w:r>
                  </w:p>
                </w:txbxContent>
              </v:textbox>
            </v:shape>
            <v:shape id="_x0000_s1061" type="#_x0000_t202" style="width:337;height:317;left:6067;position:absolute;top:238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3d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270863</wp:posOffset>
            </wp:positionV>
            <wp:extent cx="1026128" cy="1064133"/>
            <wp:effectExtent l="0" t="0" r="0" b="0"/>
            <wp:wrapTopAndBottom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28" cy="1064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8191500</wp:posOffset>
            </wp:positionH>
            <wp:positionV relativeFrom="paragraph">
              <wp:posOffset>270863</wp:posOffset>
            </wp:positionV>
            <wp:extent cx="1228820" cy="1064133"/>
            <wp:effectExtent l="0" t="0" r="0" b="0"/>
            <wp:wrapTopAndBottom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820" cy="1064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4"/>
        </w:rPr>
      </w:pPr>
    </w:p>
    <w:p>
      <w:pPr>
        <w:spacing w:after="0"/>
        <w:rPr>
          <w:sz w:val="4"/>
        </w:rPr>
        <w:sectPr>
          <w:headerReference w:type="default" r:id="rId28"/>
          <w:footerReference w:type="default" r:id="rId29"/>
          <w:pgSz w:w="17860" w:h="25270"/>
          <w:pgMar w:top="1620" w:right="120" w:bottom="2040" w:left="1760" w:header="960" w:footer="1839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866"/>
        </w:tabs>
        <w:spacing w:before="43" w:after="0" w:line="362" w:lineRule="auto"/>
        <w:ind w:left="289" w:right="1826" w:firstLine="838"/>
        <w:jc w:val="left"/>
        <w:rPr>
          <w:sz w:val="42"/>
        </w:rPr>
      </w:pPr>
      <w:r>
        <w:rPr>
          <w:spacing w:val="2"/>
          <w:sz w:val="42"/>
        </w:rPr>
        <w:t>钢筋接长采用搭接焊接，搭接长度满足：双面焊接不小于</w:t>
      </w:r>
      <w:r>
        <w:rPr>
          <w:sz w:val="42"/>
        </w:rPr>
        <w:t>6d</w:t>
      </w:r>
      <w:r>
        <w:rPr>
          <w:spacing w:val="-6"/>
          <w:sz w:val="42"/>
        </w:rPr>
        <w:t>、单面</w:t>
      </w:r>
      <w:r>
        <w:rPr>
          <w:spacing w:val="-18"/>
          <w:sz w:val="42"/>
        </w:rPr>
        <w:t xml:space="preserve">焊接不小于 </w:t>
      </w:r>
      <w:r>
        <w:rPr>
          <w:sz w:val="42"/>
        </w:rPr>
        <w:t>10d</w:t>
      </w:r>
      <w:r>
        <w:rPr>
          <w:spacing w:val="-14"/>
          <w:sz w:val="42"/>
        </w:rPr>
        <w:t xml:space="preserve">，焊缝宽不小于 </w:t>
      </w:r>
      <w:r>
        <w:rPr>
          <w:sz w:val="42"/>
        </w:rPr>
        <w:t>0.7d</w:t>
      </w:r>
      <w:r>
        <w:rPr>
          <w:spacing w:val="-18"/>
          <w:sz w:val="42"/>
        </w:rPr>
        <w:t xml:space="preserve">，高不小于 </w:t>
      </w:r>
      <w:r>
        <w:rPr>
          <w:sz w:val="42"/>
        </w:rPr>
        <w:t>0.25d（d</w:t>
      </w:r>
      <w:r>
        <w:rPr>
          <w:spacing w:val="-19"/>
          <w:sz w:val="42"/>
        </w:rPr>
        <w:t xml:space="preserve"> 为钢筋直径</w:t>
      </w:r>
      <w:r>
        <w:rPr>
          <w:spacing w:val="-216"/>
          <w:sz w:val="42"/>
        </w:rPr>
        <w:t>）</w:t>
      </w:r>
      <w:r>
        <w:rPr>
          <w:sz w:val="42"/>
        </w:rPr>
        <w:t>。</w:t>
      </w:r>
    </w:p>
    <w:p>
      <w:pPr>
        <w:pStyle w:val="ListParagraph"/>
        <w:numPr>
          <w:ilvl w:val="1"/>
          <w:numId w:val="19"/>
        </w:numPr>
        <w:tabs>
          <w:tab w:val="left" w:pos="1128"/>
        </w:tabs>
        <w:spacing w:before="0" w:after="0" w:line="533" w:lineRule="exact"/>
        <w:ind w:left="1128" w:right="0" w:hanging="839"/>
        <w:jc w:val="left"/>
        <w:rPr>
          <w:sz w:val="42"/>
        </w:rPr>
      </w:pPr>
      <w:r>
        <w:rPr>
          <w:sz w:val="42"/>
        </w:rPr>
        <w:t>钢筋制作允许偏差如下表</w:t>
      </w: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30"/>
          <w:footerReference w:type="default" r:id="rId31"/>
          <w:pgSz w:w="17860" w:h="25270"/>
          <w:pgMar w:top="1620" w:right="120" w:bottom="2040" w:left="1760" w:header="960" w:footer="1839"/>
          <w:pgNumType w:start="8"/>
          <w:cols w:space="708"/>
        </w:sectPr>
      </w:pPr>
    </w:p>
    <w:p>
      <w:pPr>
        <w:pStyle w:val="BodyText"/>
        <w:spacing w:before="42"/>
        <w:ind w:left="1636"/>
        <w:jc w:val="center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-79501</wp:posOffset>
            </wp:positionV>
            <wp:extent cx="7213600" cy="1549400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36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</w:t>
      </w:r>
    </w:p>
    <w:p>
      <w:pPr>
        <w:pStyle w:val="BodyText"/>
        <w:spacing w:before="254" w:line="355" w:lineRule="auto"/>
        <w:ind w:left="1649"/>
        <w:jc w:val="center"/>
      </w:pPr>
      <w:r>
        <w:t>受力钢筋顺长度方向全长净尺寸弯起钢筋的弯折位置</w:t>
      </w:r>
    </w:p>
    <w:p>
      <w:pPr>
        <w:pStyle w:val="BodyText"/>
        <w:spacing w:before="42"/>
        <w:ind w:left="1160" w:right="4253"/>
        <w:jc w:val="center"/>
      </w:pPr>
      <w:r>
        <w:br w:type="column"/>
      </w:r>
      <w:r>
        <w:t>允许偏差（mm）</w:t>
      </w:r>
    </w:p>
    <w:p>
      <w:pPr>
        <w:pStyle w:val="BodyText"/>
        <w:spacing w:before="254"/>
        <w:ind w:left="1160" w:right="4249"/>
        <w:jc w:val="center"/>
      </w:pPr>
      <w:r>
        <w:t>±10</w:t>
      </w:r>
    </w:p>
    <w:p>
      <w:pPr>
        <w:pStyle w:val="BodyText"/>
        <w:spacing w:before="259"/>
        <w:ind w:left="1160" w:right="4249"/>
        <w:jc w:val="center"/>
      </w:pPr>
      <w:r>
        <w:t>±20</w:t>
      </w:r>
    </w:p>
    <w:p>
      <w:pPr>
        <w:spacing w:after="0"/>
        <w:jc w:val="center"/>
        <w:sectPr>
          <w:headerReference w:type="default" r:id="rId33"/>
          <w:footerReference w:type="default" r:id="rId34"/>
          <w:type w:val="continuous"/>
          <w:pgSz w:w="17860" w:h="25270"/>
          <w:pgMar w:top="1620" w:right="120" w:bottom="2040" w:left="1760" w:header="708" w:footer="708"/>
          <w:pgNumType w:start="9"/>
          <w:cols w:num="2" w:space="708" w:equalWidth="0">
            <w:col w:w="7547" w:space="40"/>
            <w:col w:w="8393" w:space="0"/>
          </w:cols>
        </w:sectPr>
      </w:pPr>
    </w:p>
    <w:p>
      <w:pPr>
        <w:pStyle w:val="BodyText"/>
        <w:spacing w:before="21"/>
        <w:ind w:left="289"/>
      </w:pPr>
      <w:r>
        <w:t>3、钢筋安装</w:t>
      </w:r>
    </w:p>
    <w:p>
      <w:pPr>
        <w:pStyle w:val="ListParagraph"/>
        <w:numPr>
          <w:ilvl w:val="1"/>
          <w:numId w:val="18"/>
        </w:numPr>
        <w:tabs>
          <w:tab w:val="left" w:pos="1967"/>
        </w:tabs>
        <w:spacing w:before="272" w:after="0" w:line="362" w:lineRule="auto"/>
        <w:ind w:left="289" w:right="1796" w:firstLine="838"/>
        <w:jc w:val="left"/>
        <w:rPr>
          <w:sz w:val="42"/>
        </w:rPr>
      </w:pPr>
      <w:r>
        <w:rPr>
          <w:spacing w:val="-1"/>
          <w:sz w:val="42"/>
        </w:rPr>
        <w:t>钢筋安装前应熟悉施工图纸，检查钢筋规格、长度及数量是否与图</w:t>
      </w:r>
      <w:r>
        <w:rPr>
          <w:sz w:val="42"/>
        </w:rPr>
        <w:t>纸相符。</w:t>
      </w:r>
    </w:p>
    <w:p>
      <w:pPr>
        <w:pStyle w:val="ListParagraph"/>
        <w:numPr>
          <w:ilvl w:val="1"/>
          <w:numId w:val="18"/>
        </w:numPr>
        <w:tabs>
          <w:tab w:val="left" w:pos="1967"/>
        </w:tabs>
        <w:spacing w:before="0" w:after="0" w:line="362" w:lineRule="auto"/>
        <w:ind w:left="289" w:right="1610" w:firstLine="838"/>
        <w:jc w:val="left"/>
        <w:rPr>
          <w:sz w:val="42"/>
        </w:rPr>
      </w:pPr>
      <w:r>
        <w:rPr>
          <w:sz w:val="42"/>
        </w:rPr>
        <w:t xml:space="preserve">为保证钢筋绑扎均匀，尺寸准确，绑扎前在钢筋上做好绑扎印记， </w:t>
      </w:r>
      <w:r>
        <w:rPr>
          <w:spacing w:val="-30"/>
          <w:sz w:val="42"/>
        </w:rPr>
        <w:t>然后依印记绑扎，钢筋笼绑扎应牢固</w:t>
      </w:r>
      <w:r>
        <w:rPr>
          <w:sz w:val="42"/>
        </w:rPr>
        <w:t>（用双铁丝绑扎</w:t>
      </w:r>
      <w:r>
        <w:rPr>
          <w:spacing w:val="-219"/>
          <w:sz w:val="42"/>
        </w:rPr>
        <w:t>）</w:t>
      </w:r>
      <w:r>
        <w:rPr>
          <w:spacing w:val="-26"/>
          <w:sz w:val="42"/>
        </w:rPr>
        <w:t>。主筋间距误差为±</w:t>
      </w:r>
      <w:r>
        <w:rPr>
          <w:spacing w:val="-6"/>
          <w:sz w:val="42"/>
        </w:rPr>
        <w:t xml:space="preserve">5mm， </w:t>
      </w:r>
      <w:r>
        <w:rPr>
          <w:spacing w:val="-1"/>
          <w:sz w:val="42"/>
        </w:rPr>
        <w:t>箍筋间距误差为±</w:t>
      </w:r>
      <w:r>
        <w:rPr>
          <w:spacing w:val="-3"/>
          <w:sz w:val="42"/>
        </w:rPr>
        <w:t>20mm</w:t>
      </w:r>
      <w:r>
        <w:rPr>
          <w:sz w:val="42"/>
        </w:rPr>
        <w:t>。</w:t>
      </w:r>
    </w:p>
    <w:p>
      <w:pPr>
        <w:pStyle w:val="ListParagraph"/>
        <w:numPr>
          <w:ilvl w:val="1"/>
          <w:numId w:val="18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安装时应保证保护层厚度，以免发生露筋现象。为保证立柱钢筋的</w:t>
      </w:r>
      <w:r>
        <w:rPr>
          <w:spacing w:val="-1"/>
          <w:sz w:val="42"/>
        </w:rPr>
        <w:t>保护层厚度，在钢筋安装后在每个面插入两块木板，木板厚度与保护层厚度</w:t>
      </w:r>
      <w:r>
        <w:rPr>
          <w:sz w:val="42"/>
        </w:rPr>
        <w:t>一致。混凝土浇灌到一定位置后将木板拔出。</w:t>
      </w:r>
    </w:p>
    <w:p>
      <w:pPr>
        <w:pStyle w:val="BodyText"/>
        <w:spacing w:line="530" w:lineRule="exact"/>
        <w:ind w:left="289"/>
      </w:pPr>
      <w:r>
        <w:t>4、模板制作及安装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260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支模前应再次核对塔号，基础型式、坑深、根开及对角线尺寸，转</w:t>
      </w:r>
      <w:r>
        <w:rPr>
          <w:sz w:val="42"/>
        </w:rPr>
        <w:t>角塔的角平分线，地脚螺栓规格等是否符合设计要求。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0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本工程基础型式较多，均为斜柱式，所用标准模板及异型模板规格</w:t>
      </w:r>
      <w:r>
        <w:rPr>
          <w:sz w:val="42"/>
        </w:rPr>
        <w:t>较多，支模时应注意基础的斜率。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模板安装前应涂好脱模剂或废机油，以利脱模。涂脱模剂时，应注</w:t>
      </w:r>
      <w:r>
        <w:rPr>
          <w:spacing w:val="-1"/>
          <w:sz w:val="42"/>
        </w:rPr>
        <w:t>意不得污染钢筋、砂、碎石，被污染的钢筋应用汽油清洗干净后使用；被污</w:t>
      </w:r>
      <w:r>
        <w:rPr>
          <w:sz w:val="42"/>
        </w:rPr>
        <w:t>染的砂、碎石要清除出现场，不得使用。</w:t>
      </w:r>
    </w:p>
    <w:p>
      <w:pPr>
        <w:pStyle w:val="ListParagraph"/>
        <w:numPr>
          <w:ilvl w:val="1"/>
          <w:numId w:val="17"/>
        </w:numPr>
        <w:tabs>
          <w:tab w:val="left" w:pos="1967"/>
        </w:tabs>
        <w:spacing w:before="0" w:after="0" w:line="530" w:lineRule="exact"/>
        <w:ind w:left="1966" w:right="0" w:hanging="839"/>
        <w:jc w:val="both"/>
        <w:rPr>
          <w:sz w:val="42"/>
        </w:rPr>
      </w:pPr>
      <w:r>
        <w:rPr>
          <w:sz w:val="42"/>
        </w:rPr>
        <w:t>模板拼装：基础各面的平面模板在坑外按施工图拼装成所需尺寸，</w:t>
      </w:r>
    </w:p>
    <w:p>
      <w:pPr>
        <w:spacing w:after="0" w:line="530" w:lineRule="exact"/>
        <w:jc w:val="both"/>
        <w:rPr>
          <w:sz w:val="42"/>
        </w:rPr>
        <w:sectPr>
          <w:headerReference w:type="default" r:id="rId35"/>
          <w:footerReference w:type="default" r:id="rId36"/>
          <w:type w:val="continuous"/>
          <w:pgSz w:w="17860" w:h="25270"/>
          <w:pgMar w:top="1620" w:right="120" w:bottom="2040" w:left="1760" w:header="708" w:footer="708"/>
          <w:pgNumType w:start="10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42"/>
        <w:ind w:left="289"/>
      </w:pPr>
      <w:r>
        <w:t>各模板间以及模板与联接角铁间要求用螺栓连接。</w:t>
      </w:r>
    </w:p>
    <w:p>
      <w:pPr>
        <w:pStyle w:val="ListParagraph"/>
        <w:numPr>
          <w:ilvl w:val="1"/>
          <w:numId w:val="25"/>
        </w:numPr>
        <w:tabs>
          <w:tab w:val="left" w:pos="1967"/>
        </w:tabs>
        <w:spacing w:before="272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在模板安装后，应对模板加箍，防止模板“鼓肚”和“爆肚”，造</w:t>
      </w:r>
      <w:r>
        <w:rPr>
          <w:spacing w:val="-1"/>
          <w:sz w:val="42"/>
        </w:rPr>
        <w:t>成漏浆和主柱变形，加箍视模板组合情况，如接头较多则多加箍，以保证不</w:t>
      </w:r>
      <w:r>
        <w:rPr>
          <w:sz w:val="42"/>
        </w:rPr>
        <w:t>鼓肚为准。</w:t>
      </w:r>
    </w:p>
    <w:p>
      <w:pPr>
        <w:pStyle w:val="ListParagraph"/>
        <w:numPr>
          <w:ilvl w:val="1"/>
          <w:numId w:val="25"/>
        </w:numPr>
        <w:tabs>
          <w:tab w:val="left" w:pos="1967"/>
        </w:tabs>
        <w:spacing w:before="0" w:after="0" w:line="362" w:lineRule="auto"/>
        <w:ind w:left="289" w:right="1796" w:firstLine="838"/>
        <w:jc w:val="both"/>
        <w:rPr>
          <w:sz w:val="42"/>
        </w:rPr>
      </w:pPr>
      <w:r>
        <w:rPr>
          <w:spacing w:val="-1"/>
          <w:sz w:val="42"/>
        </w:rPr>
        <w:t>基础模板的支撑：由于本工程底板以土代模，因此主柱模板采用跨</w:t>
      </w:r>
      <w:r>
        <w:rPr>
          <w:sz w:val="42"/>
        </w:rPr>
        <w:t>越架将其吊起。</w:t>
      </w:r>
    </w:p>
    <w:p>
      <w:pPr>
        <w:pStyle w:val="ListParagraph"/>
        <w:numPr>
          <w:ilvl w:val="1"/>
          <w:numId w:val="25"/>
        </w:numPr>
        <w:tabs>
          <w:tab w:val="left" w:pos="1967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为保证各部保护层厚度，主柱部分应在钢筋上绑扎预制垫块或在上部塞垫木条（浇制时注意及时取出），</w:t>
      </w:r>
      <w:r>
        <w:rPr>
          <w:spacing w:val="-2"/>
          <w:sz w:val="42"/>
        </w:rPr>
        <w:t>下层底网钢筋下垫砼预制块，制作规</w:t>
      </w:r>
      <w:r>
        <w:rPr>
          <w:spacing w:val="-105"/>
          <w:w w:val="100"/>
          <w:sz w:val="42"/>
        </w:rPr>
        <w:t>格：</w:t>
      </w:r>
      <w:r>
        <w:rPr>
          <w:w w:val="100"/>
          <w:sz w:val="42"/>
        </w:rPr>
        <w:t>10</w:t>
      </w:r>
      <w:r>
        <w:rPr>
          <w:spacing w:val="-6"/>
          <w:w w:val="100"/>
          <w:sz w:val="42"/>
        </w:rPr>
        <w:t>0</w:t>
      </w:r>
      <w:r>
        <w:rPr>
          <w:w w:val="100"/>
          <w:sz w:val="42"/>
        </w:rPr>
        <w:t>×10</w:t>
      </w:r>
      <w:r>
        <w:rPr>
          <w:spacing w:val="-2"/>
          <w:w w:val="100"/>
          <w:sz w:val="42"/>
        </w:rPr>
        <w:t>0</w:t>
      </w:r>
      <w:r>
        <w:rPr>
          <w:w w:val="100"/>
          <w:sz w:val="42"/>
        </w:rPr>
        <w:t>×7</w:t>
      </w:r>
      <w:r>
        <w:rPr>
          <w:spacing w:val="-4"/>
          <w:w w:val="100"/>
          <w:sz w:val="42"/>
        </w:rPr>
        <w:t>0</w:t>
      </w:r>
      <w:r>
        <w:rPr>
          <w:spacing w:val="-54"/>
          <w:w w:val="100"/>
          <w:sz w:val="42"/>
        </w:rPr>
        <w:t>，数量：</w:t>
      </w:r>
      <w:r>
        <w:rPr>
          <w:w w:val="100"/>
          <w:sz w:val="42"/>
        </w:rPr>
        <w:t>2.2-2.4m</w:t>
      </w:r>
      <w:r>
        <w:rPr>
          <w:spacing w:val="-151"/>
          <w:sz w:val="42"/>
        </w:rPr>
        <w:t xml:space="preserve"> </w:t>
      </w:r>
      <w:r>
        <w:rPr>
          <w:spacing w:val="36"/>
          <w:w w:val="100"/>
          <w:sz w:val="42"/>
        </w:rPr>
        <w:t>底板</w:t>
      </w:r>
      <w:r>
        <w:rPr>
          <w:w w:val="100"/>
          <w:sz w:val="42"/>
        </w:rPr>
        <w:t>16</w:t>
      </w:r>
      <w:r>
        <w:rPr>
          <w:spacing w:val="-142"/>
          <w:sz w:val="42"/>
        </w:rPr>
        <w:t xml:space="preserve"> </w:t>
      </w:r>
      <w:r>
        <w:rPr>
          <w:spacing w:val="-107"/>
          <w:w w:val="100"/>
          <w:sz w:val="42"/>
        </w:rPr>
        <w:t>块；</w:t>
      </w:r>
      <w:r>
        <w:rPr>
          <w:w w:val="100"/>
          <w:sz w:val="42"/>
        </w:rPr>
        <w:t>2.6-3.4m</w:t>
      </w:r>
      <w:r>
        <w:rPr>
          <w:spacing w:val="-146"/>
          <w:sz w:val="42"/>
        </w:rPr>
        <w:t xml:space="preserve"> </w:t>
      </w:r>
      <w:r>
        <w:rPr>
          <w:spacing w:val="35"/>
          <w:w w:val="100"/>
          <w:sz w:val="42"/>
        </w:rPr>
        <w:t>底板</w:t>
      </w:r>
      <w:r>
        <w:rPr>
          <w:w w:val="100"/>
          <w:sz w:val="42"/>
        </w:rPr>
        <w:t>25</w:t>
      </w:r>
      <w:r>
        <w:rPr>
          <w:spacing w:val="-141"/>
          <w:sz w:val="42"/>
        </w:rPr>
        <w:t xml:space="preserve"> </w:t>
      </w:r>
      <w:r>
        <w:rPr>
          <w:spacing w:val="-107"/>
          <w:w w:val="100"/>
          <w:sz w:val="42"/>
        </w:rPr>
        <w:t>块；</w:t>
      </w:r>
      <w:r>
        <w:rPr>
          <w:w w:val="100"/>
          <w:sz w:val="42"/>
        </w:rPr>
        <w:t>4.8-5.4m</w:t>
      </w:r>
      <w:r>
        <w:rPr>
          <w:spacing w:val="-36"/>
          <w:sz w:val="42"/>
        </w:rPr>
        <w:t xml:space="preserve">底板 </w:t>
      </w:r>
      <w:r>
        <w:rPr>
          <w:sz w:val="42"/>
        </w:rPr>
        <w:t>36</w:t>
      </w:r>
      <w:r>
        <w:rPr>
          <w:spacing w:val="-16"/>
          <w:sz w:val="42"/>
        </w:rPr>
        <w:t xml:space="preserve"> 块，均匀布置。</w:t>
      </w:r>
    </w:p>
    <w:p>
      <w:pPr>
        <w:pStyle w:val="ListParagraph"/>
        <w:numPr>
          <w:ilvl w:val="1"/>
          <w:numId w:val="25"/>
        </w:numPr>
        <w:tabs>
          <w:tab w:val="left" w:pos="1967"/>
        </w:tabs>
        <w:spacing w:before="0" w:after="0" w:line="528" w:lineRule="exact"/>
        <w:ind w:left="1966" w:right="0" w:hanging="839"/>
        <w:jc w:val="both"/>
        <w:rPr>
          <w:sz w:val="42"/>
        </w:rPr>
      </w:pPr>
      <w:r>
        <w:rPr>
          <w:sz w:val="42"/>
        </w:rPr>
        <w:t>施工时要注意保护好钢模板，轻拿轻放，不得抛掷和直接用大锤敲</w:t>
      </w:r>
    </w:p>
    <w:p>
      <w:pPr>
        <w:pStyle w:val="BodyText"/>
        <w:spacing w:before="259" w:line="362" w:lineRule="auto"/>
        <w:ind w:left="289" w:right="4317"/>
      </w:pPr>
      <w:r>
        <w:t>击钢模板。拆模后应清理模板表面混凝土浆，分类堆放整齐。5、地脚螺栓安装：</w:t>
      </w:r>
    </w:p>
    <w:p>
      <w:pPr>
        <w:pStyle w:val="ListParagraph"/>
        <w:numPr>
          <w:ilvl w:val="1"/>
          <w:numId w:val="16"/>
        </w:numPr>
        <w:tabs>
          <w:tab w:val="left" w:pos="1708"/>
        </w:tabs>
        <w:spacing w:before="0" w:after="0" w:line="505" w:lineRule="exact"/>
        <w:ind w:left="1707" w:right="0" w:hanging="663"/>
        <w:jc w:val="left"/>
        <w:rPr>
          <w:sz w:val="42"/>
        </w:rPr>
      </w:pPr>
      <w:r>
        <w:rPr>
          <w:sz w:val="42"/>
        </w:rPr>
        <w:t>本工程铁塔与基础均采用斜地脚螺栓连接。地脚螺栓的规格、间距、坡度等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9" w:right="662"/>
      </w:pPr>
      <w:r>
        <w:rPr>
          <w:spacing w:val="-18"/>
        </w:rPr>
        <w:t>详见《基础配置表</w:t>
      </w:r>
      <w:r>
        <w:rPr>
          <w:spacing w:val="-23"/>
        </w:rPr>
        <w:t>。》安装前必须检查地脚螺栓的直径、长度、坡度等，其值应符合</w:t>
      </w:r>
      <w:r>
        <w:t>设计要求方可安装。</w:t>
      </w:r>
    </w:p>
    <w:p>
      <w:pPr>
        <w:pStyle w:val="ListParagraph"/>
        <w:numPr>
          <w:ilvl w:val="1"/>
          <w:numId w:val="16"/>
        </w:numPr>
        <w:tabs>
          <w:tab w:val="left" w:pos="1708"/>
        </w:tabs>
        <w:spacing w:before="0" w:after="0" w:line="417" w:lineRule="auto"/>
        <w:ind w:left="289" w:right="370" w:firstLine="756"/>
        <w:jc w:val="left"/>
        <w:rPr>
          <w:sz w:val="42"/>
        </w:rPr>
      </w:pPr>
      <w:r>
        <w:rPr>
          <w:sz w:val="42"/>
        </w:rPr>
        <w:t>地脚螺栓安装，必须保证其浇制后露出砼面高度符合设计要求（</w:t>
      </w:r>
      <w:r>
        <w:rPr>
          <w:spacing w:val="-4"/>
          <w:sz w:val="42"/>
        </w:rPr>
        <w:t>考虑基础预</w:t>
      </w:r>
      <w:r>
        <w:rPr>
          <w:w w:val="100"/>
          <w:sz w:val="42"/>
        </w:rPr>
        <w:t>偏后</w:t>
      </w:r>
      <w:r>
        <w:rPr>
          <w:spacing w:val="-317"/>
          <w:w w:val="100"/>
          <w:sz w:val="42"/>
        </w:rPr>
        <w:t>）</w:t>
      </w:r>
      <w:r>
        <w:rPr>
          <w:w w:val="100"/>
          <w:sz w:val="42"/>
        </w:rPr>
        <w:t>，丝扣部分涂以黄油并用塑料纸包裹。</w:t>
      </w:r>
    </w:p>
    <w:p>
      <w:pPr>
        <w:pStyle w:val="BodyText"/>
        <w:spacing w:before="29"/>
        <w:ind w:left="289"/>
      </w:pPr>
      <w:r>
        <w:t>6、混凝土浇制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271" w:after="0" w:line="240" w:lineRule="auto"/>
        <w:ind w:left="1862" w:right="0" w:hanging="735"/>
        <w:jc w:val="left"/>
        <w:rPr>
          <w:sz w:val="42"/>
        </w:rPr>
      </w:pPr>
      <w:r>
        <w:rPr>
          <w:spacing w:val="-1"/>
          <w:sz w:val="42"/>
        </w:rPr>
        <w:t>基础浇制必须经监理人员检查,并取得认可后方可进行。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272" w:after="0" w:line="362" w:lineRule="auto"/>
        <w:ind w:left="289" w:right="1611" w:firstLine="838"/>
        <w:jc w:val="left"/>
        <w:rPr>
          <w:sz w:val="42"/>
        </w:rPr>
      </w:pPr>
      <w:r>
        <w:rPr>
          <w:spacing w:val="-7"/>
          <w:sz w:val="42"/>
        </w:rPr>
        <w:t xml:space="preserve">浇制混凝土前仔细检查基础中心与中心桩间的位移，根开及对角线， </w:t>
      </w:r>
      <w:r>
        <w:rPr>
          <w:sz w:val="42"/>
        </w:rPr>
        <w:t>主柱及台阶梯断面尺寸，保护层厚度，顶面相对高差，插入角钢、钢筋的规格、数量、配置方向等。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0" w:after="0" w:line="530" w:lineRule="exact"/>
        <w:ind w:left="1862" w:right="0" w:hanging="735"/>
        <w:jc w:val="left"/>
        <w:rPr>
          <w:sz w:val="42"/>
        </w:rPr>
      </w:pPr>
      <w:r>
        <w:rPr>
          <w:sz w:val="42"/>
        </w:rPr>
        <w:t>混凝土配合比及坍落度控制</w:t>
      </w:r>
    </w:p>
    <w:p>
      <w:pPr>
        <w:pStyle w:val="ListParagraph"/>
        <w:numPr>
          <w:ilvl w:val="0"/>
          <w:numId w:val="14"/>
        </w:numPr>
        <w:tabs>
          <w:tab w:val="left" w:pos="1761"/>
        </w:tabs>
        <w:spacing w:before="273" w:after="0" w:line="240" w:lineRule="auto"/>
        <w:ind w:left="1760" w:right="0" w:hanging="633"/>
        <w:jc w:val="left"/>
        <w:rPr>
          <w:sz w:val="42"/>
        </w:rPr>
      </w:pPr>
      <w:r>
        <w:rPr>
          <w:spacing w:val="-20"/>
          <w:sz w:val="42"/>
        </w:rPr>
        <w:t>施工时必须严格按配合比控制材料用量。每基开始第一板时，砂、石、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37"/>
          <w:footerReference w:type="default" r:id="rId38"/>
          <w:pgSz w:w="17860" w:h="25270"/>
          <w:pgMar w:top="1620" w:right="120" w:bottom="2020" w:left="1760" w:header="960" w:footer="1839"/>
          <w:pgNumType w:start="11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42" w:line="362" w:lineRule="auto"/>
        <w:ind w:left="289" w:right="1788"/>
      </w:pPr>
      <w:r>
        <w:t>水均应过磅，并在水桶、铁桶、斗车等上料容器上用红漆作出记号，作为每板用量标记。</w:t>
      </w:r>
    </w:p>
    <w:p>
      <w:pPr>
        <w:pStyle w:val="ListParagraph"/>
        <w:numPr>
          <w:ilvl w:val="0"/>
          <w:numId w:val="26"/>
        </w:numPr>
        <w:tabs>
          <w:tab w:val="left" w:pos="1761"/>
        </w:tabs>
        <w:spacing w:before="0" w:after="0" w:line="362" w:lineRule="auto"/>
        <w:ind w:left="289" w:right="1788" w:firstLine="838"/>
        <w:jc w:val="both"/>
        <w:rPr>
          <w:sz w:val="42"/>
        </w:rPr>
      </w:pPr>
      <w:r>
        <w:rPr>
          <w:sz w:val="42"/>
        </w:rPr>
        <w:t>坍落度每班日或每个基础腿应检查两次及以上</w:t>
      </w:r>
      <w:r>
        <w:rPr>
          <w:spacing w:val="-26"/>
          <w:sz w:val="42"/>
        </w:rPr>
        <w:t>，其数值不得大于设计值，并严格控制水灰比；对于掏挖型基础扩大头部分混凝土捣固密实，可将</w:t>
      </w:r>
      <w:r>
        <w:rPr>
          <w:spacing w:val="-1"/>
          <w:sz w:val="42"/>
        </w:rPr>
        <w:t>混凝土坍落度适当增大一些；配比材料用量每班日或每基基础应检查两次及</w:t>
      </w:r>
      <w:r>
        <w:rPr>
          <w:sz w:val="42"/>
        </w:rPr>
        <w:t>以上，其偏差应控制在规定范围内。坍落度检查方法见下图：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  <w:r>
        <w:pict>
          <v:group id="_x0000_s1062" style="width:624pt;height:423pt;margin-top:11.89pt;margin-left:149pt;mso-position-horizontal-relative:page;mso-wrap-distance-left:0;mso-wrap-distance-right:0;position:absolute;z-index:-251649024" coordorigin="2980,238" coordsize="12480,8460">
            <v:shape id="_x0000_s1063" type="#_x0000_t75" style="width:12480;height:8460;left:2980;position:absolute;top:237" stroked="f">
              <v:imagedata r:id="rId39" o:title=""/>
            </v:shape>
            <v:shape id="_x0000_s1064" type="#_x0000_t202" style="width:496;height:317;left:5443;position:absolute;top:41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100</w:t>
                    </w:r>
                  </w:p>
                </w:txbxContent>
              </v:textbox>
            </v:shape>
            <v:shape id="_x0000_s1065" type="#_x0000_t202" style="width:654;height:317;left:12465;position:absolute;top:4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量尺</w:t>
                    </w:r>
                  </w:p>
                </w:txbxContent>
              </v:textbox>
            </v:shape>
            <v:shape id="_x0000_s1066" type="#_x0000_t202" style="width:654;height:317;left:7518;position:absolute;top:19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平尺</w:t>
                    </w:r>
                  </w:p>
                </w:txbxContent>
              </v:textbox>
            </v:shape>
            <v:shape id="_x0000_s1067" type="#_x0000_t202" style="width:496;height:317;left:3157;position:absolute;top:380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300</w:t>
                    </w:r>
                  </w:p>
                </w:txbxContent>
              </v:textbox>
            </v:shape>
            <v:shape id="_x0000_s1068" type="#_x0000_t202" style="width:1288;height:317;left:7356;position:absolute;top:39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坍落度筒</w:t>
                    </w:r>
                  </w:p>
                </w:txbxContent>
              </v:textbox>
            </v:shape>
            <v:shape id="_x0000_s1069" type="#_x0000_t202" style="width:337;height:951;left:14829;position:absolute;top:3845" filled="f" stroked="f">
              <v:textbox inset="0,0,0,0">
                <w:txbxContent>
                  <w:p>
                    <w:pPr>
                      <w:spacing w:before="24" w:line="192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坍落度</w:t>
                    </w:r>
                  </w:p>
                </w:txbxContent>
              </v:textbox>
            </v:shape>
            <v:shape id="_x0000_s1070" type="#_x0000_t202" style="width:496;height:317;left:5130;position:absolute;top:784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7"/>
        <w:ind w:left="1128"/>
      </w:pPr>
      <w:r>
        <w:t>⑶混凝土应按配合比由专人掌握进行配料。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272" w:after="0" w:line="362" w:lineRule="auto"/>
        <w:ind w:left="289" w:right="1591" w:firstLine="838"/>
        <w:jc w:val="left"/>
        <w:rPr>
          <w:sz w:val="42"/>
        </w:rPr>
      </w:pPr>
      <w:r>
        <w:rPr>
          <w:spacing w:val="-12"/>
          <w:sz w:val="42"/>
        </w:rPr>
        <w:t>浇制搅拌采用机械搅拌，搅拌时不能图搅拌方便而肆意增加用水量。</w:t>
      </w:r>
      <w:r>
        <w:rPr>
          <w:sz w:val="42"/>
        </w:rPr>
        <w:t>投料顺序为碎石、水泥、砂，待充分混合后，再加水搅拌，不得颠倒投料顺序。下料时，应听从负责人指挥，混凝土自由倾落高度不应超过2m，否则应设置溜筒。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0" w:after="0" w:line="528" w:lineRule="exact"/>
        <w:ind w:left="1862" w:right="0" w:hanging="735"/>
        <w:jc w:val="left"/>
        <w:rPr>
          <w:sz w:val="42"/>
        </w:rPr>
      </w:pPr>
      <w:r>
        <w:rPr>
          <w:sz w:val="42"/>
        </w:rPr>
        <w:t>本工程一律采用机械振动，使用插入式振捣器时，应注意以下几点：</w:t>
      </w:r>
    </w:p>
    <w:p>
      <w:pPr>
        <w:pStyle w:val="BodyText"/>
        <w:spacing w:before="272" w:line="360" w:lineRule="auto"/>
        <w:ind w:left="289" w:right="1822" w:firstLine="838"/>
      </w:pPr>
      <w:r>
        <w:rPr>
          <w:spacing w:val="-15"/>
        </w:rPr>
        <w:t xml:space="preserve">⑴混凝土应分层浇灌，浇灌厚度为振捣作用部分长度的 </w:t>
      </w:r>
      <w:r>
        <w:t>1.25</w:t>
      </w:r>
      <w:r>
        <w:rPr>
          <w:spacing w:val="-37"/>
        </w:rPr>
        <w:t xml:space="preserve"> 倍，在每一</w:t>
      </w:r>
      <w:r>
        <w:rPr>
          <w:spacing w:val="-14"/>
        </w:rPr>
        <w:t xml:space="preserve">位置振捣时间为 </w:t>
      </w:r>
      <w:r>
        <w:t>20-30</w:t>
      </w:r>
      <w:r>
        <w:rPr>
          <w:spacing w:val="-11"/>
        </w:rPr>
        <w:t xml:space="preserve"> 秒，以混凝土表面呈现水泥浆及不再沉落为度。</w:t>
      </w:r>
    </w:p>
    <w:p>
      <w:pPr>
        <w:spacing w:after="0" w:line="360" w:lineRule="auto"/>
        <w:sectPr>
          <w:headerReference w:type="default" r:id="rId40"/>
          <w:footerReference w:type="default" r:id="rId41"/>
          <w:pgSz w:w="17860" w:h="25270"/>
          <w:pgMar w:top="1620" w:right="120" w:bottom="2040" w:left="1760" w:header="960" w:footer="1839"/>
          <w:pgNumType w:start="12"/>
          <w:cols w:space="708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42" w:line="362" w:lineRule="auto"/>
        <w:ind w:left="289" w:right="1792" w:firstLine="838"/>
      </w:pPr>
      <w:r>
        <w:t>⑵振捣时要快插慢拔，插点要均匀排列逐点移动，不得遗漏，达到均匀振实。</w:t>
      </w:r>
    </w:p>
    <w:p>
      <w:pPr>
        <w:pStyle w:val="BodyText"/>
        <w:spacing w:line="362" w:lineRule="auto"/>
        <w:ind w:left="289" w:right="1792" w:firstLine="838"/>
      </w:pPr>
      <w:r>
        <w:t>⑶由于振动棒下部的振幅要比上部要大得多，因此每一插点在振捣时应将振动棒上下抽动 5-10cm，使这一层上下振捣均匀。</w:t>
      </w:r>
    </w:p>
    <w:p>
      <w:pPr>
        <w:pStyle w:val="BodyText"/>
        <w:spacing w:line="533" w:lineRule="exact"/>
        <w:ind w:left="1128"/>
      </w:pPr>
      <w:r>
        <w:t>⑷振动上一层时，应将振捣棒插入下层 5cm 左右使上下层紧密结合。</w:t>
      </w:r>
    </w:p>
    <w:p>
      <w:pPr>
        <w:pStyle w:val="BodyText"/>
        <w:spacing w:before="266"/>
        <w:ind w:left="1128"/>
      </w:pPr>
      <w:r>
        <w:t>⑸振动棒不得碰撞钢筋、模板等，以免位移。</w:t>
      </w:r>
    </w:p>
    <w:p>
      <w:pPr>
        <w:pStyle w:val="BodyText"/>
        <w:spacing w:before="273"/>
        <w:ind w:left="1128"/>
      </w:pPr>
      <w:r>
        <w:t>⑹对于振动棒不能触及的边角、•死角还应用捣固钎辅助捣固。</w:t>
      </w:r>
    </w:p>
    <w:p>
      <w:pPr>
        <w:pStyle w:val="ListParagraph"/>
        <w:numPr>
          <w:ilvl w:val="1"/>
          <w:numId w:val="15"/>
        </w:numPr>
        <w:tabs>
          <w:tab w:val="left" w:pos="1863"/>
        </w:tabs>
        <w:spacing w:before="272" w:after="0" w:line="240" w:lineRule="auto"/>
        <w:ind w:left="1862" w:right="0" w:hanging="735"/>
        <w:jc w:val="left"/>
        <w:rPr>
          <w:sz w:val="42"/>
        </w:rPr>
      </w:pPr>
      <w:r>
        <w:rPr>
          <w:sz w:val="42"/>
        </w:rPr>
        <w:t>基础浇制尺寸控制和工艺要求</w:t>
      </w:r>
    </w:p>
    <w:p>
      <w:pPr>
        <w:pStyle w:val="ListParagraph"/>
        <w:numPr>
          <w:ilvl w:val="0"/>
          <w:numId w:val="13"/>
        </w:numPr>
        <w:tabs>
          <w:tab w:val="left" w:pos="1761"/>
        </w:tabs>
        <w:spacing w:before="272" w:after="0" w:line="362" w:lineRule="auto"/>
        <w:ind w:left="289" w:right="1824" w:firstLine="838"/>
        <w:jc w:val="left"/>
        <w:rPr>
          <w:sz w:val="42"/>
        </w:rPr>
      </w:pPr>
      <w:r>
        <w:rPr>
          <w:spacing w:val="-15"/>
          <w:sz w:val="42"/>
        </w:rPr>
        <w:t>浇制时发现模板变形、支撑松动、跑浆等问题，应及时处理，尤应注</w:t>
      </w:r>
      <w:r>
        <w:rPr>
          <w:sz w:val="42"/>
        </w:rPr>
        <w:t>意立柱钢筋笼与模板距离，严防露筋。</w:t>
      </w:r>
    </w:p>
    <w:p>
      <w:pPr>
        <w:pStyle w:val="ListParagraph"/>
        <w:numPr>
          <w:ilvl w:val="0"/>
          <w:numId w:val="13"/>
        </w:numPr>
        <w:tabs>
          <w:tab w:val="left" w:pos="1765"/>
        </w:tabs>
        <w:spacing w:before="0" w:after="0" w:line="362" w:lineRule="auto"/>
        <w:ind w:left="289" w:right="1820" w:firstLine="838"/>
        <w:jc w:val="both"/>
        <w:rPr>
          <w:sz w:val="42"/>
        </w:rPr>
      </w:pPr>
      <w:r>
        <w:rPr>
          <w:sz w:val="42"/>
        </w:rPr>
        <w:t>为保证基础顶面的一次成形,本工程不允许二次抹面,在浇制过程中</w:t>
      </w:r>
      <w:r>
        <w:rPr>
          <w:spacing w:val="-17"/>
          <w:sz w:val="42"/>
        </w:rPr>
        <w:t>必须使用经纬仪操平；浇完后，对基础顶面要及时进行抹面收浆,使基础表面</w:t>
      </w:r>
      <w:r>
        <w:rPr>
          <w:sz w:val="42"/>
        </w:rPr>
        <w:t>平整光滑。</w:t>
      </w:r>
    </w:p>
    <w:p>
      <w:pPr>
        <w:pStyle w:val="BodyText"/>
        <w:spacing w:line="531" w:lineRule="exact"/>
        <w:ind w:left="289"/>
      </w:pPr>
      <w:r>
        <w:t>7、预偏值基础的规定：</w:t>
      </w:r>
    </w:p>
    <w:p>
      <w:pPr>
        <w:pStyle w:val="BodyText"/>
        <w:spacing w:before="267" w:line="362" w:lineRule="auto"/>
        <w:ind w:left="289" w:right="1708" w:firstLine="838"/>
        <w:jc w:val="both"/>
      </w:pPr>
      <w:r>
        <w:t>⑴转角塔内角侧、终端塔的线路侧基础顶面比外角侧、构架侧基础顶面</w:t>
      </w:r>
      <w:r>
        <w:rPr>
          <w:spacing w:val="-1"/>
        </w:rPr>
        <w:t>标高高出值：转角塔：转角＜</w:t>
      </w:r>
      <w:r>
        <w:rPr>
          <w:spacing w:val="-4"/>
        </w:rPr>
        <w:t>15</w:t>
      </w:r>
      <w:r>
        <w:rPr>
          <w:spacing w:val="-2"/>
        </w:rPr>
        <w:t>°时取</w:t>
      </w:r>
      <w:r>
        <w:t>Δh=3</w:t>
      </w:r>
      <w:r>
        <w:rPr>
          <w:spacing w:val="2"/>
        </w:rPr>
        <w:t xml:space="preserve">‰×基础根开 </w:t>
      </w:r>
      <w:r>
        <w:t>mm，15≤转角＜ 30°时取Δh=3</w:t>
      </w:r>
      <w:r>
        <w:rPr>
          <w:spacing w:val="-14"/>
        </w:rPr>
        <w:t xml:space="preserve">‰×基础根开 </w:t>
      </w:r>
      <w:r>
        <w:t>mm，30≤转角＜60°时取Δh=5</w:t>
      </w:r>
      <w:r>
        <w:rPr>
          <w:spacing w:val="-3"/>
        </w:rPr>
        <w:t xml:space="preserve">‰×基础根开， </w:t>
      </w:r>
      <w:r>
        <w:t>转角≥60°或终端塔时取</w:t>
      </w:r>
      <w:r>
        <w:rPr>
          <w:spacing w:val="-3"/>
        </w:rPr>
        <w:t>Δh=7</w:t>
      </w:r>
      <w:r>
        <w:rPr>
          <w:spacing w:val="15"/>
        </w:rPr>
        <w:t>‰×基础根开</w:t>
      </w:r>
      <w:r>
        <w:t>mm</w:t>
      </w:r>
      <w:r>
        <w:rPr>
          <w:spacing w:val="-28"/>
        </w:rPr>
        <w:t>。每基铁塔的预偏值详见《基</w:t>
      </w:r>
      <w:r>
        <w:rPr>
          <w:spacing w:val="-52"/>
        </w:rPr>
        <w:t>础浇制资料》。</w:t>
      </w:r>
    </w:p>
    <w:p>
      <w:pPr>
        <w:pStyle w:val="BodyText"/>
        <w:spacing w:line="526" w:lineRule="exact"/>
        <w:ind w:left="1128"/>
      </w:pPr>
      <w:r>
        <w:t>⑵下压基础提高值后，地螺外露长度需满足设计要求，四个基础主柱顶</w:t>
      </w:r>
    </w:p>
    <w:p>
      <w:pPr>
        <w:pStyle w:val="BodyText"/>
        <w:spacing w:before="272"/>
        <w:ind w:left="289"/>
      </w:pPr>
      <w:r>
        <w:t>面须在同一斜平面内。如下图:</w:t>
      </w:r>
    </w:p>
    <w:p>
      <w:pPr>
        <w:spacing w:after="0"/>
        <w:sectPr>
          <w:headerReference w:type="default" r:id="rId42"/>
          <w:footerReference w:type="default" r:id="rId43"/>
          <w:pgSz w:w="17860" w:h="25270"/>
          <w:pgMar w:top="1620" w:right="120" w:bottom="2040" w:left="1760" w:header="960" w:footer="1839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tabs>
          <w:tab w:val="left" w:pos="8148"/>
        </w:tabs>
        <w:spacing w:line="240" w:lineRule="auto"/>
        <w:ind w:left="168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128287" cy="1824227"/>
            <wp:effectExtent l="0" t="0" r="0" b="0"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8287" cy="1824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position w:val="21"/>
          <w:sz w:val="20"/>
        </w:rPr>
        <w:drawing>
          <wp:inline distT="0" distB="0" distL="0" distR="0">
            <wp:extent cx="2027007" cy="1976247"/>
            <wp:effectExtent l="0" t="0" r="0" b="0"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7007" cy="197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9740"/>
        </w:tabs>
        <w:spacing w:before="42"/>
        <w:ind w:left="3017"/>
      </w:pPr>
      <w:r>
        <w:t>错误</w:t>
        <w:tab/>
        <w:t>正确</w:t>
      </w:r>
    </w:p>
    <w:p>
      <w:pPr>
        <w:pStyle w:val="BodyText"/>
        <w:spacing w:before="265"/>
        <w:ind w:left="289"/>
      </w:pPr>
      <w:r>
        <w:t>8、试块制作</w:t>
      </w:r>
    </w:p>
    <w:p>
      <w:pPr>
        <w:pStyle w:val="BodyText"/>
        <w:spacing w:before="4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59" w:after="0" w:line="369" w:lineRule="auto"/>
        <w:ind w:left="919" w:right="1820" w:hanging="630"/>
        <w:jc w:val="left"/>
        <w:rPr>
          <w:sz w:val="42"/>
        </w:rPr>
      </w:pPr>
      <w:r>
        <w:rPr>
          <w:spacing w:val="-30"/>
          <w:sz w:val="42"/>
        </w:rPr>
        <w:t>基础混凝土强度，应以试块为依据。本工程混凝土试块制作按《</w:t>
      </w:r>
      <w:r>
        <w:rPr>
          <w:spacing w:val="-3"/>
          <w:sz w:val="42"/>
        </w:rPr>
        <w:t xml:space="preserve">110～500kV </w:t>
      </w:r>
      <w:r>
        <w:rPr>
          <w:sz w:val="42"/>
        </w:rPr>
        <w:t>架空电力线路施工及验收规范</w:t>
      </w:r>
      <w:r>
        <w:rPr>
          <w:spacing w:val="-228"/>
          <w:sz w:val="42"/>
        </w:rPr>
        <w:t>》</w:t>
      </w:r>
      <w:r>
        <w:rPr>
          <w:sz w:val="42"/>
        </w:rPr>
        <w:t>（GB50233-2005）</w:t>
      </w:r>
      <w:r>
        <w:rPr>
          <w:spacing w:val="-52"/>
          <w:sz w:val="42"/>
        </w:rPr>
        <w:t xml:space="preserve">第 </w:t>
      </w:r>
      <w:r>
        <w:rPr>
          <w:sz w:val="42"/>
        </w:rPr>
        <w:t>5.2.6</w:t>
      </w:r>
      <w:r>
        <w:rPr>
          <w:spacing w:val="-22"/>
          <w:sz w:val="42"/>
        </w:rPr>
        <w:t xml:space="preserve"> 条执行。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0" w:after="0" w:line="501" w:lineRule="exact"/>
        <w:ind w:left="919" w:right="0" w:hanging="631"/>
        <w:jc w:val="left"/>
        <w:rPr>
          <w:sz w:val="42"/>
        </w:rPr>
      </w:pPr>
      <w:r>
        <w:rPr>
          <w:spacing w:val="-1"/>
          <w:w w:val="100"/>
          <w:sz w:val="42"/>
        </w:rPr>
        <w:t>试块尺寸：</w:t>
      </w:r>
      <w:r>
        <w:rPr>
          <w:w w:val="100"/>
          <w:sz w:val="42"/>
        </w:rPr>
        <w:t>15</w:t>
      </w:r>
      <w:r>
        <w:rPr>
          <w:spacing w:val="-6"/>
          <w:w w:val="100"/>
          <w:sz w:val="42"/>
        </w:rPr>
        <w:t>0</w:t>
      </w:r>
      <w:r>
        <w:rPr>
          <w:w w:val="100"/>
          <w:sz w:val="42"/>
        </w:rPr>
        <w:t>×15</w:t>
      </w:r>
      <w:r>
        <w:rPr>
          <w:spacing w:val="-2"/>
          <w:w w:val="100"/>
          <w:sz w:val="42"/>
        </w:rPr>
        <w:t>0</w:t>
      </w:r>
      <w:r>
        <w:rPr>
          <w:w w:val="100"/>
          <w:sz w:val="42"/>
        </w:rPr>
        <w:t>×15</w:t>
      </w:r>
      <w:r>
        <w:rPr>
          <w:spacing w:val="-2"/>
          <w:w w:val="100"/>
          <w:sz w:val="42"/>
        </w:rPr>
        <w:t>0</w:t>
      </w:r>
      <w:r>
        <w:rPr>
          <w:w w:val="100"/>
          <w:sz w:val="42"/>
        </w:rPr>
        <w:t>（m</w:t>
      </w:r>
      <w:r>
        <w:rPr>
          <w:spacing w:val="-4"/>
          <w:w w:val="100"/>
          <w:sz w:val="42"/>
        </w:rPr>
        <w:t>m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，每组</w:t>
      </w:r>
      <w:r>
        <w:rPr>
          <w:spacing w:val="-109"/>
          <w:sz w:val="42"/>
        </w:rPr>
        <w:t xml:space="preserve"> </w:t>
      </w:r>
      <w:r>
        <w:rPr>
          <w:w w:val="100"/>
          <w:sz w:val="42"/>
        </w:rPr>
        <w:t>3</w:t>
      </w:r>
      <w:r>
        <w:rPr>
          <w:spacing w:val="-108"/>
          <w:sz w:val="42"/>
        </w:rPr>
        <w:t xml:space="preserve"> </w:t>
      </w:r>
      <w:r>
        <w:rPr>
          <w:w w:val="100"/>
          <w:sz w:val="42"/>
        </w:rPr>
        <w:t>个。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72" w:after="0" w:line="240" w:lineRule="auto"/>
        <w:ind w:left="919" w:right="0" w:hanging="631"/>
        <w:jc w:val="left"/>
        <w:rPr>
          <w:sz w:val="42"/>
        </w:rPr>
      </w:pPr>
      <w:r>
        <w:rPr>
          <w:sz w:val="42"/>
        </w:rPr>
        <w:t>试块应在浇制现场制作，其养护条件应与基础相同。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72" w:after="0" w:line="369" w:lineRule="auto"/>
        <w:ind w:left="919" w:right="1823" w:hanging="630"/>
        <w:jc w:val="left"/>
        <w:rPr>
          <w:sz w:val="42"/>
        </w:rPr>
      </w:pPr>
      <w:r>
        <w:rPr>
          <w:spacing w:val="-16"/>
          <w:sz w:val="42"/>
        </w:rPr>
        <w:t>转角、耐张、直线小转角基础每基一组；一般直线塔基础，同一施工班组</w:t>
      </w:r>
      <w:r>
        <w:rPr>
          <w:spacing w:val="-53"/>
          <w:sz w:val="42"/>
        </w:rPr>
        <w:t xml:space="preserve">每 </w:t>
      </w:r>
      <w:r>
        <w:rPr>
          <w:sz w:val="42"/>
        </w:rPr>
        <w:t>5</w:t>
      </w:r>
      <w:r>
        <w:rPr>
          <w:spacing w:val="-36"/>
          <w:sz w:val="42"/>
        </w:rPr>
        <w:t xml:space="preserve"> 基或不满 </w:t>
      </w:r>
      <w:r>
        <w:rPr>
          <w:sz w:val="42"/>
        </w:rPr>
        <w:t>5</w:t>
      </w:r>
      <w:r>
        <w:rPr>
          <w:spacing w:val="-22"/>
          <w:sz w:val="42"/>
        </w:rPr>
        <w:t xml:space="preserve"> 基一组。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0" w:after="0" w:line="501" w:lineRule="exact"/>
        <w:ind w:left="919" w:right="0" w:hanging="631"/>
        <w:jc w:val="left"/>
        <w:rPr>
          <w:sz w:val="42"/>
        </w:rPr>
      </w:pPr>
      <w:r>
        <w:rPr>
          <w:sz w:val="42"/>
        </w:rPr>
        <w:t>岩石基础每基混凝土为一组。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72" w:after="0" w:line="240" w:lineRule="auto"/>
        <w:ind w:left="919" w:right="0" w:hanging="631"/>
        <w:jc w:val="left"/>
        <w:rPr>
          <w:sz w:val="42"/>
        </w:rPr>
      </w:pPr>
      <w:r>
        <w:rPr>
          <w:sz w:val="42"/>
        </w:rPr>
        <w:t>试块编号为杆塔号，制作时须记录试块所代表的塔号。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72" w:after="0" w:line="240" w:lineRule="auto"/>
        <w:ind w:left="919" w:right="0" w:hanging="631"/>
        <w:jc w:val="left"/>
        <w:rPr>
          <w:sz w:val="42"/>
        </w:rPr>
      </w:pPr>
      <w:r>
        <w:rPr>
          <w:sz w:val="42"/>
        </w:rPr>
        <w:t>试块制作时应在试块上标明制作日期、塔号及混凝土等级。</w:t>
      </w:r>
    </w:p>
    <w:p>
      <w:pPr>
        <w:pStyle w:val="ListParagraph"/>
        <w:numPr>
          <w:ilvl w:val="0"/>
          <w:numId w:val="12"/>
        </w:numPr>
        <w:tabs>
          <w:tab w:val="left" w:pos="919"/>
          <w:tab w:val="left" w:pos="920"/>
        </w:tabs>
        <w:spacing w:before="271" w:after="0" w:line="240" w:lineRule="auto"/>
        <w:ind w:left="919" w:right="0" w:hanging="631"/>
        <w:jc w:val="left"/>
        <w:rPr>
          <w:sz w:val="42"/>
        </w:rPr>
      </w:pPr>
      <w:r>
        <w:rPr>
          <w:sz w:val="42"/>
        </w:rPr>
        <w:t>铁塔基础试块制作塔号情况如下：</w:t>
      </w:r>
    </w:p>
    <w:p>
      <w:pPr>
        <w:spacing w:before="250" w:line="345" w:lineRule="auto"/>
        <w:ind w:left="289" w:right="1755" w:firstLine="842"/>
        <w:jc w:val="left"/>
        <w:rPr>
          <w:b/>
          <w:sz w:val="44"/>
        </w:rPr>
      </w:pPr>
      <w:r>
        <w:rPr>
          <w:b/>
          <w:sz w:val="44"/>
        </w:rPr>
        <w:t>葛山、白沙破口段：耐张铁塔每基制作一组</w:t>
      </w:r>
      <w:r>
        <w:rPr>
          <w:b/>
          <w:spacing w:val="-394"/>
          <w:sz w:val="44"/>
        </w:rPr>
        <w:t>即</w:t>
      </w:r>
      <w:r>
        <w:rPr>
          <w:b/>
          <w:spacing w:val="-14"/>
          <w:sz w:val="44"/>
        </w:rPr>
        <w:t>1</w:t>
      </w:r>
      <w:r>
        <w:rPr>
          <w:b/>
          <w:spacing w:val="-26"/>
          <w:sz w:val="44"/>
        </w:rPr>
        <w:t>#、</w:t>
      </w:r>
      <w:r>
        <w:rPr>
          <w:b/>
          <w:spacing w:val="-14"/>
          <w:sz w:val="44"/>
        </w:rPr>
        <w:t>4</w:t>
      </w:r>
      <w:r>
        <w:rPr>
          <w:b/>
          <w:spacing w:val="-26"/>
          <w:sz w:val="44"/>
        </w:rPr>
        <w:t>#、</w:t>
      </w:r>
      <w:r>
        <w:rPr>
          <w:b/>
          <w:spacing w:val="-13"/>
          <w:sz w:val="44"/>
        </w:rPr>
        <w:t>6</w:t>
      </w:r>
      <w:r>
        <w:rPr>
          <w:b/>
          <w:spacing w:val="-26"/>
          <w:sz w:val="44"/>
        </w:rPr>
        <w:t>#、</w:t>
      </w:r>
      <w:r>
        <w:rPr>
          <w:b/>
          <w:spacing w:val="-14"/>
          <w:sz w:val="44"/>
        </w:rPr>
        <w:t>7</w:t>
      </w:r>
      <w:r>
        <w:rPr>
          <w:b/>
          <w:spacing w:val="-26"/>
          <w:sz w:val="44"/>
        </w:rPr>
        <w:t>#、</w:t>
      </w:r>
      <w:r>
        <w:rPr>
          <w:b/>
          <w:spacing w:val="-9"/>
          <w:sz w:val="44"/>
        </w:rPr>
        <w:t>8</w:t>
      </w:r>
      <w:r>
        <w:rPr>
          <w:b/>
          <w:spacing w:val="-10"/>
          <w:sz w:val="44"/>
        </w:rPr>
        <w:t>#，直</w:t>
      </w:r>
      <w:r>
        <w:rPr>
          <w:b/>
          <w:spacing w:val="-8"/>
          <w:sz w:val="44"/>
        </w:rPr>
        <w:t>线塔制作一组即</w:t>
      </w:r>
      <w:r>
        <w:rPr>
          <w:b/>
          <w:spacing w:val="-14"/>
          <w:sz w:val="44"/>
        </w:rPr>
        <w:t>2</w:t>
      </w:r>
      <w:r>
        <w:rPr>
          <w:b/>
          <w:spacing w:val="-18"/>
          <w:sz w:val="44"/>
        </w:rPr>
        <w:t>#、</w:t>
      </w:r>
      <w:r>
        <w:rPr>
          <w:b/>
          <w:spacing w:val="-12"/>
          <w:sz w:val="44"/>
        </w:rPr>
        <w:t>3</w:t>
      </w:r>
      <w:r>
        <w:rPr>
          <w:b/>
          <w:spacing w:val="-18"/>
          <w:sz w:val="44"/>
        </w:rPr>
        <w:t>#、</w:t>
      </w:r>
      <w:r>
        <w:rPr>
          <w:b/>
          <w:spacing w:val="-14"/>
          <w:sz w:val="44"/>
        </w:rPr>
        <w:t>5</w:t>
      </w:r>
      <w:r>
        <w:rPr>
          <w:b/>
          <w:spacing w:val="-5"/>
          <w:sz w:val="44"/>
        </w:rPr>
        <w:t>#三基塔制作</w:t>
      </w:r>
      <w:r>
        <w:rPr>
          <w:b/>
          <w:sz w:val="44"/>
        </w:rPr>
        <w:t>1</w:t>
      </w:r>
      <w:r>
        <w:rPr>
          <w:b/>
          <w:spacing w:val="-44"/>
          <w:sz w:val="44"/>
        </w:rPr>
        <w:t xml:space="preserve"> 组。</w:t>
      </w:r>
    </w:p>
    <w:p>
      <w:pPr>
        <w:spacing w:before="0" w:line="338" w:lineRule="auto"/>
        <w:ind w:left="289" w:right="1679" w:firstLine="838"/>
        <w:jc w:val="left"/>
        <w:rPr>
          <w:b/>
          <w:sz w:val="44"/>
        </w:rPr>
      </w:pPr>
      <w:r>
        <w:rPr>
          <w:b/>
          <w:spacing w:val="-29"/>
          <w:sz w:val="42"/>
        </w:rPr>
        <w:t xml:space="preserve">清江 </w:t>
      </w:r>
      <w:r>
        <w:rPr>
          <w:b/>
          <w:sz w:val="42"/>
        </w:rPr>
        <w:t>I</w:t>
      </w:r>
      <w:r>
        <w:rPr>
          <w:b/>
          <w:spacing w:val="-26"/>
          <w:sz w:val="42"/>
        </w:rPr>
        <w:t>、</w:t>
      </w:r>
      <w:r>
        <w:rPr>
          <w:b/>
          <w:sz w:val="42"/>
        </w:rPr>
        <w:t>II</w:t>
      </w:r>
      <w:r>
        <w:rPr>
          <w:b/>
          <w:spacing w:val="-21"/>
          <w:sz w:val="42"/>
        </w:rPr>
        <w:t xml:space="preserve"> 回破口段：</w:t>
      </w:r>
      <w:r>
        <w:rPr>
          <w:b/>
          <w:spacing w:val="-14"/>
          <w:position w:val="2"/>
          <w:sz w:val="44"/>
        </w:rPr>
        <w:t>耐张铁塔每基制作一组即1</w:t>
      </w:r>
      <w:r>
        <w:rPr>
          <w:b/>
          <w:spacing w:val="-30"/>
          <w:position w:val="2"/>
          <w:sz w:val="44"/>
        </w:rPr>
        <w:t>#、</w:t>
      </w:r>
      <w:r>
        <w:rPr>
          <w:b/>
          <w:spacing w:val="-14"/>
          <w:position w:val="2"/>
          <w:sz w:val="44"/>
        </w:rPr>
        <w:t>8</w:t>
      </w:r>
      <w:r>
        <w:rPr>
          <w:b/>
          <w:spacing w:val="-29"/>
          <w:position w:val="2"/>
          <w:sz w:val="44"/>
        </w:rPr>
        <w:t>#、</w:t>
      </w:r>
      <w:r>
        <w:rPr>
          <w:b/>
          <w:spacing w:val="-9"/>
          <w:position w:val="2"/>
          <w:sz w:val="44"/>
        </w:rPr>
        <w:t>9</w:t>
      </w:r>
      <w:r>
        <w:rPr>
          <w:b/>
          <w:spacing w:val="-6"/>
          <w:position w:val="2"/>
          <w:sz w:val="44"/>
        </w:rPr>
        <w:t>#，直线塔制</w:t>
      </w:r>
      <w:r>
        <w:rPr>
          <w:b/>
          <w:spacing w:val="3"/>
          <w:sz w:val="44"/>
        </w:rPr>
        <w:t>作两组即</w:t>
      </w:r>
      <w:r>
        <w:rPr>
          <w:b/>
          <w:spacing w:val="-14"/>
          <w:sz w:val="44"/>
        </w:rPr>
        <w:t>2</w:t>
      </w:r>
      <w:r>
        <w:rPr>
          <w:b/>
          <w:spacing w:val="-17"/>
          <w:sz w:val="44"/>
        </w:rPr>
        <w:t>#、</w:t>
      </w:r>
      <w:r>
        <w:rPr>
          <w:b/>
          <w:spacing w:val="-14"/>
          <w:sz w:val="44"/>
        </w:rPr>
        <w:t>3</w:t>
      </w:r>
      <w:r>
        <w:rPr>
          <w:b/>
          <w:spacing w:val="-24"/>
          <w:sz w:val="44"/>
        </w:rPr>
        <w:t>#两基塔制作一组、</w:t>
      </w:r>
      <w:r>
        <w:rPr>
          <w:b/>
          <w:spacing w:val="-15"/>
          <w:sz w:val="44"/>
        </w:rPr>
        <w:t>5</w:t>
      </w:r>
      <w:r>
        <w:rPr>
          <w:b/>
          <w:spacing w:val="-19"/>
          <w:sz w:val="44"/>
        </w:rPr>
        <w:t>#、</w:t>
      </w:r>
      <w:r>
        <w:rPr>
          <w:b/>
          <w:spacing w:val="-12"/>
          <w:sz w:val="44"/>
        </w:rPr>
        <w:t>6</w:t>
      </w:r>
      <w:r>
        <w:rPr>
          <w:b/>
          <w:spacing w:val="-18"/>
          <w:sz w:val="44"/>
        </w:rPr>
        <w:t>#、</w:t>
      </w:r>
      <w:r>
        <w:rPr>
          <w:b/>
          <w:spacing w:val="-14"/>
          <w:sz w:val="44"/>
        </w:rPr>
        <w:t>7</w:t>
      </w:r>
      <w:r>
        <w:rPr>
          <w:b/>
          <w:spacing w:val="-4"/>
          <w:sz w:val="44"/>
        </w:rPr>
        <w:t>#三基制作一组。</w:t>
      </w:r>
    </w:p>
    <w:p>
      <w:pPr>
        <w:pStyle w:val="BodyText"/>
        <w:spacing w:before="52"/>
        <w:ind w:left="289"/>
      </w:pPr>
      <w:r>
        <w:pict>
          <v:group id="_x0000_s1071" style="width:697pt;height:133pt;margin-top:34.26pt;margin-left:109pt;mso-position-horizontal-relative:page;position:absolute;z-index:-251648000" coordorigin="2180,685" coordsize="13940,2660">
            <v:shape id="_x0000_s1072" type="#_x0000_t75" style="width:13940;height:2660;left:2180;position:absolute;top:685" stroked="f">
              <v:imagedata r:id="rId46" o:title=""/>
            </v:shape>
            <v:shape id="_x0000_s1073" type="#_x0000_t202" style="width:740;height:900;left:2398;position:absolute;top:92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混凝</w:t>
                    </w:r>
                  </w:p>
                  <w:p>
                    <w:pPr>
                      <w:spacing w:before="7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土标</w:t>
                    </w:r>
                  </w:p>
                </w:txbxContent>
              </v:textbox>
            </v:shape>
            <v:shape id="_x0000_s1074" type="#_x0000_t202" style="width:740;height:900;left:3499;position:absolute;top:119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水泥</w:t>
                    </w:r>
                  </w:p>
                  <w:p>
                    <w:pPr>
                      <w:spacing w:before="7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标号</w:t>
                    </w:r>
                  </w:p>
                </w:txbxContent>
              </v:textbox>
            </v:shape>
            <v:shape id="_x0000_s1075" type="#_x0000_t202" style="width:1100;height:360;left:5602;position:absolute;top:9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配合比</w:t>
                    </w:r>
                  </w:p>
                </w:txbxContent>
              </v:textbox>
            </v:shape>
            <v:shape id="_x0000_s1076" type="#_x0000_t202" style="width:2541;height:360;left:8742;position:absolute;top:9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每板用料量(kg)</w:t>
                    </w:r>
                  </w:p>
                </w:txbxContent>
              </v:textbox>
            </v:shape>
            <v:shape id="_x0000_s1077" type="#_x0000_t202" style="width:2181;height:360;left:13016;position:absolute;top:9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每方用量(kg)</w:t>
                    </w:r>
                  </w:p>
                </w:txbxContent>
              </v:textbox>
            </v:shape>
            <v:shape id="_x0000_s1078" type="#_x0000_t202" style="width:2361;height:360;left:4972;position:absolute;top:1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水泥:水:砂:石</w:t>
                    </w:r>
                  </w:p>
                </w:txbxContent>
              </v:textbox>
            </v:shape>
            <v:shape id="_x0000_s1079" type="#_x0000_t202" style="width:380;height:360;left:8169;position:absolute;top:15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</w:t>
                    </w:r>
                  </w:p>
                </w:txbxContent>
              </v:textbox>
            </v:shape>
            <v:shape id="_x0000_s1080" type="#_x0000_t202" style="width:380;height:360;left:9192;position:absolute;top:1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</w:t>
                    </w:r>
                  </w:p>
                </w:txbxContent>
              </v:textbox>
            </v:shape>
            <v:shape id="_x0000_s1081" type="#_x0000_t202" style="width:380;height:360;left:10377;position:absolute;top:1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砂</w:t>
                    </w:r>
                  </w:p>
                </w:txbxContent>
              </v:textbox>
            </v:shape>
            <v:shape id="_x0000_s1082" type="#_x0000_t202" style="width:380;height:360;left:11478;position:absolute;top:1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石</w:t>
                    </w:r>
                  </w:p>
                </w:txbxContent>
              </v:textbox>
            </v:shape>
            <v:shape id="_x0000_s1083" type="#_x0000_t202" style="width:380;height:360;left:12422;position:absolute;top:15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</w:t>
                    </w:r>
                  </w:p>
                </w:txbxContent>
              </v:textbox>
            </v:shape>
            <v:shape id="_x0000_s1084" type="#_x0000_t202" style="width:380;height:360;left:13369;position:absolute;top:1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</w:t>
                    </w:r>
                  </w:p>
                </w:txbxContent>
              </v:textbox>
            </v:shape>
            <v:shape id="_x0000_s1085" type="#_x0000_t202" style="width:380;height:360;left:14313;position:absolute;top:1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砂</w:t>
                    </w:r>
                  </w:p>
                </w:txbxContent>
              </v:textbox>
            </v:shape>
            <v:shape id="_x0000_s1086" type="#_x0000_t202" style="width:380;height:360;left:15335;position:absolute;top:1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石</w:t>
                    </w:r>
                  </w:p>
                </w:txbxContent>
              </v:textbox>
            </v:shape>
          </v:group>
        </w:pict>
      </w:r>
      <w:r>
        <w:t>9、 混凝土配合比及搅拌配料列下表：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tbl>
      <w:tblPr>
        <w:tblStyle w:val="TableNormal0"/>
        <w:tblW w:w="0" w:type="auto"/>
        <w:jc w:val="left"/>
        <w:tblInd w:w="6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0"/>
        <w:gridCol w:w="1162"/>
        <w:gridCol w:w="3474"/>
        <w:gridCol w:w="964"/>
        <w:gridCol w:w="973"/>
        <w:gridCol w:w="1340"/>
        <w:gridCol w:w="942"/>
        <w:gridCol w:w="944"/>
        <w:gridCol w:w="944"/>
        <w:gridCol w:w="938"/>
        <w:gridCol w:w="912"/>
      </w:tblGrid>
      <w:tr>
        <w:tblPrEx>
          <w:tblW w:w="0" w:type="auto"/>
          <w:jc w:val="left"/>
          <w:tblInd w:w="69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820" w:type="dxa"/>
          </w:tcPr>
          <w:p>
            <w:pPr>
              <w:pStyle w:val="TableParagraph"/>
              <w:spacing w:before="0" w:line="339" w:lineRule="exact"/>
              <w:ind w:right="199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sz w:val="36"/>
              </w:rPr>
              <w:t>号</w:t>
            </w: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34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964" w:type="dxa"/>
          </w:tcPr>
          <w:p>
            <w:pPr>
              <w:pStyle w:val="TableParagraph"/>
              <w:spacing w:before="0" w:line="411" w:lineRule="exact"/>
              <w:ind w:left="264"/>
              <w:jc w:val="left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sz w:val="36"/>
              </w:rPr>
              <w:t>泥</w:t>
            </w:r>
          </w:p>
        </w:tc>
        <w:tc>
          <w:tcPr>
            <w:tcW w:w="9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9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944" w:type="dxa"/>
          </w:tcPr>
          <w:p>
            <w:pPr>
              <w:pStyle w:val="TableParagraph"/>
              <w:spacing w:before="0" w:line="411" w:lineRule="exact"/>
              <w:ind w:left="11"/>
              <w:rPr>
                <w:rFonts w:ascii="楷体" w:eastAsia="楷体" w:hint="eastAsia"/>
                <w:sz w:val="36"/>
              </w:rPr>
            </w:pPr>
            <w:r>
              <w:rPr>
                <w:rFonts w:ascii="楷体" w:eastAsia="楷体" w:hint="eastAsia"/>
                <w:sz w:val="36"/>
              </w:rPr>
              <w:t>泥</w:t>
            </w:r>
          </w:p>
        </w:tc>
        <w:tc>
          <w:tcPr>
            <w:tcW w:w="2794" w:type="dxa"/>
            <w:gridSpan w:val="3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9"/>
          <w:jc w:val="left"/>
        </w:trPr>
        <w:tc>
          <w:tcPr>
            <w:tcW w:w="820" w:type="dxa"/>
          </w:tcPr>
          <w:p>
            <w:pPr>
              <w:pStyle w:val="TableParagraph"/>
              <w:spacing w:before="147" w:line="422" w:lineRule="exact"/>
              <w:ind w:left="30" w:right="209"/>
              <w:rPr>
                <w:rFonts w:ascii="楷体"/>
                <w:sz w:val="36"/>
              </w:rPr>
            </w:pPr>
            <w:r>
              <w:rPr>
                <w:rFonts w:ascii="楷体"/>
                <w:sz w:val="36"/>
              </w:rPr>
              <w:t>C20</w:t>
            </w:r>
          </w:p>
        </w:tc>
        <w:tc>
          <w:tcPr>
            <w:tcW w:w="1162" w:type="dxa"/>
          </w:tcPr>
          <w:p>
            <w:pPr>
              <w:pStyle w:val="TableParagraph"/>
              <w:spacing w:before="147" w:line="422" w:lineRule="exact"/>
              <w:ind w:left="230"/>
              <w:jc w:val="left"/>
              <w:rPr>
                <w:rFonts w:ascii="楷体"/>
                <w:sz w:val="36"/>
              </w:rPr>
            </w:pPr>
            <w:r>
              <w:rPr>
                <w:rFonts w:ascii="楷体"/>
                <w:sz w:val="36"/>
              </w:rPr>
              <w:t>42.5</w:t>
            </w:r>
          </w:p>
        </w:tc>
        <w:tc>
          <w:tcPr>
            <w:tcW w:w="3474" w:type="dxa"/>
          </w:tcPr>
          <w:p>
            <w:pPr>
              <w:pStyle w:val="TableParagraph"/>
              <w:spacing w:before="234" w:line="335" w:lineRule="exact"/>
              <w:ind w:left="213"/>
              <w:jc w:val="left"/>
              <w:rPr>
                <w:rFonts w:ascii="楷体" w:eastAsia="楷体" w:hint="eastAsia"/>
                <w:sz w:val="31"/>
              </w:rPr>
            </w:pPr>
            <w:r>
              <w:rPr>
                <w:rFonts w:ascii="楷体" w:eastAsia="楷体" w:hint="eastAsia"/>
                <w:sz w:val="31"/>
              </w:rPr>
              <w:t>1：0.58：2.11：4.28</w:t>
            </w:r>
          </w:p>
        </w:tc>
        <w:tc>
          <w:tcPr>
            <w:tcW w:w="964" w:type="dxa"/>
          </w:tcPr>
          <w:p>
            <w:pPr>
              <w:pStyle w:val="TableParagraph"/>
              <w:spacing w:before="234" w:line="335" w:lineRule="exact"/>
              <w:ind w:left="286"/>
              <w:jc w:val="left"/>
              <w:rPr>
                <w:rFonts w:ascii="楷体"/>
                <w:sz w:val="31"/>
              </w:rPr>
            </w:pPr>
            <w:r>
              <w:rPr>
                <w:rFonts w:ascii="楷体"/>
                <w:sz w:val="31"/>
              </w:rPr>
              <w:t>50</w:t>
            </w:r>
          </w:p>
        </w:tc>
        <w:tc>
          <w:tcPr>
            <w:tcW w:w="973" w:type="dxa"/>
          </w:tcPr>
          <w:p>
            <w:pPr>
              <w:pStyle w:val="TableParagraph"/>
              <w:spacing w:before="234" w:line="335" w:lineRule="exact"/>
              <w:ind w:left="344"/>
              <w:jc w:val="left"/>
              <w:rPr>
                <w:rFonts w:ascii="楷体"/>
                <w:sz w:val="31"/>
              </w:rPr>
            </w:pPr>
            <w:r>
              <w:rPr>
                <w:rFonts w:ascii="楷体"/>
                <w:sz w:val="31"/>
              </w:rPr>
              <w:t>29</w:t>
            </w:r>
          </w:p>
        </w:tc>
        <w:tc>
          <w:tcPr>
            <w:tcW w:w="1340" w:type="dxa"/>
          </w:tcPr>
          <w:p>
            <w:pPr>
              <w:pStyle w:val="TableParagraph"/>
              <w:spacing w:before="234" w:line="335" w:lineRule="exact"/>
              <w:ind w:left="319"/>
              <w:jc w:val="left"/>
              <w:rPr>
                <w:rFonts w:ascii="楷体"/>
                <w:sz w:val="31"/>
              </w:rPr>
            </w:pPr>
            <w:r>
              <w:rPr>
                <w:rFonts w:ascii="楷体"/>
                <w:sz w:val="31"/>
              </w:rPr>
              <w:t>105.5</w:t>
            </w:r>
          </w:p>
        </w:tc>
        <w:tc>
          <w:tcPr>
            <w:tcW w:w="942" w:type="dxa"/>
          </w:tcPr>
          <w:p>
            <w:pPr>
              <w:pStyle w:val="TableParagraph"/>
              <w:spacing w:before="234" w:line="335" w:lineRule="exact"/>
              <w:ind w:left="239"/>
              <w:jc w:val="left"/>
              <w:rPr>
                <w:rFonts w:ascii="楷体"/>
                <w:sz w:val="31"/>
              </w:rPr>
            </w:pPr>
            <w:r>
              <w:rPr>
                <w:rFonts w:ascii="楷体"/>
                <w:sz w:val="31"/>
              </w:rPr>
              <w:t>214</w:t>
            </w:r>
          </w:p>
        </w:tc>
        <w:tc>
          <w:tcPr>
            <w:tcW w:w="944" w:type="dxa"/>
          </w:tcPr>
          <w:p>
            <w:pPr>
              <w:pStyle w:val="TableParagraph"/>
              <w:spacing w:before="234" w:line="335" w:lineRule="exact"/>
              <w:ind w:left="225" w:right="214"/>
              <w:rPr>
                <w:rFonts w:ascii="楷体"/>
                <w:sz w:val="31"/>
              </w:rPr>
            </w:pPr>
            <w:r>
              <w:rPr>
                <w:rFonts w:ascii="楷体"/>
                <w:sz w:val="31"/>
              </w:rPr>
              <w:t>301</w:t>
            </w:r>
          </w:p>
        </w:tc>
        <w:tc>
          <w:tcPr>
            <w:tcW w:w="944" w:type="dxa"/>
          </w:tcPr>
          <w:p>
            <w:pPr>
              <w:pStyle w:val="TableParagraph"/>
              <w:spacing w:before="234" w:line="335" w:lineRule="exact"/>
              <w:ind w:left="244"/>
              <w:jc w:val="left"/>
              <w:rPr>
                <w:rFonts w:ascii="楷体"/>
                <w:sz w:val="31"/>
              </w:rPr>
            </w:pPr>
            <w:r>
              <w:rPr>
                <w:rFonts w:ascii="楷体"/>
                <w:sz w:val="31"/>
              </w:rPr>
              <w:t>175</w:t>
            </w:r>
          </w:p>
        </w:tc>
        <w:tc>
          <w:tcPr>
            <w:tcW w:w="938" w:type="dxa"/>
          </w:tcPr>
          <w:p>
            <w:pPr>
              <w:pStyle w:val="TableParagraph"/>
              <w:spacing w:before="234" w:line="335" w:lineRule="exact"/>
              <w:ind w:left="243"/>
              <w:jc w:val="left"/>
              <w:rPr>
                <w:rFonts w:ascii="楷体"/>
                <w:sz w:val="31"/>
              </w:rPr>
            </w:pPr>
            <w:r>
              <w:rPr>
                <w:rFonts w:ascii="楷体"/>
                <w:sz w:val="31"/>
              </w:rPr>
              <w:t>634</w:t>
            </w:r>
          </w:p>
        </w:tc>
        <w:tc>
          <w:tcPr>
            <w:tcW w:w="912" w:type="dxa"/>
          </w:tcPr>
          <w:p>
            <w:pPr>
              <w:pStyle w:val="TableParagraph"/>
              <w:spacing w:before="234" w:line="335" w:lineRule="exact"/>
              <w:ind w:left="241"/>
              <w:jc w:val="left"/>
              <w:rPr>
                <w:rFonts w:ascii="楷体"/>
                <w:sz w:val="31"/>
              </w:rPr>
            </w:pPr>
            <w:r>
              <w:rPr>
                <w:rFonts w:ascii="楷体"/>
                <w:sz w:val="31"/>
              </w:rPr>
              <w:t>1290</w:t>
            </w:r>
          </w:p>
        </w:tc>
      </w:tr>
    </w:tbl>
    <w:p>
      <w:pPr>
        <w:spacing w:after="0" w:line="335" w:lineRule="exact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https://d.book118.com/726101215034010053</w:t>
        </w:r>
      </w:hyperlink>
    </w:p>
    <w:p>
      <w:pPr>
        <w:spacing w:after="0" w:line="335" w:lineRule="exact"/>
        <w:jc w:val="left"/>
        <w:rPr>
          <w:sz w:val="31"/>
        </w:rPr>
      </w:pPr>
    </w:p>
    <w:sectPr>
      <w:headerReference w:type="default" r:id="rId48"/>
      <w:footerReference w:type="default" r:id="rId49"/>
      <w:pgSz w:w="17860" w:h="25270"/>
      <w:pgMar w:top="1620" w:right="120" w:bottom="2040" w:left="1760" w:header="960" w:footer="1839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85pt;height:22.55pt;margin-top:1159.66pt;margin-left:425.4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rPr>
                    <w:rFonts w:ascii="Arial" w:eastAsia="Arial"/>
                    <w:sz w:val="36"/>
                  </w:rPr>
                  <w:t xml:space="preserve">1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2.85pt;height:22.55pt;margin-top:1159.66pt;margin-left:425.4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rPr>
                    <w:rFonts w:ascii="Arial" w:eastAsia="Arial"/>
                    <w:sz w:val="36"/>
                  </w:rPr>
                  <w:t xml:space="preserve">1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.85pt;height:22.55pt;margin-top:1159.66pt;margin-left:425.4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rPr>
                    <w:rFonts w:ascii="Arial" w:eastAsia="Arial"/>
                    <w:sz w:val="36"/>
                  </w:rPr>
                  <w:t xml:space="preserve">1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74.9pt;height:22.55pt;margin-top:1159.66pt;margin-left:420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3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74.9pt;height:22.55pt;margin-top:1159.66pt;margin-left:420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4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4.9pt;height:22.55pt;margin-top:1159.66pt;margin-left:420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5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74.9pt;height:22.55pt;margin-top:1159.66pt;margin-left:420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6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74.9pt;height:22.55pt;margin-top:1159.66pt;margin-left:420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7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74.9pt;height:22.55pt;margin-top:1159.66pt;margin-left:420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8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74.9pt;height:22.55pt;margin-top:1159.66pt;margin-left:420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27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74.9pt;height:22.55pt;margin-top:1159.66pt;margin-left:420.8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27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74.9pt;height:22.55pt;margin-top:1159.66pt;margin-left:420.8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11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74.9pt;height:22.55pt;margin-top:1159.66pt;margin-left:420.8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12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74.9pt;height:22.55pt;margin-top:1159.66pt;margin-left:420.8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13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74.9pt;height:22.55pt;margin-top:1159.66pt;margin-left:420.8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0" w:line="431" w:lineRule="exact"/>
                  <w:ind w:left="20" w:right="0" w:firstLine="0"/>
                  <w:jc w:val="left"/>
                  <w:rPr>
                    <w:rFonts w:ascii="宋体" w:eastAsia="宋体" w:hint="eastAsia"/>
                    <w:sz w:val="36"/>
                  </w:rPr>
                </w:pPr>
                <w:r>
                  <w:rPr>
                    <w:rFonts w:ascii="宋体" w:eastAsia="宋体" w:hint="eastAsia"/>
                    <w:sz w:val="36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6"/>
                  </w:rPr>
                  <w:t>14</w:t>
                </w:r>
                <w:r>
                  <w:fldChar w:fldCharType="end"/>
                </w:r>
                <w:r>
                  <w:rPr>
                    <w:rFonts w:ascii="Arial" w:eastAsia="Arial"/>
                    <w:sz w:val="36"/>
                  </w:rPr>
                  <w:t xml:space="preserve"> </w:t>
                </w:r>
                <w:r>
                  <w:rPr>
                    <w:rFonts w:ascii="宋体" w:eastAsia="宋体" w:hint="eastAsia"/>
                    <w:sz w:val="36"/>
                  </w:rPr>
                  <w:t>页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65.45pt;height:17.85pt;margin-top:51.52pt;margin-left:101.4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50" type="#_x0000_t202" style="width:144.6pt;height:17.85pt;margin-top:51.52pt;margin-left:653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2252141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2141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65.45pt;height:17.85pt;margin-top:51.52pt;margin-left:101.4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53" type="#_x0000_t202" style="width:144.6pt;height:17.85pt;margin-top:51.52pt;margin-left:653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20126712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26712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65.45pt;height:17.85pt;margin-top:51.52pt;margin-left:101.4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56" type="#_x0000_t202" style="width:144.6pt;height:17.85pt;margin-top:51.52pt;margin-left:653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65.45pt;height:17.85pt;margin-top:51.52pt;margin-left:101.4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59" type="#_x0000_t202" style="width:144.6pt;height:17.85pt;margin-top:51.52pt;margin-left:653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365.45pt;height:17.85pt;margin-top:51.52pt;margin-left:101.4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61" type="#_x0000_t202" style="width:144.6pt;height:17.85pt;margin-top:51.52pt;margin-left:653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30153074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153074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365.45pt;height:17.85pt;margin-top:51.52pt;margin-left:101.4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64" type="#_x0000_t202" style="width:144.6pt;height:17.85pt;margin-top:51.52pt;margin-left:653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6336558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36558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365.45pt;height:17.85pt;margin-top:51.52pt;margin-left:101.4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67" type="#_x0000_t202" style="width:144.6pt;height:17.85pt;margin-top:51.52pt;margin-left:653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70375916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375916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365.45pt;height:17.85pt;margin-top:51.52pt;margin-left:101.4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70" type="#_x0000_t202" style="width:144.6pt;height:17.85pt;margin-top:51.52pt;margin-left:653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43063088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063088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365.45pt;height:17.85pt;margin-top:51.52pt;margin-left:101.4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73" type="#_x0000_t202" style="width:144.6pt;height:17.85pt;margin-top:51.52pt;margin-left:653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178224992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24992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365.45pt;height:17.85pt;margin-top:51.52pt;margin-left:101.4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76" type="#_x0000_t202" style="width:144.6pt;height:17.85pt;margin-top:51.52pt;margin-left:653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96186577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6577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365.45pt;height:17.85pt;margin-top:51.52pt;margin-left:101.4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79" type="#_x0000_t202" style="width:144.6pt;height:17.85pt;margin-top:51.52pt;margin-left:653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85259850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259850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365.45pt;height:17.85pt;margin-top:51.52pt;margin-left:101.4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82" type="#_x0000_t202" style="width:144.6pt;height:17.85pt;margin-top:51.52pt;margin-left:653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137235699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35699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365.45pt;height:17.85pt;margin-top:51.52pt;margin-left:101.4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85" type="#_x0000_t202" style="width:144.6pt;height:17.85pt;margin-top:51.52pt;margin-left:653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71794453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94453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365.45pt;height:17.85pt;margin-top:51.52pt;margin-left:101.4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88" type="#_x0000_t202" style="width:144.6pt;height:17.85pt;margin-top:51.52pt;margin-left:653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193727139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727139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365.45pt;height:17.85pt;margin-top:51.52pt;margin-left:101.4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91" type="#_x0000_t202" style="width:144.6pt;height:17.85pt;margin-top:51.52pt;margin-left:653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1270000</wp:posOffset>
          </wp:positionH>
          <wp:positionV relativeFrom="page">
            <wp:posOffset>609600</wp:posOffset>
          </wp:positionV>
          <wp:extent cx="9080500" cy="317500"/>
          <wp:effectExtent l="0" t="0" r="0" b="0"/>
          <wp:wrapNone/>
          <wp:docPr id="29622657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622657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500" cy="317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365.45pt;height:17.85pt;margin-top:51.52pt;margin-left:101.4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清江至葛山、白沙 220kV 双回线路破口进新干变工程</w:t>
                </w:r>
              </w:p>
            </w:txbxContent>
          </v:textbox>
        </v:shape>
      </w:pict>
    </w:r>
    <w:r>
      <w:pict>
        <v:shape id="_x0000_s2094" type="#_x0000_t202" style="width:144.6pt;height:17.85pt;margin-top:51.52pt;margin-left:653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仿宋" w:eastAsia="仿宋" w:hint="eastAsia"/>
                    <w:sz w:val="31"/>
                  </w:rPr>
                </w:pPr>
                <w:r>
                  <w:rPr>
                    <w:rFonts w:ascii="仿宋" w:eastAsia="仿宋" w:hint="eastAsia"/>
                    <w:sz w:val="31"/>
                  </w:rPr>
                  <w:t>基础施工作业指导书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A4F41"/>
    <w:multiLevelType w:val="hybridMultilevel"/>
    <w:tmpl w:val="00000000"/>
    <w:lvl w:ilvl="0">
      <w:start w:val="1"/>
      <w:numFmt w:val="decimal"/>
      <w:lvlText w:val="(%1)"/>
      <w:lvlJc w:val="left"/>
      <w:pPr>
        <w:ind w:left="1760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81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5" w:hanging="633"/>
      </w:pPr>
      <w:rPr>
        <w:rFonts w:hint="default"/>
      </w:rPr>
    </w:lvl>
  </w:abstractNum>
  <w:abstractNum w:abstractNumId="1">
    <w:nsid w:val="05545E13"/>
    <w:multiLevelType w:val="hybridMultilevel"/>
    <w:tmpl w:val="00000000"/>
    <w:lvl w:ilvl="0">
      <w:start w:val="10"/>
      <w:numFmt w:val="decimal"/>
      <w:lvlText w:val="%1"/>
      <w:lvlJc w:val="left"/>
      <w:pPr>
        <w:ind w:left="289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94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947"/>
      </w:pPr>
      <w:rPr>
        <w:rFonts w:hint="default"/>
      </w:rPr>
    </w:lvl>
  </w:abstractNum>
  <w:abstractNum w:abstractNumId="2">
    <w:nsid w:val="0A8A0A8A"/>
    <w:multiLevelType w:val="hybridMultilevel"/>
    <w:tmpl w:val="00000000"/>
    <w:lvl w:ilvl="0">
      <w:start w:val="4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3">
    <w:nsid w:val="1BACCB76"/>
    <w:multiLevelType w:val="hybridMultilevel"/>
    <w:tmpl w:val="00000000"/>
    <w:lvl w:ilvl="0">
      <w:start w:val="1"/>
      <w:numFmt w:val="decimal"/>
      <w:lvlText w:val="(%1)"/>
      <w:lvlJc w:val="left"/>
      <w:pPr>
        <w:ind w:left="289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49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9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633"/>
      </w:pPr>
      <w:rPr>
        <w:rFonts w:hint="default"/>
      </w:rPr>
    </w:lvl>
  </w:abstractNum>
  <w:abstractNum w:abstractNumId="4">
    <w:nsid w:val="1FB28E62"/>
    <w:multiLevelType w:val="hybridMultilevel"/>
    <w:tmpl w:val="00000000"/>
    <w:lvl w:ilvl="0">
      <w:start w:val="3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5">
    <w:nsid w:val="207C5BE6"/>
    <w:multiLevelType w:val="hybridMultilevel"/>
    <w:tmpl w:val="00000000"/>
    <w:lvl w:ilvl="0">
      <w:start w:val="1"/>
      <w:numFmt w:val="decimal"/>
      <w:lvlText w:val="%1"/>
      <w:lvlJc w:val="left"/>
      <w:pPr>
        <w:ind w:left="1646" w:hanging="843"/>
        <w:jc w:val="righ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12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5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30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03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7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48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20" w:hanging="843"/>
      </w:pPr>
      <w:rPr>
        <w:rFonts w:hint="default"/>
      </w:rPr>
    </w:lvl>
  </w:abstractNum>
  <w:abstractNum w:abstractNumId="6">
    <w:nsid w:val="29D6095F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735"/>
      </w:pPr>
      <w:rPr>
        <w:rFonts w:hint="default"/>
      </w:rPr>
    </w:lvl>
  </w:abstractNum>
  <w:abstractNum w:abstractNumId="7">
    <w:nsid w:val="2B321921"/>
    <w:multiLevelType w:val="hybridMultilevel"/>
    <w:tmpl w:val="00000000"/>
    <w:lvl w:ilvl="0">
      <w:start w:val="2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8">
    <w:nsid w:val="2C746DDF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9">
    <w:nsid w:val="2C838570"/>
    <w:multiLevelType w:val="hybridMultilevel"/>
    <w:tmpl w:val="00000000"/>
    <w:lvl w:ilvl="0">
      <w:start w:val="1"/>
      <w:numFmt w:val="decimal"/>
      <w:lvlText w:val="（%1）"/>
      <w:lvlJc w:val="left"/>
      <w:pPr>
        <w:ind w:left="2180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9" w:hanging="1052"/>
      </w:pPr>
      <w:rPr>
        <w:rFonts w:hint="default"/>
      </w:rPr>
    </w:lvl>
  </w:abstractNum>
  <w:abstractNum w:abstractNumId="10">
    <w:nsid w:val="3A32DB29"/>
    <w:multiLevelType w:val="hybridMultilevel"/>
    <w:tmpl w:val="00000000"/>
    <w:lvl w:ilvl="0">
      <w:start w:val="4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11">
    <w:nsid w:val="3ED93FDF"/>
    <w:multiLevelType w:val="hybridMultilevel"/>
    <w:tmpl w:val="00000000"/>
    <w:lvl w:ilvl="0">
      <w:start w:val="6"/>
      <w:numFmt w:val="decimal"/>
      <w:lvlText w:val="%1"/>
      <w:lvlJc w:val="left"/>
      <w:pPr>
        <w:ind w:left="186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2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8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735"/>
      </w:pPr>
      <w:rPr>
        <w:rFonts w:hint="default"/>
      </w:rPr>
    </w:lvl>
  </w:abstractNum>
  <w:abstractNum w:abstractNumId="12">
    <w:nsid w:val="4BE32A6D"/>
    <w:multiLevelType w:val="hybridMultilevel"/>
    <w:tmpl w:val="00000000"/>
    <w:lvl w:ilvl="0">
      <w:start w:val="3"/>
      <w:numFmt w:val="decimal"/>
      <w:lvlText w:val="%1"/>
      <w:lvlJc w:val="left"/>
      <w:pPr>
        <w:ind w:left="186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2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8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735"/>
      </w:pPr>
      <w:rPr>
        <w:rFonts w:hint="default"/>
      </w:rPr>
    </w:lvl>
  </w:abstractNum>
  <w:abstractNum w:abstractNumId="13">
    <w:nsid w:val="4C5DC47A"/>
    <w:multiLevelType w:val="hybridMultilevel"/>
    <w:tmpl w:val="00000000"/>
    <w:lvl w:ilvl="0">
      <w:start w:val="2"/>
      <w:numFmt w:val="decimal"/>
      <w:lvlText w:val="%1"/>
      <w:lvlJc w:val="left"/>
      <w:pPr>
        <w:ind w:left="289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735"/>
      </w:pPr>
      <w:rPr>
        <w:rFonts w:hint="default"/>
      </w:rPr>
    </w:lvl>
  </w:abstractNum>
  <w:abstractNum w:abstractNumId="14">
    <w:nsid w:val="54B6D41B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15">
    <w:nsid w:val="55A667F5"/>
    <w:multiLevelType w:val="hybridMultilevel"/>
    <w:tmpl w:val="00000000"/>
    <w:lvl w:ilvl="0">
      <w:start w:val="2"/>
      <w:numFmt w:val="decimal"/>
      <w:lvlText w:val="%1"/>
      <w:lvlJc w:val="left"/>
      <w:pPr>
        <w:ind w:left="1876" w:hanging="990"/>
        <w:jc w:val="left"/>
      </w:pPr>
      <w:rPr>
        <w:rFonts w:hint="default"/>
      </w:rPr>
    </w:lvl>
    <w:lvl w:ilvl="1">
      <w:start w:val="0"/>
      <w:numFmt w:val="decimal"/>
      <w:lvlText w:val="%1.%2"/>
      <w:lvlJc w:val="left"/>
      <w:pPr>
        <w:ind w:left="1876" w:hanging="990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876" w:hanging="990"/>
        <w:jc w:val="right"/>
      </w:pPr>
      <w:rPr>
        <w:rFonts w:ascii="楷体" w:eastAsia="楷体" w:hAnsi="楷体" w:cs="楷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2138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24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0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96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82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68" w:hanging="990"/>
      </w:pPr>
      <w:rPr>
        <w:rFonts w:hint="default"/>
      </w:rPr>
    </w:lvl>
  </w:abstractNum>
  <w:abstractNum w:abstractNumId="16">
    <w:nsid w:val="565F87D1"/>
    <w:multiLevelType w:val="hybridMultilevel"/>
    <w:tmpl w:val="00000000"/>
    <w:lvl w:ilvl="0">
      <w:start w:val="2"/>
      <w:numFmt w:val="decimal"/>
      <w:lvlText w:val="%1"/>
      <w:lvlJc w:val="left"/>
      <w:pPr>
        <w:ind w:left="186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2" w:hanging="735"/>
        <w:jc w:val="righ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68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5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7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1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3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5" w:hanging="735"/>
      </w:pPr>
      <w:rPr>
        <w:rFonts w:hint="default"/>
      </w:rPr>
    </w:lvl>
  </w:abstractNum>
  <w:abstractNum w:abstractNumId="17">
    <w:nsid w:val="57EB775E"/>
    <w:multiLevelType w:val="hybridMultilevel"/>
    <w:tmpl w:val="00000000"/>
    <w:lvl w:ilvl="0">
      <w:start w:val="11"/>
      <w:numFmt w:val="decimal"/>
      <w:lvlText w:val="%1"/>
      <w:lvlJc w:val="left"/>
      <w:pPr>
        <w:ind w:left="1570" w:hanging="1080"/>
        <w:jc w:val="righ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5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2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9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35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0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7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8" w:hanging="1080"/>
      </w:pPr>
      <w:rPr>
        <w:rFonts w:hint="default"/>
      </w:rPr>
    </w:lvl>
  </w:abstractNum>
  <w:abstractNum w:abstractNumId="18">
    <w:nsid w:val="58F6AE50"/>
    <w:multiLevelType w:val="hybridMultilevel"/>
    <w:tmpl w:val="00000000"/>
    <w:lvl w:ilvl="0">
      <w:start w:val="1"/>
      <w:numFmt w:val="decimal"/>
      <w:lvlText w:val="(%1)"/>
      <w:lvlJc w:val="left"/>
      <w:pPr>
        <w:ind w:left="1760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81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5" w:hanging="633"/>
      </w:pPr>
      <w:rPr>
        <w:rFonts w:hint="default"/>
      </w:rPr>
    </w:lvl>
  </w:abstractNum>
  <w:abstractNum w:abstractNumId="19">
    <w:nsid w:val="59B664DA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20">
    <w:nsid w:val="65B5342B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735"/>
      </w:pPr>
      <w:rPr>
        <w:rFonts w:hint="default"/>
      </w:rPr>
    </w:lvl>
  </w:abstractNum>
  <w:abstractNum w:abstractNumId="21">
    <w:nsid w:val="6DFCBF36"/>
    <w:multiLevelType w:val="hybridMultilevel"/>
    <w:tmpl w:val="00000000"/>
    <w:lvl w:ilvl="0">
      <w:start w:val="5"/>
      <w:numFmt w:val="decimal"/>
      <w:lvlText w:val="%1"/>
      <w:lvlJc w:val="left"/>
      <w:pPr>
        <w:ind w:left="1707" w:hanging="6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07" w:hanging="663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55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3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1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7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5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3" w:hanging="663"/>
      </w:pPr>
      <w:rPr>
        <w:rFonts w:hint="default"/>
      </w:rPr>
    </w:lvl>
  </w:abstractNum>
  <w:abstractNum w:abstractNumId="22">
    <w:nsid w:val="7921BBA6"/>
    <w:multiLevelType w:val="hybridMultilevel"/>
    <w:tmpl w:val="00000000"/>
    <w:lvl w:ilvl="0">
      <w:start w:val="2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23">
    <w:nsid w:val="7A5A5033"/>
    <w:multiLevelType w:val="hybridMultilevel"/>
    <w:tmpl w:val="00000000"/>
    <w:lvl w:ilvl="0">
      <w:start w:val="0"/>
      <w:numFmt w:val="bullet"/>
      <w:lvlText w:val=""/>
      <w:lvlJc w:val="left"/>
      <w:pPr>
        <w:ind w:left="919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42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630"/>
      </w:pPr>
      <w:rPr>
        <w:rFonts w:hint="default"/>
      </w:rPr>
    </w:lvl>
  </w:abstractNum>
  <w:abstractNum w:abstractNumId="24">
    <w:nsid w:val="7BDC21D9"/>
    <w:multiLevelType w:val="hybridMultilevel"/>
    <w:tmpl w:val="00000000"/>
    <w:lvl w:ilvl="0">
      <w:start w:val="3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abstractNum w:abstractNumId="25">
    <w:nsid w:val="7CF8ABA4"/>
    <w:multiLevelType w:val="hybridMultilevel"/>
    <w:tmpl w:val="00000000"/>
    <w:lvl w:ilvl="0">
      <w:start w:val="1"/>
      <w:numFmt w:val="decimal"/>
      <w:lvlText w:val="%1"/>
      <w:lvlJc w:val="left"/>
      <w:pPr>
        <w:ind w:left="289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9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419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9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9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9"/>
      </w:pPr>
      <w:rPr>
        <w:rFonts w:hint="default"/>
      </w:rPr>
    </w:lvl>
  </w:abstractNum>
  <w:num w:numId="1">
    <w:abstractNumId w:val="24"/>
  </w:num>
  <w:num w:numId="2">
    <w:abstractNumId w:val="22"/>
  </w:num>
  <w:num w:numId="3">
    <w:abstractNumId w:val="19"/>
  </w:num>
  <w:num w:numId="4">
    <w:abstractNumId w:val="12"/>
  </w:num>
  <w:num w:numId="5">
    <w:abstractNumId w:val="13"/>
  </w:num>
  <w:num w:numId="6">
    <w:abstractNumId w:val="9"/>
  </w:num>
  <w:num w:numId="7">
    <w:abstractNumId w:val="25"/>
  </w:num>
  <w:num w:numId="8">
    <w:abstractNumId w:val="15"/>
  </w:num>
  <w:num w:numId="9">
    <w:abstractNumId w:val="5"/>
  </w:num>
  <w:num w:numId="10">
    <w:abstractNumId w:val="17"/>
  </w:num>
  <w:num w:numId="11">
    <w:abstractNumId w:val="1"/>
  </w:num>
  <w:num w:numId="12">
    <w:abstractNumId w:val="23"/>
  </w:num>
  <w:num w:numId="13">
    <w:abstractNumId w:val="3"/>
  </w:num>
  <w:num w:numId="14">
    <w:abstractNumId w:val="18"/>
  </w:num>
  <w:num w:numId="15">
    <w:abstractNumId w:val="11"/>
  </w:num>
  <w:num w:numId="16">
    <w:abstractNumId w:val="21"/>
  </w:num>
  <w:num w:numId="17">
    <w:abstractNumId w:val="2"/>
  </w:num>
  <w:num w:numId="18">
    <w:abstractNumId w:val="4"/>
  </w:num>
  <w:num w:numId="19">
    <w:abstractNumId w:val="16"/>
  </w:num>
  <w:num w:numId="20">
    <w:abstractNumId w:val="8"/>
  </w:num>
  <w:num w:numId="21">
    <w:abstractNumId w:val="7"/>
  </w:num>
  <w:num w:numId="22">
    <w:abstractNumId w:val="20"/>
  </w:num>
  <w:num w:numId="23">
    <w:abstractNumId w:val="6"/>
  </w:num>
  <w:num w:numId="24">
    <w:abstractNumId w:val="14"/>
  </w:num>
  <w:num w:numId="25">
    <w:abstractNumId w:val="10"/>
  </w:num>
  <w:num w:numId="2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spacing w:before="24"/>
      <w:outlineLvl w:val="0"/>
    </w:pPr>
    <w:rPr>
      <w:rFonts w:ascii="黑体" w:eastAsia="黑体" w:hAnsi="黑体" w:cs="黑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42"/>
      <w:ind w:left="289"/>
      <w:outlineLvl w:val="1"/>
    </w:pPr>
    <w:rPr>
      <w:rFonts w:ascii="楷体" w:eastAsia="楷体" w:hAnsi="楷体" w:cs="楷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ind w:left="289"/>
    </w:pPr>
    <w:rPr>
      <w:rFonts w:ascii="黑体" w:eastAsia="黑体" w:hAnsi="黑体" w:cs="黑体"/>
      <w:sz w:val="45"/>
      <w:szCs w:val="45"/>
    </w:r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Title">
    <w:name w:val="Title"/>
    <w:basedOn w:val="Normal"/>
    <w:uiPriority w:val="1"/>
    <w:qFormat/>
    <w:pPr>
      <w:spacing w:line="842" w:lineRule="exact"/>
      <w:ind w:right="1220"/>
      <w:jc w:val="center"/>
    </w:pPr>
    <w:rPr>
      <w:rFonts w:ascii="黑体" w:eastAsia="黑体" w:hAnsi="黑体" w:cs="黑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289" w:firstLine="838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pPr>
      <w:spacing w:before="77"/>
      <w:jc w:val="center"/>
    </w:pPr>
    <w:rPr>
      <w:rFonts w:ascii="仿宋" w:eastAsia="仿宋" w:hAnsi="仿宋" w:cs="仿宋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6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image" Target="media/image7.png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image" Target="media/image11.png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header" Target="header12.xml" /><Relationship Id="rId36" Type="http://schemas.openxmlformats.org/officeDocument/2006/relationships/footer" Target="footer12.xml" /><Relationship Id="rId37" Type="http://schemas.openxmlformats.org/officeDocument/2006/relationships/header" Target="header13.xml" /><Relationship Id="rId38" Type="http://schemas.openxmlformats.org/officeDocument/2006/relationships/footer" Target="footer13.xml" /><Relationship Id="rId39" Type="http://schemas.openxmlformats.org/officeDocument/2006/relationships/image" Target="media/image12.png" /><Relationship Id="rId4" Type="http://schemas.openxmlformats.org/officeDocument/2006/relationships/header" Target="header1.xml" /><Relationship Id="rId40" Type="http://schemas.openxmlformats.org/officeDocument/2006/relationships/header" Target="header14.xml" /><Relationship Id="rId41" Type="http://schemas.openxmlformats.org/officeDocument/2006/relationships/footer" Target="footer14.xml" /><Relationship Id="rId42" Type="http://schemas.openxmlformats.org/officeDocument/2006/relationships/header" Target="header15.xml" /><Relationship Id="rId43" Type="http://schemas.openxmlformats.org/officeDocument/2006/relationships/footer" Target="footer15.xml" /><Relationship Id="rId44" Type="http://schemas.openxmlformats.org/officeDocument/2006/relationships/image" Target="media/image13.png" /><Relationship Id="rId45" Type="http://schemas.openxmlformats.org/officeDocument/2006/relationships/image" Target="media/image14.png" /><Relationship Id="rId46" Type="http://schemas.openxmlformats.org/officeDocument/2006/relationships/image" Target="media/image15.png" /><Relationship Id="rId47" Type="http://schemas.openxmlformats.org/officeDocument/2006/relationships/hyperlink" Target="https://d.book118.com/726101215034010053" TargetMode="External" /><Relationship Id="rId48" Type="http://schemas.openxmlformats.org/officeDocument/2006/relationships/header" Target="header16.xml" /><Relationship Id="rId49" Type="http://schemas.openxmlformats.org/officeDocument/2006/relationships/footer" Target="footer16.xml" /><Relationship Id="rId5" Type="http://schemas.openxmlformats.org/officeDocument/2006/relationships/footer" Target="footer1.xml" /><Relationship Id="rId50" Type="http://schemas.openxmlformats.org/officeDocument/2006/relationships/theme" Target="theme/theme1.xml" /><Relationship Id="rId51" Type="http://schemas.openxmlformats.org/officeDocument/2006/relationships/numbering" Target="numbering.xml" /><Relationship Id="rId52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2024-02-02T07:24:24Z</dcterms:created>
  <dcterms:modified xsi:type="dcterms:W3CDTF">2024-02-02T07:24:24Z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2024-02-02T00:00:00Z</vt:filetime>
  </property>
</Properties>
</file>