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F4A63">
        <w:rPr>
          <w:rFonts w:ascii="微软雅黑" w:eastAsia="微软雅黑" w:hAnsi="微软雅黑"/>
          <w:b/>
          <w:sz w:val="28"/>
          <w:szCs w:val="28"/>
        </w:rPr>
        <w:t>推进乡村振兴的探索与实践心得体会(六篇)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F4A63">
        <w:rPr>
          <w:rFonts w:ascii="微软雅黑" w:eastAsia="微软雅黑" w:hAnsi="微软雅黑"/>
          <w:sz w:val="24"/>
          <w:szCs w:val="24"/>
        </w:rPr>
        <w:t xml:space="preserve">    推进乡村振兴的探索与实践心得体会篇一</w:t>
        <w:br/>
        <w:t xml:space="preserve">    20xx年11月，考察山东时指出，沂蒙精神与延安精神、井冈山精神、西柏坡精神一样，是党和国家的宝贵精神财富，要不断结合新的时代条件发扬光大。</w:t>
        <w:br/>
        <w:t xml:space="preserve">    “弘扬沂蒙精神、传承红色基因。我们牢记嘱托，发挥富有红色文化资源和优良革命传统的优势，深入实施红色基因传承工程，加强挖掘阐发，广泛开展宣传教育，积极营造红色基因代代相传的浓厚氛围，努力构筑传承红色文化的高地。”山东省委主要负责同志表示。</w:t>
        <w:br/>
        <w:t xml:space="preserve">    深化沂蒙精神研究阐发。山东突出</w:t>
      </w:r>
      <w:r w:rsidR="008F4A63">
        <w:rPr>
          <w:rFonts w:ascii="微软雅黑" w:eastAsia="微软雅黑" w:hAnsi="微软雅黑"/>
          <w:sz w:val="24"/>
          <w:szCs w:val="24"/>
        </w:rPr>
        <w:t>沂蒙精神“水乳交融</w:t>
      </w:r>
      <w:r w:rsidR="008F4A63">
        <w:rPr>
          <w:rFonts w:ascii="微软雅黑" w:eastAsia="微软雅黑" w:hAnsi="微软雅黑"/>
          <w:sz w:val="24"/>
          <w:szCs w:val="24"/>
        </w:rPr>
        <w:t>、生死与共”核心特质，在省社科规划项目中设立“沂蒙精神研究”专项，每年列出20至30个重点选题，深入开展理论研究。并通过访谈、制作影像资料等方式抢救性搜集老党员、老支前、老战士、老模范及英模人物的口述史、回忆录，编纂出版《山东抗日战争实录》《山东抗战口述史》等，为研究红色文化提供珍贵史料。</w:t>
        <w:br/>
        <w:t xml:space="preserve">    创作红色文艺精品。在齐鲁大地，一部名为《乳娘》的歌舞剧火了。该剧讲述的是抗战时期，胶东“乳娘”哺育前线子弟兵后代和烈士遗孤的感人事迹。使红色精神润物无声，让红色文化直</w:t>
      </w:r>
      <w:r w:rsidR="008F4A63">
        <w:rPr>
          <w:rFonts w:ascii="微软雅黑" w:eastAsia="微软雅黑" w:hAnsi="微软雅黑"/>
          <w:sz w:val="24"/>
          <w:szCs w:val="24"/>
        </w:rPr>
        <w:t>抵人心，山东充分挖掘红色资源，用</w:t>
      </w:r>
      <w:r w:rsidR="008F4A63">
        <w:rPr>
          <w:rFonts w:ascii="微软雅黑" w:eastAsia="微软雅黑" w:hAnsi="微软雅黑"/>
          <w:sz w:val="24"/>
          <w:szCs w:val="24"/>
        </w:rPr>
        <w:t>百姓语言讲述、以艺术方式表现、借技术手段呈现红色故事，</w:t>
      </w:r>
      <w:r w:rsidR="008F4A63">
        <w:rPr>
          <w:rFonts w:ascii="微软雅黑" w:eastAsia="微软雅黑" w:hAnsi="微软雅黑"/>
          <w:sz w:val="24"/>
          <w:szCs w:val="24"/>
        </w:rPr>
        <w:t xml:space="preserve"> 有力推动红色经典“上舞台”“进荧屏”。作为沂蒙精神发源地，临沂开展“说沂蒙、唱沂蒙、写沂蒙、画沂蒙、演沂蒙”等系列活动，推出舞剧《沂蒙情》、电影《渊子崖保卫战》等文艺精品130多部。</w:t>
        <w:br/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F4A63">
        <w:rPr>
          <w:rFonts w:ascii="微软雅黑" w:eastAsia="微软雅黑" w:hAnsi="微软雅黑"/>
          <w:sz w:val="24"/>
          <w:szCs w:val="24"/>
        </w:rPr>
        <w:t xml:space="preserve"> 守护红色文化阵地。中共中央山东分局旧址、共产党宣言纪念馆、孟良崮战役烈士陵园……在山东，星星点点分布着革命遗址2449处。为更好保护革命遗址，全省党史部门发动4000多名普查人员，普查摸底、建立台账、掌握</w:t>
      </w:r>
      <w:r w:rsidR="008F4A63">
        <w:rPr>
          <w:rFonts w:ascii="微软雅黑" w:eastAsia="微软雅黑" w:hAnsi="微软雅黑"/>
          <w:sz w:val="24"/>
          <w:szCs w:val="24"/>
        </w:rPr>
        <w:t>家底。并运用现代技术手段提升爱国主义教育和弘扬</w:t>
      </w:r>
      <w:r w:rsidR="008F4A63">
        <w:rPr>
          <w:rFonts w:ascii="微软雅黑" w:eastAsia="微软雅黑" w:hAnsi="微软雅黑"/>
          <w:sz w:val="24"/>
          <w:szCs w:val="24"/>
        </w:rPr>
        <w:t>沂蒙精神的吸引力，其中山东网上抗日战争纪念馆上线开通以来，累计访问量突破10亿人次。</w:t>
        <w:br/>
        <w:t xml:space="preserve">    加强红色教育传承。今年以来，山东依托近1200个关心下一代教育基地，开展“传承红色基因，争做时代新人”主题教育活动，让老干部、老战士、老专家、老教师、老模范“五老”当好传承“园丁”，在孩子们内心播下爱国爱党爱人民的种子;创新宣传方式，选拔优秀百姓宣讲员，用身边事感染身边人，至今已举办巡回宣讲1150余场，直接听众达33.7万人次。</w:t>
        <w:br/>
        <w:t xml:space="preserve">    </w:t>
      </w:r>
      <w:r w:rsidR="008F4A63">
        <w:rPr>
          <w:rFonts w:ascii="微软雅黑" w:eastAsia="微软雅黑" w:hAnsi="微软雅黑"/>
          <w:sz w:val="24"/>
          <w:szCs w:val="24"/>
        </w:rPr>
        <w:t>突出先进典型引领。全国重大典型“时代楷模”王传喜，带领兰陵县代</w:t>
      </w:r>
      <w:r w:rsidR="008F4A63">
        <w:rPr>
          <w:rFonts w:ascii="微软雅黑" w:eastAsia="微软雅黑" w:hAnsi="微软雅黑"/>
          <w:sz w:val="24"/>
          <w:szCs w:val="24"/>
        </w:rPr>
        <w:t>村党员干部群众奋斗20xx年</w:t>
      </w:r>
      <w:r w:rsidR="008F4A63">
        <w:rPr>
          <w:rFonts w:ascii="微软雅黑" w:eastAsia="微软雅黑" w:hAnsi="微软雅黑"/>
          <w:sz w:val="24"/>
          <w:szCs w:val="24"/>
        </w:rPr>
        <w:t>，将一个负债380多万元的落后村，发展成为集体经营性收入1.1亿元、村民年人均纯收入6.5万元的乡村振兴“排头兵”。山东先后发布12位“齐鲁时代楷模”事迹，全省“中国好人榜”入选数量、推荐好人线索数量连续4年位列全国第一，通过巡回报告、先进事迹展等形式，引导党员干部群众以榜样为标杆，自觉传承和践行沂蒙精神。</w:t>
        <w:br/>
        <w:t xml:space="preserve">    推进乡村振兴的探索与实践心得体会篇二</w:t>
        <w:br/>
        <w:t xml:space="preserve">    为切实贯彻落实上级工作部署，</w:t>
      </w:r>
      <w:r w:rsidR="008F4A63">
        <w:rPr>
          <w:rFonts w:ascii="微软雅黑" w:eastAsia="微软雅黑" w:hAnsi="微软雅黑"/>
          <w:sz w:val="24"/>
          <w:szCs w:val="24"/>
        </w:rPr>
        <w:t>进一步抓好寄递物流行业专项整治行动工作，加强辖区内寄递物流行业的规范化运营和安</w:t>
      </w:r>
      <w:r w:rsidR="008F4A63">
        <w:rPr>
          <w:rFonts w:ascii="微软雅黑" w:eastAsia="微软雅黑" w:hAnsi="微软雅黑"/>
          <w:sz w:val="24"/>
          <w:szCs w:val="24"/>
        </w:rPr>
        <w:t>全风险管控，提高打击寄递物流领域违法犯罪活动的力度，维护</w:t>
      </w:r>
      <w:r w:rsidR="008F4A63">
        <w:rPr>
          <w:rFonts w:ascii="微软雅黑" w:eastAsia="微软雅黑" w:hAnsi="微软雅黑"/>
          <w:sz w:val="24"/>
          <w:szCs w:val="24"/>
        </w:rPr>
        <w:t>社会安定稳定，特制定本工作方案。</w:t>
        <w:br/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一、指导思想</w:t>
        <w:br/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</w:t>
      </w:r>
      <w:r w:rsidR="008F4A63">
        <w:rPr>
          <w:rFonts w:ascii="微软雅黑" w:eastAsia="微软雅黑" w:hAnsi="微软雅黑"/>
          <w:sz w:val="24"/>
          <w:szCs w:val="24"/>
        </w:rPr>
        <w:t xml:space="preserve"> 以推行寄递物流行业实名制为重点，建立健全联合执法和综合治理机制，严厉打击寄递物流行业各类犯罪活动，实现对治安区域全覆盖和治安要素全掌握，切实提升寄递物流行业综合防范水平，坚决维护辖区社会的和谐稳定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https://d.book118.com/726114025040010054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310AC"/>
    <w:rsid w:val="00707240"/>
    <w:rsid w:val="008636A4"/>
    <w:rsid w:val="008F4A6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26114025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2661</Words>
  <Characters>15170</Characters>
  <Application>Microsoft Office Word</Application>
  <DocSecurity>0</DocSecurity>
  <Lines>126</Lines>
  <Paragraphs>35</Paragraphs>
  <ScaleCrop>false</ScaleCrop>
  <Company/>
  <LinksUpToDate>false</LinksUpToDate>
  <CharactersWithSpaces>17796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