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2018-2023年铜川职业技术学院高职单招（数学／语文／英语）历年常考试题库含答案解析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在《八声甘州》中，“是处红衰翠减，苒苒物华休”的修辞方法是（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D.象征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下列划横线的句子翻译正确的是（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4896364" cy="194330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96364" cy="194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下列《季氏将伐颛臾》本文所运用的论据中，属于历史材料的是（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A.且在邦域之中矣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B.先王以为东蒙主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C.是社稷之臣也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D.虎兕出于柙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“知识就是力量”这句名言是出自（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A.富兰克林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C.拉封丹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D.伏尔泰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《行路难》是一首（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C.七绝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D.七言歌行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《种树郭橐驼传》主要的创作意图是（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A.赞扬郭橐驼的种树技术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B.揭露统治者的政令扰民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C.传播郭橐驼的植树经验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D.借“养树”之道，喻“养民”之道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北宋第一个大量写作慢词的是（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A.欧阳修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被人称为“七绝圣手”的诗人是（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A.王之涣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C.王昌龄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《灯下漫笔》中，鲁迅认为青年的使命是（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A.崇奉国粹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B.热心复古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C.创造第三样时代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D.赞颂中国的“固有精神文明”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下列人物属于“战国四公子”的是（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A.孟尝君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D.冯谖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《风波》、《断魂枪》、《苦恼》的作者依次是（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A.鲁迅、契诃夫、老舍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B.契诃夫、鲁迅、老舍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C.鲁迅、老舍、契诃夫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D.契诃夫、老舍、鲁迅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中国诗歌史上诗歌流传下来最多的诗人是（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A.陆游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苏轼《前赤壁赋》中“哀吾生之须臾，羡长江之无穷”所运用的手法有（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A.比喻、对偶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B.对比、比喻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C.对偶、对比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D.拟人、对比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https://d.book118.com/726121032230010052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72612103223001005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