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7" w:line="1140" w:lineRule="exact"/>
        <w:ind w:firstLine="5130"/>
      </w:pPr>
      <w:r>
        <w:rPr>
          <w:position w:val="-22"/>
        </w:rPr>
        <w:drawing>
          <wp:inline distT="0" distB="0" distL="0" distR="0">
            <wp:extent cx="1837944" cy="7239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37944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8" w:lineRule="auto"/>
      </w:pPr>
    </w:p>
    <w:p>
      <w:pPr>
        <w:pStyle w:val="BodyText"/>
        <w:spacing w:line="269" w:lineRule="auto"/>
      </w:pPr>
    </w:p>
    <w:p>
      <w:pPr>
        <w:spacing w:before="226" w:line="183" w:lineRule="auto"/>
        <w:ind w:left="111"/>
        <w:outlineLvl w:val="0"/>
        <w:rPr>
          <w:rFonts w:ascii="Arial Unicode MS" w:eastAsia="Arial Unicode MS" w:hAnsi="Arial Unicode MS" w:cs="Arial Unicode MS"/>
          <w:sz w:val="52"/>
          <w:szCs w:val="52"/>
        </w:rPr>
      </w:pP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北  京</w:t>
      </w:r>
      <w:r>
        <w:rPr>
          <w:rFonts w:ascii="Arial Unicode MS" w:eastAsia="Arial Unicode MS" w:hAnsi="Arial Unicode MS" w:cs="Arial Unicode MS"/>
          <w:spacing w:val="16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市</w:t>
      </w:r>
      <w:r>
        <w:rPr>
          <w:rFonts w:ascii="Arial Unicode MS" w:eastAsia="Arial Unicode MS" w:hAnsi="Arial Unicode MS" w:cs="Arial Unicode MS"/>
          <w:spacing w:val="12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地</w:t>
      </w:r>
      <w:r>
        <w:rPr>
          <w:rFonts w:ascii="Arial Unicode MS" w:eastAsia="Arial Unicode MS" w:hAnsi="Arial Unicode MS" w:cs="Arial Unicode MS"/>
          <w:spacing w:val="10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方</w:t>
      </w:r>
      <w:r>
        <w:rPr>
          <w:rFonts w:ascii="Arial Unicode MS" w:eastAsia="Arial Unicode MS" w:hAnsi="Arial Unicode MS" w:cs="Arial Unicode MS"/>
          <w:spacing w:val="17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计</w:t>
      </w:r>
      <w:r>
        <w:rPr>
          <w:rFonts w:ascii="Arial Unicode MS" w:eastAsia="Arial Unicode MS" w:hAnsi="Arial Unicode MS" w:cs="Arial Unicode MS"/>
          <w:spacing w:val="10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量</w:t>
      </w:r>
      <w:r>
        <w:rPr>
          <w:rFonts w:ascii="Arial Unicode MS" w:eastAsia="Arial Unicode MS" w:hAnsi="Arial Unicode MS" w:cs="Arial Unicode MS"/>
          <w:spacing w:val="7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技</w:t>
      </w:r>
      <w:r>
        <w:rPr>
          <w:rFonts w:ascii="Arial Unicode MS" w:eastAsia="Arial Unicode MS" w:hAnsi="Arial Unicode MS" w:cs="Arial Unicode MS"/>
          <w:spacing w:val="6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术  规</w:t>
      </w:r>
      <w:r>
        <w:rPr>
          <w:rFonts w:ascii="Arial Unicode MS" w:eastAsia="Arial Unicode MS" w:hAnsi="Arial Unicode MS" w:cs="Arial Unicode MS"/>
          <w:spacing w:val="9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范</w:t>
      </w:r>
    </w:p>
    <w:p>
      <w:pPr>
        <w:spacing w:before="188" w:line="223" w:lineRule="auto"/>
        <w:ind w:left="570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JJF（京）111-2023</w:t>
      </w:r>
    </w:p>
    <w:p>
      <w:pPr>
        <w:pStyle w:val="BodyText"/>
        <w:spacing w:line="301" w:lineRule="auto"/>
      </w:pPr>
    </w:p>
    <w:p>
      <w:pPr>
        <w:spacing w:line="20" w:lineRule="exact"/>
        <w:ind w:firstLine="88"/>
      </w:pPr>
      <w:r>
        <w:drawing>
          <wp:inline distT="0" distB="0" distL="0" distR="0">
            <wp:extent cx="5950585" cy="127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0585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spacing w:before="169" w:line="221" w:lineRule="auto"/>
        <w:ind w:left="1256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2"/>
          <w:sz w:val="52"/>
          <w:szCs w:val="52"/>
        </w:rPr>
        <w:t>研究法辛烷值测定仪校准规范</w:t>
      </w:r>
    </w:p>
    <w:p>
      <w:pPr>
        <w:spacing w:before="276" w:line="219" w:lineRule="auto"/>
        <w:ind w:left="50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z w:val="28"/>
          <w:szCs w:val="28"/>
        </w:rPr>
        <w:t>Calibration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Specification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for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Research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Octane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Numb</w:t>
      </w:r>
      <w:r>
        <w:rPr>
          <w:rFonts w:ascii="SimHei" w:eastAsia="SimHei" w:hAnsi="SimHei" w:cs="SimHei"/>
          <w:spacing w:val="-1"/>
          <w:sz w:val="28"/>
          <w:szCs w:val="28"/>
        </w:rPr>
        <w:t>er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Meters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  <w:sectPr>
          <w:pgSz w:w="11906" w:h="16839"/>
          <w:pgMar w:top="1431" w:right="1116" w:bottom="0" w:left="1330" w:header="0" w:footer="0" w:gutter="0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91" w:line="222" w:lineRule="auto"/>
        <w:ind w:left="517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2023-5-22</w:t>
      </w:r>
      <w:r>
        <w:rPr>
          <w:rFonts w:ascii="SimHei" w:eastAsia="SimHei" w:hAnsi="SimHei" w:cs="SimHei"/>
          <w:spacing w:val="-4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发布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                            </w:t>
      </w:r>
      <w:r>
        <w:rPr>
          <w:rFonts w:ascii="SimHei" w:eastAsia="SimHei" w:hAnsi="SimHei" w:cs="SimHei"/>
          <w:spacing w:val="-1"/>
          <w:sz w:val="28"/>
          <w:szCs w:val="28"/>
        </w:rPr>
        <w:t>2023-7-1</w:t>
      </w:r>
      <w:r>
        <w:rPr>
          <w:rFonts w:ascii="SimHei" w:eastAsia="SimHei" w:hAnsi="SimHei" w:cs="SimHei"/>
          <w:spacing w:val="-53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实施</w:t>
      </w:r>
    </w:p>
    <w:p>
      <w:pPr>
        <w:spacing w:before="173" w:line="20" w:lineRule="exact"/>
      </w:pPr>
      <w:r>
        <w:drawing>
          <wp:inline distT="0" distB="0" distL="0" distR="0">
            <wp:extent cx="5951219" cy="127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51219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2" w:line="190" w:lineRule="auto"/>
        <w:ind w:left="1754"/>
        <w:rPr>
          <w:rFonts w:ascii="SimHei" w:eastAsia="SimHei" w:hAnsi="SimHei" w:cs="SimHei"/>
          <w:sz w:val="28"/>
          <w:szCs w:val="28"/>
        </w:rPr>
      </w:pPr>
      <w:r>
        <w:rPr>
          <w:rFonts w:ascii="Arial Unicode MS" w:eastAsia="Arial Unicode MS" w:hAnsi="Arial Unicode MS" w:cs="Arial Unicode MS"/>
          <w:spacing w:val="39"/>
          <w:sz w:val="43"/>
          <w:szCs w:val="43"/>
        </w:rPr>
        <w:t>北京市市场监督管理局</w:t>
      </w:r>
      <w:r>
        <w:rPr>
          <w:rFonts w:ascii="Arial Unicode MS" w:eastAsia="Arial Unicode MS" w:hAnsi="Arial Unicode MS" w:cs="Arial Unicode MS"/>
          <w:spacing w:val="10"/>
          <w:sz w:val="43"/>
          <w:szCs w:val="43"/>
        </w:rPr>
        <w:t xml:space="preserve">  </w:t>
      </w:r>
      <w:r>
        <w:rPr>
          <w:rFonts w:ascii="SimHei" w:eastAsia="SimHei" w:hAnsi="SimHei" w:cs="SimHei"/>
          <w:spacing w:val="39"/>
          <w:sz w:val="28"/>
          <w:szCs w:val="28"/>
        </w:rPr>
        <w:t>发</w:t>
      </w:r>
      <w:r>
        <w:rPr>
          <w:rFonts w:ascii="SimHei" w:eastAsia="SimHei" w:hAnsi="SimHei" w:cs="SimHei"/>
          <w:spacing w:val="39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39"/>
          <w:sz w:val="28"/>
          <w:szCs w:val="28"/>
        </w:rPr>
        <w:t>布</w:t>
      </w:r>
    </w:p>
    <w:p>
      <w:pPr>
        <w:spacing w:line="190" w:lineRule="auto"/>
        <w:rPr>
          <w:rFonts w:ascii="SimHei" w:eastAsia="SimHei" w:hAnsi="SimHei" w:cs="SimHei"/>
          <w:sz w:val="28"/>
          <w:szCs w:val="28"/>
        </w:rPr>
        <w:sectPr>
          <w:type w:val="nextPage"/>
          <w:pgSz w:w="11906" w:h="16839"/>
          <w:pgMar w:top="1431" w:right="1116" w:bottom="0" w:left="133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spacing w:before="139" w:line="225" w:lineRule="auto"/>
        <w:ind w:left="769"/>
        <w:rPr>
          <w:rFonts w:ascii="SimHei" w:eastAsia="SimHei" w:hAnsi="SimHei" w:cs="SimHei"/>
          <w:sz w:val="43"/>
          <w:szCs w:val="43"/>
        </w:rPr>
      </w:pPr>
      <w:r>
        <w:pict>
          <v:group id="_x0000_s1025" style="width:128.35pt;height:63.2pt;margin-top:30.22pt;margin-left:294.93pt;position:absolute;z-index:251658240" coordorigin="0,0" coordsize="2567,1264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567;height:1264;position:absolute" filled="f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607;height:1356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365" w:lineRule="auto"/>
                    </w:pPr>
                  </w:p>
                  <w:p>
                    <w:pPr>
                      <w:spacing w:before="91" w:line="223" w:lineRule="auto"/>
                      <w:ind w:left="272"/>
                      <w:rPr>
                        <w:rFonts w:ascii="SimHei" w:eastAsia="SimHei" w:hAnsi="SimHei" w:cs="SimHei"/>
                        <w:sz w:val="28"/>
                        <w:szCs w:val="28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8"/>
                        <w:szCs w:val="28"/>
                      </w:rPr>
                      <w:t>JJF(京)111</w:t>
                    </w:r>
                    <w:r>
                      <w:rPr>
                        <w:rFonts w:ascii="SimHei" w:eastAsia="SimHei" w:hAnsi="SimHei" w:cs="SimHei"/>
                        <w:spacing w:val="-1"/>
                        <w:sz w:val="28"/>
                        <w:szCs w:val="28"/>
                        <w14:textOutline w14:w="5103" w14:cap="sq">
                          <w14:solidFill>
                            <w14:srgbClr w14:val="000000"/>
                          </w14:solidFill>
                          <w14:prstDash w14:val="solid"/>
                          <w14:bevel/>
                        </w14:textOutline>
                      </w:rPr>
                      <w:t>-</w:t>
                    </w:r>
                    <w:r>
                      <w:rPr>
                        <w:rFonts w:ascii="SimHei" w:eastAsia="SimHei" w:hAnsi="SimHei" w:cs="SimHei"/>
                        <w:spacing w:val="-1"/>
                        <w:sz w:val="28"/>
                        <w:szCs w:val="28"/>
                      </w:rPr>
                      <w:t>2023</w:t>
                    </w:r>
                  </w:p>
                </w:txbxContent>
              </v:textbox>
            </v:shape>
          </v:group>
        </w:pict>
      </w:r>
      <w:r>
        <w:rPr>
          <w:rFonts w:ascii="SimHei" w:eastAsia="SimHei" w:hAnsi="SimHei" w:cs="SimHei"/>
          <w:spacing w:val="26"/>
          <w:sz w:val="43"/>
          <w:szCs w:val="43"/>
        </w:rPr>
        <w:t>研究法辛烷值测定仪</w:t>
      </w:r>
    </w:p>
    <w:p>
      <w:pPr>
        <w:spacing w:before="100" w:line="226" w:lineRule="auto"/>
        <w:ind w:left="1921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21"/>
          <w:sz w:val="43"/>
          <w:szCs w:val="43"/>
        </w:rPr>
        <w:t>校准规范</w:t>
      </w:r>
    </w:p>
    <w:p>
      <w:pPr>
        <w:spacing w:before="177" w:line="408" w:lineRule="auto"/>
        <w:ind w:left="810" w:right="4287" w:hanging="2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Calibration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Specification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for</w:t>
      </w:r>
      <w:r>
        <w:rPr>
          <w:rFonts w:ascii="SimHei" w:eastAsia="SimHei" w:hAnsi="SimHei" w:cs="SimHei"/>
          <w:spacing w:val="17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Research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Octane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Number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Meters</w:t>
      </w:r>
    </w:p>
    <w:p>
      <w:pPr>
        <w:spacing w:before="164" w:line="20" w:lineRule="exact"/>
        <w:ind w:firstLine="11"/>
      </w:pPr>
      <w:r>
        <w:drawing>
          <wp:inline distT="0" distB="0" distL="0" distR="0">
            <wp:extent cx="5800724" cy="127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0724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91" w:line="222" w:lineRule="auto"/>
        <w:ind w:left="107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9"/>
          <w:sz w:val="28"/>
          <w:szCs w:val="28"/>
        </w:rPr>
        <w:t>归</w:t>
      </w:r>
      <w:r>
        <w:rPr>
          <w:rFonts w:ascii="SimHei" w:eastAsia="SimHei" w:hAnsi="SimHei" w:cs="SimHei"/>
          <w:spacing w:val="67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9"/>
          <w:sz w:val="28"/>
          <w:szCs w:val="28"/>
        </w:rPr>
        <w:t>口</w:t>
      </w:r>
      <w:r>
        <w:rPr>
          <w:rFonts w:ascii="SimHei" w:eastAsia="SimHei" w:hAnsi="SimHei" w:cs="SimHei"/>
          <w:spacing w:val="4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9"/>
          <w:sz w:val="28"/>
          <w:szCs w:val="28"/>
        </w:rPr>
        <w:t>单</w:t>
      </w:r>
      <w:r>
        <w:rPr>
          <w:rFonts w:ascii="SimHei" w:eastAsia="SimHei" w:hAnsi="SimHei" w:cs="SimHei"/>
          <w:spacing w:val="3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9"/>
          <w:sz w:val="28"/>
          <w:szCs w:val="28"/>
        </w:rPr>
        <w:t>位</w:t>
      </w:r>
      <w:r>
        <w:rPr>
          <w:rFonts w:ascii="SimHei" w:eastAsia="SimHei" w:hAnsi="SimHei" w:cs="SimHei"/>
          <w:spacing w:val="-75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9"/>
          <w:sz w:val="28"/>
          <w:szCs w:val="28"/>
        </w:rPr>
        <w:t>：北京市市场监督管理局</w:t>
      </w:r>
    </w:p>
    <w:p>
      <w:pPr>
        <w:spacing w:before="288" w:line="222" w:lineRule="auto"/>
        <w:ind w:left="100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主要起草单位：北京市计量检测科学研究院</w:t>
      </w:r>
    </w:p>
    <w:p>
      <w:pPr>
        <w:spacing w:before="288" w:line="397" w:lineRule="auto"/>
        <w:ind w:left="2966" w:right="2272" w:hanging="196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参加起草单位：北京市产品质量监督检验研究院</w:t>
      </w:r>
      <w:r>
        <w:rPr>
          <w:rFonts w:ascii="SimHei" w:eastAsia="SimHei" w:hAnsi="SimHei" w:cs="SimHei"/>
          <w:spacing w:val="1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上海神开石油仪器有限公司</w:t>
      </w:r>
    </w:p>
    <w:p>
      <w:pPr>
        <w:spacing w:before="43" w:line="223" w:lineRule="auto"/>
        <w:ind w:left="296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北京易兴元石化科技有限公司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  <w:sectPr>
          <w:headerReference w:type="default" r:id="rId9"/>
          <w:pgSz w:w="11906" w:h="16839"/>
          <w:pgMar w:top="1173" w:right="974" w:bottom="0" w:left="1785" w:header="865" w:footer="0" w:gutter="0"/>
          <w:pgNumType w:start="3"/>
          <w:cols w:space="708"/>
        </w:sectPr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92" w:line="220" w:lineRule="auto"/>
        <w:ind w:left="151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本规程委托北京市计量检测科学研究院负责解释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headerReference w:type="default" r:id="rId10"/>
          <w:type w:val="nextPage"/>
          <w:pgSz w:w="11906" w:h="16839"/>
          <w:pgMar w:top="1173" w:right="974" w:bottom="0" w:left="1785" w:header="865" w:footer="0" w:gutter="0"/>
          <w:pgNumType w:start="4"/>
          <w:cols w:space="708"/>
          <w:titlePg w:val="0"/>
        </w:sectPr>
      </w:pPr>
    </w:p>
    <w:p>
      <w:pPr>
        <w:pStyle w:val="BodyText"/>
        <w:spacing w:line="327" w:lineRule="auto"/>
      </w:pPr>
    </w:p>
    <w:p>
      <w:pPr>
        <w:pStyle w:val="BodyText"/>
        <w:spacing w:line="328" w:lineRule="auto"/>
      </w:pPr>
    </w:p>
    <w:p>
      <w:pPr>
        <w:spacing w:before="91" w:line="223" w:lineRule="auto"/>
        <w:ind w:left="582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本规范主要起草人：</w:t>
      </w:r>
    </w:p>
    <w:p>
      <w:pPr>
        <w:spacing w:before="284" w:line="402" w:lineRule="auto"/>
        <w:ind w:left="2122" w:right="1492"/>
        <w:jc w:val="both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林</w:t>
      </w:r>
      <w:r>
        <w:rPr>
          <w:rFonts w:ascii="SimHei" w:eastAsia="SimHei" w:hAnsi="SimHei" w:cs="SimHei"/>
          <w:spacing w:val="-3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3"/>
          <w:sz w:val="28"/>
          <w:szCs w:val="28"/>
        </w:rPr>
        <w:t>青（北京市计量检测科学研究院）</w:t>
      </w:r>
      <w:r>
        <w:rPr>
          <w:rFonts w:ascii="SimHei" w:eastAsia="SimHei" w:hAnsi="SimHei" w:cs="SimHei"/>
          <w:spacing w:val="1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3"/>
          <w:sz w:val="28"/>
          <w:szCs w:val="28"/>
        </w:rPr>
        <w:t>孟</w:t>
      </w:r>
      <w:r>
        <w:rPr>
          <w:rFonts w:ascii="SimHei" w:eastAsia="SimHei" w:hAnsi="SimHei" w:cs="SimHei"/>
          <w:spacing w:val="-3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3"/>
          <w:sz w:val="28"/>
          <w:szCs w:val="28"/>
        </w:rPr>
        <w:t>雪（北京市计量检测科学研究院）</w:t>
      </w:r>
      <w:r>
        <w:rPr>
          <w:rFonts w:ascii="SimHei" w:eastAsia="SimHei" w:hAnsi="SimHei" w:cs="SimHei"/>
          <w:spacing w:val="1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3"/>
          <w:sz w:val="28"/>
          <w:szCs w:val="28"/>
        </w:rPr>
        <w:t>刘</w:t>
      </w:r>
      <w:r>
        <w:rPr>
          <w:rFonts w:ascii="SimHei" w:eastAsia="SimHei" w:hAnsi="SimHei" w:cs="SimHei"/>
          <w:spacing w:val="-3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3"/>
          <w:sz w:val="28"/>
          <w:szCs w:val="28"/>
        </w:rPr>
        <w:t>冉（北京市计量检测科学研究院）</w:t>
      </w:r>
    </w:p>
    <w:p>
      <w:pPr>
        <w:spacing w:before="44" w:line="398" w:lineRule="auto"/>
        <w:ind w:left="1421" w:right="1489" w:firstLine="70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赵少雷（北京市计量检测科学研究院）</w:t>
      </w:r>
      <w:r>
        <w:rPr>
          <w:rFonts w:ascii="SimHei" w:eastAsia="SimHei" w:hAnsi="SimHei" w:cs="SimHei"/>
          <w:spacing w:val="1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参加起草人：</w:t>
      </w:r>
    </w:p>
    <w:p>
      <w:pPr>
        <w:spacing w:before="40" w:line="222" w:lineRule="auto"/>
        <w:ind w:left="212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杜玉琦（北京市产品质量监督检验研究院）</w:t>
      </w:r>
    </w:p>
    <w:p>
      <w:pPr>
        <w:spacing w:before="287" w:line="397" w:lineRule="auto"/>
        <w:ind w:left="2124" w:right="1211" w:hanging="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杜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彪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（北京易兴元石化科技有限公司）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朱海丰（上海神开石油仪器有限公司）</w:t>
      </w:r>
    </w:p>
    <w:p>
      <w:pPr>
        <w:spacing w:before="43" w:line="222" w:lineRule="auto"/>
        <w:ind w:left="212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吴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红（北京市计量检测科学研究院）</w:t>
      </w:r>
    </w:p>
    <w:p>
      <w:pPr>
        <w:spacing w:line="222" w:lineRule="auto"/>
        <w:rPr>
          <w:rFonts w:ascii="SimHei" w:eastAsia="SimHei" w:hAnsi="SimHei" w:cs="SimHei"/>
          <w:sz w:val="28"/>
          <w:szCs w:val="28"/>
        </w:rPr>
        <w:sectPr>
          <w:headerReference w:type="default" r:id="rId11"/>
          <w:pgSz w:w="11906" w:h="16839"/>
          <w:pgMar w:top="1173" w:right="1785" w:bottom="0" w:left="1785" w:header="865" w:footer="0" w:gutter="0"/>
          <w:pgNumType w:start="5"/>
          <w:cols w:space="708"/>
        </w:sectPr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sdt>
      <w:sdtPr>
        <w:rPr>
          <w:rFonts w:ascii="SimHei" w:eastAsia="SimHei" w:hAnsi="SimHei" w:cs="SimHei"/>
          <w:sz w:val="43"/>
          <w:szCs w:val="43"/>
        </w:rPr>
        <w:id w:val="1440971687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4"/>
          <w:szCs w:val="24"/>
        </w:rPr>
      </w:sdtEndPr>
      <w:sdtContent>
        <w:p>
          <w:pPr>
            <w:spacing w:before="140" w:line="225" w:lineRule="auto"/>
            <w:ind w:left="4092"/>
            <w:rPr>
              <w:rFonts w:ascii="SimHei" w:eastAsia="SimHei" w:hAnsi="SimHei" w:cs="SimHei"/>
              <w:sz w:val="43"/>
              <w:szCs w:val="43"/>
            </w:rPr>
          </w:pPr>
          <w:r>
            <w:rPr>
              <w:rFonts w:ascii="SimHei" w:eastAsia="SimHei" w:hAnsi="SimHei" w:cs="SimHei"/>
              <w:spacing w:val="-32"/>
              <w:sz w:val="43"/>
              <w:szCs w:val="43"/>
            </w:rPr>
            <w:t>目</w:t>
          </w:r>
          <w:r>
            <w:rPr>
              <w:rFonts w:ascii="SimHei" w:eastAsia="SimHei" w:hAnsi="SimHei" w:cs="SimHei"/>
              <w:spacing w:val="12"/>
              <w:sz w:val="43"/>
              <w:szCs w:val="43"/>
            </w:rPr>
            <w:t xml:space="preserve">   </w:t>
          </w:r>
          <w:r>
            <w:rPr>
              <w:rFonts w:ascii="SimHei" w:eastAsia="SimHei" w:hAnsi="SimHei" w:cs="SimHei"/>
              <w:spacing w:val="-32"/>
              <w:sz w:val="43"/>
              <w:szCs w:val="43"/>
            </w:rPr>
            <w:t>录</w:t>
          </w:r>
        </w:p>
        <w:p>
          <w:pPr>
            <w:pStyle w:val="BodyText"/>
            <w:spacing w:line="247" w:lineRule="auto"/>
          </w:pPr>
        </w:p>
        <w:p>
          <w:pPr>
            <w:tabs>
              <w:tab w:val="right" w:leader="dot" w:pos="9625"/>
            </w:tabs>
            <w:spacing w:before="78" w:line="222" w:lineRule="auto"/>
            <w:ind w:left="27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14"/>
              <w:sz w:val="24"/>
              <w:szCs w:val="24"/>
            </w:rPr>
            <w:t>引言</w:t>
          </w:r>
          <w:r>
            <w:rPr>
              <w:rFonts w:ascii="SimSun" w:eastAsia="SimSun" w:hAnsi="SimSun" w:cs="SimSun"/>
              <w:spacing w:val="-45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8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3"/>
              <w:sz w:val="24"/>
              <w:szCs w:val="24"/>
            </w:rPr>
            <w:t>(II)</w:t>
          </w:r>
        </w:p>
        <w:p>
          <w:pPr>
            <w:tabs>
              <w:tab w:val="right" w:leader="dot" w:pos="9625"/>
            </w:tabs>
            <w:spacing w:before="177" w:line="221" w:lineRule="auto"/>
            <w:ind w:left="27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15"/>
              <w:sz w:val="24"/>
              <w:szCs w:val="24"/>
            </w:rPr>
            <w:t>1</w:t>
          </w:r>
          <w:r>
            <w:rPr>
              <w:rFonts w:ascii="SimSun" w:eastAsia="SimSun" w:hAnsi="SimSun" w:cs="SimSun"/>
              <w:spacing w:val="16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5"/>
              <w:sz w:val="24"/>
              <w:szCs w:val="24"/>
            </w:rPr>
            <w:t>范围</w:t>
          </w:r>
          <w:r>
            <w:rPr>
              <w:rFonts w:ascii="SimSun" w:eastAsia="SimSun" w:hAnsi="SimSun" w:cs="SimSun"/>
              <w:spacing w:val="-44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1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1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81" w:line="220" w:lineRule="auto"/>
            <w:ind w:left="12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8"/>
              <w:sz w:val="24"/>
              <w:szCs w:val="24"/>
            </w:rPr>
            <w:t>2</w:t>
          </w:r>
          <w:r>
            <w:rPr>
              <w:rFonts w:ascii="SimSun" w:eastAsia="SimSun" w:hAnsi="SimSun" w:cs="SimSun"/>
              <w:spacing w:val="27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24"/>
              <w:szCs w:val="24"/>
            </w:rPr>
            <w:t>引用文件</w:t>
          </w:r>
          <w:r>
            <w:rPr>
              <w:rFonts w:ascii="SimSun" w:eastAsia="SimSun" w:hAnsi="SimSun" w:cs="SimSun"/>
              <w:spacing w:val="-45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2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1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81" w:line="220" w:lineRule="auto"/>
            <w:ind w:left="14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9"/>
              <w:sz w:val="24"/>
              <w:szCs w:val="24"/>
            </w:rPr>
            <w:t>3</w:t>
          </w:r>
          <w:r>
            <w:rPr>
              <w:rFonts w:ascii="SimSun" w:eastAsia="SimSun" w:hAnsi="SimSun" w:cs="SimSun"/>
              <w:spacing w:val="11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9"/>
              <w:sz w:val="24"/>
              <w:szCs w:val="24"/>
            </w:rPr>
            <w:t>术语</w:t>
          </w:r>
          <w:r>
            <w:rPr>
              <w:rFonts w:ascii="SimSun" w:eastAsia="SimSun" w:hAnsi="SimSun" w:cs="SimSun"/>
              <w:spacing w:val="-44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3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1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79" w:line="220" w:lineRule="auto"/>
            <w:ind w:left="8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6"/>
              <w:sz w:val="24"/>
              <w:szCs w:val="24"/>
            </w:rPr>
            <w:t>4</w:t>
          </w:r>
          <w:r>
            <w:rPr>
              <w:rFonts w:ascii="SimSun" w:eastAsia="SimSun" w:hAnsi="SimSun" w:cs="SimSun"/>
              <w:spacing w:val="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4"/>
              <w:szCs w:val="24"/>
            </w:rPr>
            <w:t>概述</w:t>
          </w:r>
          <w:r>
            <w:rPr>
              <w:rFonts w:ascii="SimSun" w:eastAsia="SimSun" w:hAnsi="SimSun" w:cs="SimSun"/>
              <w:spacing w:val="-45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4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1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82" w:line="220" w:lineRule="auto"/>
            <w:ind w:left="14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5"/>
              <w:sz w:val="24"/>
              <w:szCs w:val="24"/>
            </w:rPr>
            <w:t>5</w:t>
          </w:r>
          <w:r>
            <w:rPr>
              <w:rFonts w:ascii="SimSun" w:eastAsia="SimSun" w:hAnsi="SimSun" w:cs="SimSun"/>
              <w:spacing w:val="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4"/>
              <w:szCs w:val="24"/>
            </w:rPr>
            <w:t>计量特性</w:t>
          </w:r>
          <w:r>
            <w:rPr>
              <w:rFonts w:ascii="SimSun" w:eastAsia="SimSun" w:hAnsi="SimSun" w:cs="SimSun"/>
              <w:spacing w:val="-44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5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2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79" w:line="220" w:lineRule="auto"/>
            <w:ind w:left="11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5"/>
              <w:sz w:val="24"/>
              <w:szCs w:val="24"/>
            </w:rPr>
            <w:t>6</w:t>
          </w:r>
          <w:r>
            <w:rPr>
              <w:rFonts w:ascii="SimSun" w:eastAsia="SimSun" w:hAnsi="SimSun" w:cs="SimSun"/>
              <w:spacing w:val="12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4"/>
              <w:szCs w:val="24"/>
            </w:rPr>
            <w:t>校准条件</w:t>
          </w:r>
          <w:r>
            <w:rPr>
              <w:rFonts w:ascii="SimSun" w:eastAsia="SimSun" w:hAnsi="SimSun" w:cs="SimSun"/>
              <w:spacing w:val="-44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6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2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82" w:line="220" w:lineRule="auto"/>
            <w:ind w:left="11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2"/>
              <w:sz w:val="24"/>
              <w:szCs w:val="24"/>
            </w:rPr>
            <w:t>6.1 环境条件</w:t>
          </w:r>
          <w:r>
            <w:rPr>
              <w:rFonts w:ascii="SimSun" w:eastAsia="SimSun" w:hAnsi="SimSun" w:cs="SimSun"/>
              <w:spacing w:val="-41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7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2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80" w:line="221" w:lineRule="auto"/>
            <w:ind w:left="11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1"/>
              <w:sz w:val="24"/>
              <w:szCs w:val="24"/>
            </w:rPr>
            <w:t>6.2 校准用设备和标准物质</w:t>
          </w:r>
          <w:r>
            <w:rPr>
              <w:rFonts w:ascii="SimSun" w:eastAsia="SimSun" w:hAnsi="SimSun" w:cs="SimSun"/>
              <w:spacing w:val="-4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8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2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80" w:line="221" w:lineRule="auto"/>
            <w:ind w:left="15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2"/>
              <w:sz w:val="24"/>
              <w:szCs w:val="24"/>
            </w:rPr>
            <w:t>7 校准项目和校准方法</w:t>
          </w:r>
          <w:r>
            <w:rPr>
              <w:rFonts w:ascii="SimSun" w:eastAsia="SimSun" w:hAnsi="SimSun" w:cs="SimSun"/>
              <w:spacing w:val="-3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9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2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79" w:line="220" w:lineRule="auto"/>
            <w:ind w:left="15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2"/>
              <w:sz w:val="24"/>
              <w:szCs w:val="24"/>
            </w:rPr>
            <w:t>7.1 转速示值误差</w:t>
          </w:r>
          <w:r>
            <w:rPr>
              <w:rFonts w:ascii="SimSun" w:eastAsia="SimSun" w:hAnsi="SimSun" w:cs="SimSun"/>
              <w:spacing w:val="-41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10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3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82" w:line="220" w:lineRule="auto"/>
            <w:ind w:left="15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2"/>
              <w:sz w:val="24"/>
              <w:szCs w:val="24"/>
            </w:rPr>
            <w:t>7.2 辛烷值示值误差及重复性</w:t>
          </w:r>
          <w:r>
            <w:rPr>
              <w:rFonts w:ascii="SimSun" w:eastAsia="SimSun" w:hAnsi="SimSun" w:cs="SimSun"/>
              <w:spacing w:val="-31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11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3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79" w:line="221" w:lineRule="auto"/>
            <w:ind w:left="10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2"/>
              <w:sz w:val="24"/>
              <w:szCs w:val="24"/>
            </w:rPr>
            <w:t>8 校准结果表达</w:t>
          </w:r>
          <w:r>
            <w:rPr>
              <w:rFonts w:ascii="SimSun" w:eastAsia="SimSun" w:hAnsi="SimSun" w:cs="SimSun"/>
              <w:spacing w:val="-40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12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3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81" w:line="221" w:lineRule="auto"/>
            <w:ind w:left="10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4"/>
              <w:sz w:val="24"/>
              <w:szCs w:val="24"/>
            </w:rPr>
            <w:t>9</w:t>
          </w:r>
          <w:r>
            <w:rPr>
              <w:rFonts w:ascii="SimSun" w:eastAsia="SimSun" w:hAnsi="SimSun" w:cs="SimSun"/>
              <w:spacing w:val="16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4"/>
              <w:szCs w:val="24"/>
            </w:rPr>
            <w:t>复校时间间隔</w:t>
          </w:r>
          <w:r>
            <w:rPr>
              <w:rFonts w:ascii="SimSun" w:eastAsia="SimSun" w:hAnsi="SimSun" w:cs="SimSun"/>
              <w:spacing w:val="-44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1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13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3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79" w:line="219" w:lineRule="auto"/>
            <w:ind w:left="28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2"/>
              <w:sz w:val="24"/>
              <w:szCs w:val="24"/>
            </w:rPr>
            <w:t>附录</w:t>
          </w:r>
          <w:r>
            <w:rPr>
              <w:rFonts w:ascii="SimSun" w:eastAsia="SimSun" w:hAnsi="SimSun" w:cs="SimSun"/>
              <w:spacing w:val="-50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24"/>
              <w:szCs w:val="24"/>
            </w:rPr>
            <w:t>A 辛烷值示值误差的不确定度评定示例</w:t>
          </w:r>
          <w:r>
            <w:rPr>
              <w:rFonts w:ascii="SimSun" w:eastAsia="SimSun" w:hAnsi="SimSun" w:cs="SimSun"/>
              <w:spacing w:val="-44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41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14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5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83" w:line="219" w:lineRule="auto"/>
            <w:ind w:left="28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4"/>
              <w:sz w:val="24"/>
              <w:szCs w:val="24"/>
            </w:rPr>
            <w:t>附录</w:t>
          </w:r>
          <w:r>
            <w:rPr>
              <w:rFonts w:ascii="SimSun" w:eastAsia="SimSun" w:hAnsi="SimSun" w:cs="SimSun"/>
              <w:spacing w:val="-50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4"/>
              <w:szCs w:val="24"/>
            </w:rPr>
            <w:t>B 校准记录格式</w:t>
          </w:r>
          <w:r>
            <w:rPr>
              <w:rFonts w:ascii="SimSun" w:eastAsia="SimSun" w:hAnsi="SimSun" w:cs="SimSun"/>
              <w:spacing w:val="-44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41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15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8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  <w:p>
          <w:pPr>
            <w:tabs>
              <w:tab w:val="right" w:leader="dot" w:pos="9625"/>
            </w:tabs>
            <w:spacing w:before="181" w:line="219" w:lineRule="auto"/>
            <w:ind w:left="28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3"/>
              <w:sz w:val="24"/>
              <w:szCs w:val="24"/>
            </w:rPr>
            <w:t>附录</w:t>
          </w:r>
          <w:r>
            <w:rPr>
              <w:rFonts w:ascii="SimSun" w:eastAsia="SimSun" w:hAnsi="SimSun" w:cs="SimSun"/>
              <w:spacing w:val="-5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4"/>
              <w:szCs w:val="24"/>
            </w:rPr>
            <w:t>C 校准证书内页格式</w:t>
          </w:r>
          <w:r>
            <w:rPr>
              <w:rFonts w:ascii="SimSun" w:eastAsia="SimSun" w:hAnsi="SimSun" w:cs="SimSun"/>
              <w:spacing w:val="-45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41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24"/>
              <w:szCs w:val="24"/>
            </w:rPr>
            <w:t>(</w:t>
          </w:r>
          <w:hyperlink w:anchor="bookmark16" w:history="1"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>9</w:t>
            </w:r>
          </w:hyperlink>
          <w:r>
            <w:rPr>
              <w:rFonts w:ascii="SimSun" w:eastAsia="SimSun" w:hAnsi="SimSun" w:cs="SimSun"/>
              <w:spacing w:val="-18"/>
              <w:sz w:val="24"/>
              <w:szCs w:val="24"/>
            </w:rPr>
            <w:t>)</w:t>
          </w:r>
        </w:p>
      </w:sdtContent>
    </w:sdt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2"/>
          <w:footerReference w:type="default" r:id="rId13"/>
          <w:pgSz w:w="11906" w:h="16839"/>
          <w:pgMar w:top="1173" w:right="861" w:bottom="1178" w:left="1418" w:header="865" w:footer="994" w:gutter="0"/>
          <w:pgNumType w:start="6"/>
          <w:cols w:space="708"/>
        </w:sectPr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39" w:line="227" w:lineRule="auto"/>
        <w:ind w:left="4075"/>
        <w:outlineLvl w:val="0"/>
        <w:rPr>
          <w:rFonts w:ascii="SimHei" w:eastAsia="SimHei" w:hAnsi="SimHei" w:cs="SimHei"/>
          <w:sz w:val="43"/>
          <w:szCs w:val="43"/>
        </w:rPr>
      </w:pPr>
      <w:bookmarkStart w:id="0" w:name="bookmark14"/>
      <w:bookmarkEnd w:id="0"/>
      <w:r>
        <w:rPr>
          <w:rFonts w:ascii="SimHei" w:eastAsia="SimHei" w:hAnsi="SimHei" w:cs="SimHei"/>
          <w:spacing w:val="-23"/>
          <w:sz w:val="43"/>
          <w:szCs w:val="43"/>
        </w:rPr>
        <w:t>引</w:t>
      </w:r>
      <w:r>
        <w:rPr>
          <w:rFonts w:ascii="SimHei" w:eastAsia="SimHei" w:hAnsi="SimHei" w:cs="SimHei"/>
          <w:spacing w:val="21"/>
          <w:sz w:val="43"/>
          <w:szCs w:val="43"/>
        </w:rPr>
        <w:t xml:space="preserve">  </w:t>
      </w:r>
      <w:r>
        <w:rPr>
          <w:rFonts w:ascii="SimHei" w:eastAsia="SimHei" w:hAnsi="SimHei" w:cs="SimHei"/>
          <w:spacing w:val="-23"/>
          <w:sz w:val="43"/>
          <w:szCs w:val="43"/>
        </w:rPr>
        <w:t>言</w:t>
      </w:r>
    </w:p>
    <w:p>
      <w:pPr>
        <w:pStyle w:val="BodyText"/>
        <w:spacing w:line="322" w:lineRule="auto"/>
      </w:pPr>
    </w:p>
    <w:p>
      <w:pPr>
        <w:spacing w:before="78" w:line="351" w:lineRule="auto"/>
        <w:ind w:left="7" w:firstLine="603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本规范依据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JJF 1071-2010《国家计量校准规范编写规则》、JJF 1001-2011《通用计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量术语及定义》和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JJF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1059.1-2012《测量不确定度评定与表示》的规定而制定，参考了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GB/T 5487-2015《汽油辛烷值的测定 研究</w:t>
      </w:r>
      <w:r>
        <w:rPr>
          <w:rFonts w:ascii="SimSun" w:eastAsia="SimSun" w:hAnsi="SimSun" w:cs="SimSun"/>
          <w:spacing w:val="-1"/>
          <w:sz w:val="24"/>
          <w:szCs w:val="24"/>
        </w:rPr>
        <w:t>法》的相关内容。</w:t>
      </w:r>
    </w:p>
    <w:p>
      <w:pPr>
        <w:spacing w:before="36" w:line="219" w:lineRule="auto"/>
        <w:ind w:left="61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本规范为首次发布。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4"/>
          <w:footerReference w:type="default" r:id="rId15"/>
          <w:pgSz w:w="11906" w:h="16839"/>
          <w:pgMar w:top="1173" w:right="1417" w:bottom="1178" w:left="1126" w:header="865" w:footer="994" w:gutter="0"/>
          <w:pgNumType w:start="7"/>
          <w:cols w:space="708"/>
        </w:sectPr>
      </w:pPr>
    </w:p>
    <w:p>
      <w:pPr>
        <w:pStyle w:val="BodyText"/>
        <w:spacing w:line="298" w:lineRule="auto"/>
      </w:pPr>
    </w:p>
    <w:p>
      <w:pPr>
        <w:pStyle w:val="BodyText"/>
        <w:spacing w:line="298" w:lineRule="auto"/>
      </w:pPr>
    </w:p>
    <w:p>
      <w:pPr>
        <w:pStyle w:val="BodyText"/>
        <w:spacing w:line="299" w:lineRule="auto"/>
      </w:pPr>
    </w:p>
    <w:p>
      <w:pPr>
        <w:spacing w:before="101" w:line="226" w:lineRule="auto"/>
        <w:ind w:left="2718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9"/>
          <w:sz w:val="31"/>
          <w:szCs w:val="31"/>
        </w:rPr>
        <w:t>研究法辛烷值测定仪校准规范</w:t>
      </w:r>
    </w:p>
    <w:p>
      <w:pPr>
        <w:pStyle w:val="BodyText"/>
        <w:spacing w:line="332" w:lineRule="auto"/>
      </w:pPr>
    </w:p>
    <w:p>
      <w:pPr>
        <w:spacing w:before="78" w:line="223" w:lineRule="auto"/>
        <w:ind w:left="134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2"/>
          <w:sz w:val="24"/>
          <w:szCs w:val="24"/>
        </w:rPr>
        <w:t>1</w:t>
      </w:r>
      <w:r>
        <w:rPr>
          <w:rFonts w:ascii="SimHei" w:eastAsia="SimHei" w:hAnsi="SimHei" w:cs="SimHei"/>
          <w:spacing w:val="13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12"/>
          <w:sz w:val="24"/>
          <w:szCs w:val="24"/>
        </w:rPr>
        <w:t>范围</w:t>
      </w:r>
    </w:p>
    <w:p>
      <w:pPr>
        <w:pStyle w:val="BodyText"/>
        <w:spacing w:line="254" w:lineRule="auto"/>
      </w:pPr>
    </w:p>
    <w:p>
      <w:pPr>
        <w:spacing w:before="78" w:line="219" w:lineRule="auto"/>
        <w:ind w:left="60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本规范适用于测量范围为（90~100）的研</w:t>
      </w:r>
      <w:r>
        <w:rPr>
          <w:rFonts w:ascii="SimSun" w:eastAsia="SimSun" w:hAnsi="SimSun" w:cs="SimSun"/>
          <w:spacing w:val="-1"/>
          <w:sz w:val="24"/>
          <w:szCs w:val="24"/>
        </w:rPr>
        <w:t>究法辛烷值测定仪的校准。</w:t>
      </w:r>
    </w:p>
    <w:p>
      <w:pPr>
        <w:pStyle w:val="BodyText"/>
        <w:spacing w:line="258" w:lineRule="auto"/>
      </w:pPr>
    </w:p>
    <w:p>
      <w:pPr>
        <w:spacing w:before="78" w:line="222" w:lineRule="auto"/>
        <w:ind w:left="12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8"/>
          <w:sz w:val="24"/>
          <w:szCs w:val="24"/>
        </w:rPr>
        <w:t>2</w:t>
      </w:r>
      <w:r>
        <w:rPr>
          <w:rFonts w:ascii="SimHei" w:eastAsia="SimHei" w:hAnsi="SimHei" w:cs="SimHei"/>
          <w:spacing w:val="31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8"/>
          <w:sz w:val="24"/>
          <w:szCs w:val="24"/>
        </w:rPr>
        <w:t>引用文件</w:t>
      </w:r>
    </w:p>
    <w:p>
      <w:pPr>
        <w:pStyle w:val="BodyText"/>
        <w:spacing w:line="256" w:lineRule="auto"/>
      </w:pPr>
    </w:p>
    <w:p>
      <w:pPr>
        <w:spacing w:before="79" w:line="219" w:lineRule="auto"/>
        <w:ind w:left="5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GB/T 5487-2015  汽油辛烷</w:t>
      </w:r>
      <w:r>
        <w:rPr>
          <w:rFonts w:ascii="SimSun" w:eastAsia="SimSun" w:hAnsi="SimSun" w:cs="SimSun"/>
          <w:spacing w:val="-1"/>
          <w:sz w:val="24"/>
          <w:szCs w:val="24"/>
        </w:rPr>
        <w:t>值的测定 研究法</w:t>
      </w:r>
    </w:p>
    <w:p>
      <w:pPr>
        <w:spacing w:before="263" w:line="222" w:lineRule="auto"/>
        <w:ind w:left="122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6"/>
          <w:sz w:val="24"/>
          <w:szCs w:val="24"/>
        </w:rPr>
        <w:t>3</w:t>
      </w:r>
      <w:r>
        <w:rPr>
          <w:rFonts w:ascii="SimHei" w:eastAsia="SimHei" w:hAnsi="SimHei" w:cs="SimHei"/>
          <w:spacing w:val="8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6"/>
          <w:sz w:val="24"/>
          <w:szCs w:val="24"/>
        </w:rPr>
        <w:t>术语</w:t>
      </w:r>
    </w:p>
    <w:p>
      <w:pPr>
        <w:spacing w:before="256" w:line="220" w:lineRule="auto"/>
        <w:ind w:left="12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3.1 辛烷值 octane number  【GB/T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5487-2015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3.1.19】</w:t>
      </w:r>
    </w:p>
    <w:p>
      <w:pPr>
        <w:spacing w:before="181" w:line="219" w:lineRule="auto"/>
        <w:ind w:left="60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在标准发动机试验或行车试验中与标准燃料比较得到的</w:t>
      </w:r>
      <w:r>
        <w:rPr>
          <w:rFonts w:ascii="SimSun" w:eastAsia="SimSun" w:hAnsi="SimSun" w:cs="SimSun"/>
          <w:spacing w:val="-1"/>
          <w:sz w:val="24"/>
          <w:szCs w:val="24"/>
        </w:rPr>
        <w:t>抗爆性能的数字指标。</w:t>
      </w:r>
    </w:p>
    <w:p>
      <w:pPr>
        <w:spacing w:before="184" w:line="219" w:lineRule="auto"/>
        <w:ind w:left="12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 xml:space="preserve">3.2 研究法辛烷值 research octane </w:t>
      </w:r>
      <w:r>
        <w:rPr>
          <w:rFonts w:ascii="SimSun" w:eastAsia="SimSun" w:hAnsi="SimSun" w:cs="SimSun"/>
          <w:spacing w:val="-1"/>
          <w:sz w:val="24"/>
          <w:szCs w:val="24"/>
        </w:rPr>
        <w:t>number  【GB/T 5487-2015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3.1.20】</w:t>
      </w:r>
    </w:p>
    <w:p>
      <w:pPr>
        <w:spacing w:before="181" w:line="351" w:lineRule="auto"/>
        <w:ind w:left="122" w:right="113" w:firstLine="480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使用标准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CFR</w:t>
      </w:r>
      <w:r>
        <w:rPr>
          <w:rFonts w:ascii="SimSun" w:eastAsia="SimSun" w:hAnsi="SimSun" w:cs="SimSun"/>
          <w:spacing w:val="1"/>
          <w:sz w:val="24"/>
          <w:szCs w:val="24"/>
        </w:rPr>
        <w:t>（合作燃料研究组织）发动机试验，在特定的进气温度和较低的发</w:t>
      </w:r>
      <w:r>
        <w:rPr>
          <w:rFonts w:ascii="SimSun" w:eastAsia="SimSun" w:hAnsi="SimSun" w:cs="SimSun"/>
          <w:sz w:val="24"/>
          <w:szCs w:val="24"/>
        </w:rPr>
        <w:t xml:space="preserve">动机 </w:t>
      </w:r>
      <w:r>
        <w:rPr>
          <w:rFonts w:ascii="SimSun" w:eastAsia="SimSun" w:hAnsi="SimSun" w:cs="SimSun"/>
          <w:sz w:val="24"/>
          <w:szCs w:val="24"/>
        </w:rPr>
        <w:t>转速（600 r/min±6 r/min）条件下，通过比较</w:t>
      </w:r>
      <w:r>
        <w:rPr>
          <w:rFonts w:ascii="SimSun" w:eastAsia="SimSun" w:hAnsi="SimSun" w:cs="SimSun"/>
          <w:spacing w:val="-1"/>
          <w:sz w:val="24"/>
          <w:szCs w:val="24"/>
        </w:rPr>
        <w:t>待测试样与正标准燃料的爆震强度得到的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抗爆性能的数字指标。</w:t>
      </w:r>
    </w:p>
    <w:p>
      <w:pPr>
        <w:spacing w:before="38" w:line="289" w:lineRule="auto"/>
        <w:ind w:left="598" w:right="2873" w:hanging="47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3.3 爆震强度 knock intensity  【GB/T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5487-2015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3.1</w:t>
      </w:r>
      <w:r>
        <w:rPr>
          <w:rFonts w:ascii="SimSun" w:eastAsia="SimSun" w:hAnsi="SimSun" w:cs="SimSun"/>
          <w:spacing w:val="-2"/>
          <w:sz w:val="24"/>
          <w:szCs w:val="24"/>
        </w:rPr>
        <w:t>.15】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爆震程度的度量。</w:t>
      </w:r>
    </w:p>
    <w:p>
      <w:pPr>
        <w:spacing w:before="263" w:line="221" w:lineRule="auto"/>
        <w:ind w:left="116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4"/>
          <w:sz w:val="24"/>
          <w:szCs w:val="24"/>
        </w:rPr>
        <w:t>4</w:t>
      </w:r>
      <w:r>
        <w:rPr>
          <w:rFonts w:ascii="SimHei" w:eastAsia="SimHei" w:hAnsi="SimHei" w:cs="SimHei"/>
          <w:spacing w:val="8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4"/>
          <w:sz w:val="24"/>
          <w:szCs w:val="24"/>
        </w:rPr>
        <w:t>概述</w:t>
      </w:r>
    </w:p>
    <w:p>
      <w:pPr>
        <w:spacing w:before="258" w:line="353" w:lineRule="auto"/>
        <w:ind w:left="123" w:right="113" w:firstLine="485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辛烷值测定仪（以下简称仪器）主要用于汽油辛烷</w:t>
      </w:r>
      <w:r>
        <w:rPr>
          <w:rFonts w:ascii="SimSun" w:eastAsia="SimSun" w:hAnsi="SimSun" w:cs="SimSun"/>
          <w:spacing w:val="-6"/>
          <w:sz w:val="24"/>
          <w:szCs w:val="24"/>
        </w:rPr>
        <w:t>值的测定，其工作原理是：利用</w:t>
      </w:r>
      <w:r>
        <w:rPr>
          <w:rFonts w:ascii="SimSun" w:eastAsia="SimSun" w:hAnsi="SimSun" w:cs="SimSun"/>
          <w:spacing w:val="-5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CFR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发动机和专用的电子爆震仪器，在规定的运转</w:t>
      </w:r>
      <w:r>
        <w:rPr>
          <w:rFonts w:ascii="SimSun" w:eastAsia="SimSun" w:hAnsi="SimSun" w:cs="SimSun"/>
          <w:spacing w:val="-1"/>
          <w:sz w:val="24"/>
          <w:szCs w:val="24"/>
        </w:rPr>
        <w:t>条件下，将待测汽油样品与已知辛烷值的正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标混合燃料的爆震强度进行对比，从而确定待</w:t>
      </w:r>
      <w:r>
        <w:rPr>
          <w:rFonts w:ascii="SimSun" w:eastAsia="SimSun" w:hAnsi="SimSun" w:cs="SimSun"/>
          <w:spacing w:val="-1"/>
          <w:sz w:val="24"/>
          <w:szCs w:val="24"/>
        </w:rPr>
        <w:t>测汽油样品的辛烷值，检测方法分为内插法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和压缩比法。</w:t>
      </w:r>
    </w:p>
    <w:p>
      <w:pPr>
        <w:spacing w:before="112" w:line="222" w:lineRule="auto"/>
        <w:ind w:left="117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"/>
          <w:sz w:val="24"/>
          <w:szCs w:val="24"/>
        </w:rPr>
        <w:t>5</w:t>
      </w:r>
      <w:r>
        <w:rPr>
          <w:rFonts w:ascii="SimHei" w:eastAsia="SimHei" w:hAnsi="SimHei" w:cs="SimHei"/>
          <w:spacing w:val="10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3"/>
          <w:sz w:val="24"/>
          <w:szCs w:val="24"/>
        </w:rPr>
        <w:t>计量特性</w:t>
      </w:r>
    </w:p>
    <w:p>
      <w:pPr>
        <w:spacing w:before="259" w:line="220" w:lineRule="auto"/>
        <w:ind w:left="60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仪器各项计量特性指标见表</w:t>
      </w:r>
      <w:r>
        <w:rPr>
          <w:rFonts w:ascii="SimSun" w:eastAsia="SimSun" w:hAnsi="SimSun" w:cs="SimSun"/>
          <w:spacing w:val="-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1。</w:t>
      </w:r>
    </w:p>
    <w:p>
      <w:pPr>
        <w:spacing w:before="197" w:line="229" w:lineRule="auto"/>
        <w:ind w:left="351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2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1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辛烷值测定仪计量特性</w:t>
      </w:r>
    </w:p>
    <w:p>
      <w:pPr>
        <w:spacing w:line="90" w:lineRule="exact"/>
        <w:sectPr>
          <w:headerReference w:type="default" r:id="rId16"/>
          <w:footerReference w:type="default" r:id="rId17"/>
          <w:pgSz w:w="11906" w:h="16839"/>
          <w:pgMar w:top="1173" w:right="1021" w:bottom="1181" w:left="1305" w:header="865" w:footer="994" w:gutter="0"/>
          <w:pgNumType w:start="8"/>
          <w:cols w:space="708"/>
        </w:sectPr>
      </w:pPr>
    </w:p>
    <w:tbl>
      <w:tblPr>
        <w:tblStyle w:val="TableNormal0"/>
        <w:tblW w:w="957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71"/>
        <w:gridCol w:w="6403"/>
      </w:tblGrid>
      <w:tr>
        <w:tblPrEx>
          <w:tblW w:w="957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6"/>
        </w:trPr>
        <w:tc>
          <w:tcPr>
            <w:tcW w:w="3171" w:type="dxa"/>
            <w:vAlign w:val="top"/>
          </w:tcPr>
          <w:p>
            <w:pPr>
              <w:spacing w:before="178" w:line="229" w:lineRule="auto"/>
              <w:ind w:left="1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计量项目</w:t>
            </w:r>
          </w:p>
        </w:tc>
        <w:tc>
          <w:tcPr>
            <w:tcW w:w="6403" w:type="dxa"/>
            <w:vAlign w:val="top"/>
          </w:tcPr>
          <w:p>
            <w:pPr>
              <w:spacing w:before="178" w:line="228" w:lineRule="auto"/>
              <w:ind w:left="27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技术指标</w:t>
            </w:r>
          </w:p>
        </w:tc>
      </w:tr>
      <w:tr>
        <w:tblPrEx>
          <w:tblW w:w="9574" w:type="dxa"/>
          <w:tblInd w:w="2" w:type="dxa"/>
          <w:tblLayout w:type="fixed"/>
        </w:tblPrEx>
        <w:trPr>
          <w:trHeight w:val="561"/>
        </w:trPr>
        <w:tc>
          <w:tcPr>
            <w:tcW w:w="3171" w:type="dxa"/>
            <w:vAlign w:val="top"/>
          </w:tcPr>
          <w:p>
            <w:pPr>
              <w:spacing w:before="176" w:line="228" w:lineRule="auto"/>
              <w:ind w:left="9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转速示值误差</w:t>
            </w:r>
          </w:p>
        </w:tc>
        <w:tc>
          <w:tcPr>
            <w:tcW w:w="6403" w:type="dxa"/>
            <w:vAlign w:val="top"/>
          </w:tcPr>
          <w:p>
            <w:pPr>
              <w:spacing w:before="175" w:line="230" w:lineRule="auto"/>
              <w:ind w:left="26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不超过±1%</w:t>
            </w:r>
          </w:p>
        </w:tc>
      </w:tr>
      <w:tr>
        <w:tblPrEx>
          <w:tblW w:w="9574" w:type="dxa"/>
          <w:tblInd w:w="2" w:type="dxa"/>
          <w:tblLayout w:type="fixed"/>
        </w:tblPrEx>
        <w:trPr>
          <w:trHeight w:val="558"/>
        </w:trPr>
        <w:tc>
          <w:tcPr>
            <w:tcW w:w="3171" w:type="dxa"/>
            <w:vAlign w:val="top"/>
          </w:tcPr>
          <w:p>
            <w:pPr>
              <w:spacing w:before="174" w:line="228" w:lineRule="auto"/>
              <w:ind w:left="8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辛烷值示值误差</w:t>
            </w:r>
          </w:p>
        </w:tc>
        <w:tc>
          <w:tcPr>
            <w:tcW w:w="6403" w:type="dxa"/>
            <w:vAlign w:val="top"/>
          </w:tcPr>
          <w:p>
            <w:pPr>
              <w:spacing w:before="173" w:line="230" w:lineRule="auto"/>
              <w:ind w:left="26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不超过±0.5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https://d.book118.com/727052125156006051</w:t>
        </w:r>
      </w:hyperlink>
    </w:p>
    <w:p/>
    <w:sectPr>
      <w:headerReference w:type="default" r:id="rId19"/>
      <w:footerReference w:type="default" r:id="rId20"/>
      <w:type w:val="nextPage"/>
      <w:pgSz w:w="11906" w:h="16839"/>
      <w:pgMar w:top="1173" w:right="1021" w:bottom="1181" w:left="1305" w:header="865" w:footer="994" w:gutter="0"/>
      <w:pgNumType w:start="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9296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9296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9296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49" style="width:415.65pt;height:0.75pt;margin-top:57.1pt;margin-left:89.85pt;mso-position-horizontal-relative:page;mso-position-vertical-relative:page;position:absolute;z-index:251658240" coordorigin="0,0" coordsize="8312,15" o:allowincell="f" path="m,l8312,l8312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(京)111-2023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0" style="width:415.65pt;height:0.75pt;margin-top:57.1pt;margin-left:89.85pt;mso-position-horizontal-relative:page;mso-position-vertical-relative:page;position:absolute;z-index:251659264" coordorigin="0,0" coordsize="8312,15" o:allowincell="f" path="m,l8312,l8312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(京)111-2023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1" style="width:415.65pt;height:0.75pt;margin-top:57.1pt;margin-left:89.85pt;mso-position-horizontal-relative:page;mso-position-vertical-relative:page;position:absolute;z-index:251660288" coordorigin="0,0" coordsize="8312,15" o:allowincell="f" path="m,l8312,l8312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(京)111-2023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903"/>
      <w:rPr>
        <w:rFonts w:ascii="SimHei" w:eastAsia="SimHei" w:hAnsi="SimHei" w:cs="SimHei"/>
        <w:sz w:val="20"/>
        <w:szCs w:val="20"/>
      </w:rPr>
    </w:pPr>
    <w:r>
      <w:pict>
        <v:shape id="_x0000_s2052" style="width:468.1pt;height:0.75pt;margin-top:57.1pt;margin-left:70.9pt;mso-position-horizontal-relative:page;mso-position-vertical-relative:page;position:absolute;z-index:251661312" coordorigin="0,0" coordsize="9362,15" o:allowincell="f" path="m,l9361,l9361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(京)111-2023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904"/>
      <w:rPr>
        <w:rFonts w:ascii="SimHei" w:eastAsia="SimHei" w:hAnsi="SimHei" w:cs="SimHei"/>
        <w:sz w:val="20"/>
        <w:szCs w:val="20"/>
      </w:rPr>
    </w:pPr>
    <w:r>
      <w:pict>
        <v:shape id="_x0000_s2053" style="width:468.05pt;height:0.75pt;margin-top:57.1pt;margin-left:56.35pt;mso-position-horizontal-relative:page;mso-position-vertical-relative:page;position:absolute;z-index:251662336" coordorigin="0,0" coordsize="9360,15" o:allowincell="f" path="m,l9360,l9360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(京)111-2023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4011"/>
      <w:rPr>
        <w:rFonts w:ascii="SimHei" w:eastAsia="SimHei" w:hAnsi="SimHei" w:cs="SimHei"/>
        <w:sz w:val="20"/>
        <w:szCs w:val="20"/>
      </w:rPr>
    </w:pPr>
    <w:r>
      <w:pict>
        <v:shape id="_x0000_s2054" style="width:467.75pt;height:0.75pt;margin-top:57.1pt;margin-left:70.9pt;mso-position-horizontal-relative:page;mso-position-vertical-relative:page;position:absolute;z-index:251663360" coordorigin="0,0" coordsize="9355,15" o:allowincell="f" path="m,l9354,l9354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(京)111-2023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4011"/>
      <w:rPr>
        <w:rFonts w:ascii="SimHei" w:eastAsia="SimHei" w:hAnsi="SimHei" w:cs="SimHei"/>
        <w:sz w:val="20"/>
        <w:szCs w:val="20"/>
      </w:rPr>
    </w:pPr>
    <w:r>
      <w:pict>
        <v:shape id="_x0000_s2055" style="width:467.75pt;height:0.75pt;margin-top:57.1pt;margin-left:70.9pt;mso-position-horizontal-relative:page;mso-position-vertical-relative:page;position:absolute;z-index:251664384" coordorigin="0,0" coordsize="9355,15" o:allowincell="f" path="m,l9354,l9354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(京)111-2023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footer" Target="footer1.xml" /><Relationship Id="rId14" Type="http://schemas.openxmlformats.org/officeDocument/2006/relationships/header" Target="header5.xml" /><Relationship Id="rId15" Type="http://schemas.openxmlformats.org/officeDocument/2006/relationships/footer" Target="footer2.xml" /><Relationship Id="rId16" Type="http://schemas.openxmlformats.org/officeDocument/2006/relationships/header" Target="header6.xml" /><Relationship Id="rId17" Type="http://schemas.openxmlformats.org/officeDocument/2006/relationships/footer" Target="footer3.xml" /><Relationship Id="rId18" Type="http://schemas.openxmlformats.org/officeDocument/2006/relationships/hyperlink" Target="https://d.book118.com/727052125156006051" TargetMode="Externa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四轮定位仪检定规程</dc:title>
  <dc:creator>sv</dc:creator>
  <cp:revision>0</cp:revision>
  <dcterms:created xsi:type="dcterms:W3CDTF">2023-06-15T15:30:02Z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2024-03-12T10:44:59Z</vt:filetime>
  </property>
  <property fmtid="{D5CDD505-2E9C-101B-9397-08002B2CF9AE}" pid="3" name="CRO">
    <vt:lpwstr>wqlLaW5nc29mdCBQREYgdG8gV1BTIDEwMA</vt:lpwstr>
  </property>
</Properties>
</file>