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v:fill color2="white"/>
    </v:background>
  </w:background>
  <w:body>
    <w:p>
      <w:pPr>
        <w:spacing w:line="240" w:lineRule="auto"/>
        <w:outlineLvl w:val="0"/>
        <w:rPr>
          <w:kern w:val="21"/>
          <w:sz w:val="28"/>
        </w:rPr>
      </w:pPr>
      <w:r>
        <w:rPr>
          <w:b/>
          <w:kern w:val="21"/>
          <w:sz w:val="32"/>
        </w:rPr>
        <w:t>项目基本情况</w:t>
      </w: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1671"/>
        <w:gridCol w:w="848"/>
        <w:gridCol w:w="987"/>
        <w:gridCol w:w="875"/>
        <w:gridCol w:w="404"/>
        <w:gridCol w:w="228"/>
        <w:gridCol w:w="198"/>
        <w:gridCol w:w="569"/>
        <w:gridCol w:w="284"/>
        <w:gridCol w:w="492"/>
        <w:gridCol w:w="871"/>
        <w:gridCol w:w="477"/>
        <w:gridCol w:w="1270"/>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1671" w:type="dxa"/>
            <w:tcBorders>
              <w:top w:val="single" w:sz="12" w:space="0" w:color="auto"/>
            </w:tcBorders>
            <w:vAlign w:val="center"/>
          </w:tcPr>
          <w:p>
            <w:pPr>
              <w:snapToGrid w:val="0"/>
              <w:spacing w:line="240" w:lineRule="auto"/>
              <w:jc w:val="center"/>
              <w:rPr>
                <w:b/>
                <w:kern w:val="21"/>
                <w:sz w:val="28"/>
              </w:rPr>
            </w:pPr>
            <w:r>
              <w:rPr>
                <w:b/>
                <w:kern w:val="21"/>
                <w:sz w:val="28"/>
              </w:rPr>
              <w:t>项目名称</w:t>
            </w:r>
          </w:p>
        </w:tc>
        <w:tc>
          <w:tcPr>
            <w:tcW w:w="7503" w:type="dxa"/>
            <w:gridSpan w:val="12"/>
            <w:tcBorders>
              <w:top w:val="single" w:sz="12" w:space="0" w:color="auto"/>
            </w:tcBorders>
            <w:vAlign w:val="center"/>
          </w:tcPr>
          <w:p>
            <w:pPr>
              <w:snapToGrid w:val="0"/>
              <w:spacing w:line="240" w:lineRule="auto"/>
              <w:jc w:val="center"/>
              <w:rPr>
                <w:snapToGrid w:val="0"/>
                <w:spacing w:val="10"/>
                <w:sz w:val="24"/>
              </w:rPr>
            </w:pPr>
            <w:r>
              <w:rPr>
                <w:rFonts w:hint="eastAsia"/>
                <w:snapToGrid w:val="0"/>
                <w:spacing w:val="10"/>
                <w:sz w:val="24"/>
              </w:rPr>
              <w:t>《寻梦牡丹亭》大型实景演出项目</w:t>
            </w:r>
          </w:p>
        </w:tc>
      </w:tr>
      <w:tr>
        <w:tblPrEx>
          <w:tblW w:w="0" w:type="auto"/>
          <w:tblLayout w:type="fixed"/>
          <w:tblCellMar>
            <w:top w:w="0" w:type="dxa"/>
            <w:left w:w="108" w:type="dxa"/>
            <w:bottom w:w="0" w:type="dxa"/>
            <w:right w:w="108" w:type="dxa"/>
          </w:tblCellMar>
          <w:tblLook w:val="0000"/>
        </w:tblPrEx>
        <w:trPr>
          <w:trHeight w:val="90"/>
        </w:trPr>
        <w:tc>
          <w:tcPr>
            <w:tcW w:w="1671" w:type="dxa"/>
            <w:vAlign w:val="center"/>
          </w:tcPr>
          <w:p>
            <w:pPr>
              <w:snapToGrid w:val="0"/>
              <w:spacing w:line="240" w:lineRule="auto"/>
              <w:jc w:val="center"/>
              <w:rPr>
                <w:b/>
                <w:kern w:val="21"/>
                <w:sz w:val="28"/>
                <w:u w:val="single"/>
              </w:rPr>
            </w:pPr>
            <w:r>
              <w:rPr>
                <w:b/>
                <w:kern w:val="21"/>
                <w:sz w:val="28"/>
              </w:rPr>
              <w:t>建设单位</w:t>
            </w:r>
          </w:p>
        </w:tc>
        <w:tc>
          <w:tcPr>
            <w:tcW w:w="7503" w:type="dxa"/>
            <w:gridSpan w:val="12"/>
            <w:vAlign w:val="center"/>
          </w:tcPr>
          <w:p>
            <w:pPr>
              <w:snapToGrid w:val="0"/>
              <w:spacing w:line="240" w:lineRule="auto"/>
              <w:jc w:val="center"/>
              <w:rPr>
                <w:snapToGrid w:val="0"/>
                <w:spacing w:val="10"/>
                <w:sz w:val="24"/>
              </w:rPr>
            </w:pPr>
            <w:r>
              <w:rPr>
                <w:snapToGrid w:val="0"/>
                <w:spacing w:val="10"/>
                <w:sz w:val="24"/>
              </w:rPr>
              <w:t>抚州市文化旅游投资发展有限责任公司</w:t>
            </w:r>
          </w:p>
        </w:tc>
      </w:tr>
      <w:tr>
        <w:tblPrEx>
          <w:tblW w:w="0" w:type="auto"/>
          <w:tblLayout w:type="fixed"/>
          <w:tblCellMar>
            <w:top w:w="0" w:type="dxa"/>
            <w:left w:w="108" w:type="dxa"/>
            <w:bottom w:w="0" w:type="dxa"/>
            <w:right w:w="108" w:type="dxa"/>
          </w:tblCellMar>
          <w:tblLook w:val="0000"/>
        </w:tblPrEx>
        <w:trPr>
          <w:trHeight w:val="90"/>
        </w:trPr>
        <w:tc>
          <w:tcPr>
            <w:tcW w:w="1671" w:type="dxa"/>
            <w:vAlign w:val="center"/>
          </w:tcPr>
          <w:p>
            <w:pPr>
              <w:snapToGrid w:val="0"/>
              <w:spacing w:line="240" w:lineRule="auto"/>
              <w:jc w:val="center"/>
              <w:rPr>
                <w:b/>
                <w:kern w:val="21"/>
                <w:sz w:val="28"/>
                <w:u w:val="single"/>
              </w:rPr>
            </w:pPr>
            <w:r>
              <w:rPr>
                <w:b/>
                <w:kern w:val="21"/>
                <w:sz w:val="28"/>
              </w:rPr>
              <w:t>法人代表</w:t>
            </w:r>
          </w:p>
        </w:tc>
        <w:tc>
          <w:tcPr>
            <w:tcW w:w="3114" w:type="dxa"/>
            <w:gridSpan w:val="4"/>
            <w:vAlign w:val="center"/>
          </w:tcPr>
          <w:p>
            <w:pPr>
              <w:pStyle w:val="21"/>
              <w:snapToGrid w:val="0"/>
              <w:rPr>
                <w:snapToGrid w:val="0"/>
                <w:spacing w:val="10"/>
                <w:kern w:val="0"/>
              </w:rPr>
            </w:pPr>
          </w:p>
        </w:tc>
        <w:tc>
          <w:tcPr>
            <w:tcW w:w="1279" w:type="dxa"/>
            <w:gridSpan w:val="4"/>
            <w:vAlign w:val="center"/>
          </w:tcPr>
          <w:p>
            <w:pPr>
              <w:snapToGrid w:val="0"/>
              <w:spacing w:line="240" w:lineRule="auto"/>
              <w:jc w:val="center"/>
              <w:rPr>
                <w:b/>
                <w:kern w:val="21"/>
                <w:sz w:val="28"/>
                <w:u w:val="single"/>
              </w:rPr>
            </w:pPr>
            <w:r>
              <w:rPr>
                <w:b/>
                <w:kern w:val="21"/>
                <w:sz w:val="28"/>
              </w:rPr>
              <w:t>联系人</w:t>
            </w:r>
          </w:p>
        </w:tc>
        <w:tc>
          <w:tcPr>
            <w:tcW w:w="3110" w:type="dxa"/>
            <w:gridSpan w:val="4"/>
            <w:vAlign w:val="center"/>
          </w:tcPr>
          <w:p>
            <w:pPr>
              <w:pStyle w:val="21"/>
              <w:snapToGrid w:val="0"/>
              <w:rPr>
                <w:snapToGrid w:val="0"/>
                <w:spacing w:val="10"/>
                <w:kern w:val="0"/>
              </w:rPr>
            </w:pPr>
          </w:p>
        </w:tc>
      </w:tr>
      <w:tr>
        <w:tblPrEx>
          <w:tblW w:w="0" w:type="auto"/>
          <w:tblLayout w:type="fixed"/>
          <w:tblCellMar>
            <w:top w:w="0" w:type="dxa"/>
            <w:left w:w="108" w:type="dxa"/>
            <w:bottom w:w="0" w:type="dxa"/>
            <w:right w:w="108" w:type="dxa"/>
          </w:tblCellMar>
          <w:tblLook w:val="0000"/>
        </w:tblPrEx>
        <w:tc>
          <w:tcPr>
            <w:tcW w:w="1671" w:type="dxa"/>
            <w:vAlign w:val="center"/>
          </w:tcPr>
          <w:p>
            <w:pPr>
              <w:snapToGrid w:val="0"/>
              <w:spacing w:line="240" w:lineRule="auto"/>
              <w:jc w:val="center"/>
              <w:rPr>
                <w:b/>
                <w:kern w:val="21"/>
                <w:sz w:val="28"/>
              </w:rPr>
            </w:pPr>
            <w:r>
              <w:rPr>
                <w:b/>
                <w:kern w:val="21"/>
                <w:sz w:val="28"/>
              </w:rPr>
              <w:t>通讯地址</w:t>
            </w:r>
          </w:p>
        </w:tc>
        <w:tc>
          <w:tcPr>
            <w:tcW w:w="7503" w:type="dxa"/>
            <w:gridSpan w:val="12"/>
            <w:vAlign w:val="center"/>
          </w:tcPr>
          <w:p>
            <w:pPr>
              <w:snapToGrid w:val="0"/>
              <w:spacing w:line="240" w:lineRule="auto"/>
              <w:jc w:val="center"/>
              <w:rPr>
                <w:kern w:val="21"/>
                <w:sz w:val="24"/>
              </w:rPr>
            </w:pPr>
            <w:r>
              <w:rPr>
                <w:rFonts w:hint="eastAsia"/>
                <w:kern w:val="21"/>
                <w:sz w:val="24"/>
              </w:rPr>
              <w:t>抚州市城市规划艺术展示中心5楼</w:t>
            </w:r>
          </w:p>
        </w:tc>
      </w:tr>
      <w:tr>
        <w:tblPrEx>
          <w:tblW w:w="0" w:type="auto"/>
          <w:tblLayout w:type="fixed"/>
          <w:tblCellMar>
            <w:top w:w="0" w:type="dxa"/>
            <w:left w:w="108" w:type="dxa"/>
            <w:bottom w:w="0" w:type="dxa"/>
            <w:right w:w="108" w:type="dxa"/>
          </w:tblCellMar>
          <w:tblLook w:val="0000"/>
        </w:tblPrEx>
        <w:tc>
          <w:tcPr>
            <w:tcW w:w="1671" w:type="dxa"/>
            <w:vAlign w:val="center"/>
          </w:tcPr>
          <w:p>
            <w:pPr>
              <w:snapToGrid w:val="0"/>
              <w:spacing w:line="240" w:lineRule="auto"/>
              <w:jc w:val="center"/>
              <w:rPr>
                <w:b/>
                <w:kern w:val="21"/>
                <w:sz w:val="28"/>
                <w:u w:val="single"/>
              </w:rPr>
            </w:pPr>
            <w:r>
              <w:rPr>
                <w:b/>
                <w:kern w:val="21"/>
                <w:sz w:val="28"/>
              </w:rPr>
              <w:t>联系电话</w:t>
            </w:r>
          </w:p>
        </w:tc>
        <w:tc>
          <w:tcPr>
            <w:tcW w:w="1835" w:type="dxa"/>
            <w:gridSpan w:val="2"/>
            <w:vAlign w:val="center"/>
          </w:tcPr>
          <w:p>
            <w:pPr>
              <w:snapToGrid w:val="0"/>
              <w:spacing w:line="240" w:lineRule="auto"/>
              <w:jc w:val="center"/>
              <w:rPr>
                <w:sz w:val="24"/>
              </w:rPr>
            </w:pPr>
          </w:p>
        </w:tc>
        <w:tc>
          <w:tcPr>
            <w:tcW w:w="1507" w:type="dxa"/>
            <w:gridSpan w:val="3"/>
            <w:vAlign w:val="center"/>
          </w:tcPr>
          <w:p>
            <w:pPr>
              <w:snapToGrid w:val="0"/>
              <w:spacing w:line="240" w:lineRule="auto"/>
              <w:jc w:val="center"/>
              <w:rPr>
                <w:b/>
                <w:kern w:val="21"/>
                <w:sz w:val="28"/>
                <w:u w:val="single"/>
              </w:rPr>
            </w:pPr>
            <w:r>
              <w:rPr>
                <w:b/>
                <w:kern w:val="21"/>
                <w:sz w:val="28"/>
              </w:rPr>
              <w:t>传  真</w:t>
            </w:r>
          </w:p>
        </w:tc>
        <w:tc>
          <w:tcPr>
            <w:tcW w:w="1051" w:type="dxa"/>
            <w:gridSpan w:val="3"/>
            <w:vAlign w:val="center"/>
          </w:tcPr>
          <w:p>
            <w:pPr>
              <w:pStyle w:val="21"/>
              <w:snapToGrid w:val="0"/>
              <w:rPr>
                <w:kern w:val="21"/>
              </w:rPr>
            </w:pPr>
          </w:p>
        </w:tc>
        <w:tc>
          <w:tcPr>
            <w:tcW w:w="1363" w:type="dxa"/>
            <w:gridSpan w:val="2"/>
            <w:vAlign w:val="center"/>
          </w:tcPr>
          <w:p>
            <w:pPr>
              <w:snapToGrid w:val="0"/>
              <w:spacing w:line="240" w:lineRule="auto"/>
              <w:jc w:val="center"/>
              <w:rPr>
                <w:b/>
                <w:kern w:val="21"/>
                <w:sz w:val="28"/>
              </w:rPr>
            </w:pPr>
            <w:r>
              <w:rPr>
                <w:b/>
                <w:kern w:val="21"/>
                <w:sz w:val="28"/>
              </w:rPr>
              <w:t>邮政编码</w:t>
            </w:r>
          </w:p>
        </w:tc>
        <w:tc>
          <w:tcPr>
            <w:tcW w:w="1747" w:type="dxa"/>
            <w:gridSpan w:val="2"/>
            <w:vAlign w:val="center"/>
          </w:tcPr>
          <w:p>
            <w:pPr>
              <w:snapToGrid w:val="0"/>
              <w:spacing w:line="240" w:lineRule="auto"/>
              <w:jc w:val="center"/>
              <w:rPr>
                <w:kern w:val="21"/>
                <w:sz w:val="24"/>
              </w:rPr>
            </w:pPr>
          </w:p>
        </w:tc>
      </w:tr>
      <w:tr>
        <w:tblPrEx>
          <w:tblW w:w="0" w:type="auto"/>
          <w:tblLayout w:type="fixed"/>
          <w:tblCellMar>
            <w:top w:w="0" w:type="dxa"/>
            <w:left w:w="108" w:type="dxa"/>
            <w:bottom w:w="0" w:type="dxa"/>
            <w:right w:w="108" w:type="dxa"/>
          </w:tblCellMar>
          <w:tblLook w:val="0000"/>
        </w:tblPrEx>
        <w:tc>
          <w:tcPr>
            <w:tcW w:w="1671" w:type="dxa"/>
            <w:vAlign w:val="center"/>
          </w:tcPr>
          <w:p>
            <w:pPr>
              <w:snapToGrid w:val="0"/>
              <w:spacing w:line="240" w:lineRule="auto"/>
              <w:jc w:val="center"/>
              <w:rPr>
                <w:b/>
                <w:kern w:val="21"/>
                <w:sz w:val="28"/>
              </w:rPr>
            </w:pPr>
            <w:r>
              <w:rPr>
                <w:b/>
                <w:kern w:val="21"/>
                <w:sz w:val="28"/>
              </w:rPr>
              <w:t>建设地点</w:t>
            </w:r>
          </w:p>
        </w:tc>
        <w:tc>
          <w:tcPr>
            <w:tcW w:w="7503" w:type="dxa"/>
            <w:gridSpan w:val="12"/>
            <w:vAlign w:val="center"/>
          </w:tcPr>
          <w:p>
            <w:pPr>
              <w:snapToGrid w:val="0"/>
              <w:spacing w:line="240" w:lineRule="auto"/>
              <w:jc w:val="center"/>
              <w:rPr>
                <w:rFonts w:hint="eastAsia"/>
                <w:kern w:val="21"/>
              </w:rPr>
            </w:pPr>
            <w:r>
              <w:rPr>
                <w:rFonts w:hint="eastAsia"/>
                <w:kern w:val="21"/>
              </w:rPr>
              <w:t>抚州梦湖梦园游览景区</w:t>
            </w:r>
          </w:p>
        </w:tc>
      </w:tr>
      <w:tr>
        <w:tblPrEx>
          <w:tblW w:w="0" w:type="auto"/>
          <w:tblLayout w:type="fixed"/>
          <w:tblCellMar>
            <w:top w:w="0" w:type="dxa"/>
            <w:left w:w="108" w:type="dxa"/>
            <w:bottom w:w="0" w:type="dxa"/>
            <w:right w:w="108" w:type="dxa"/>
          </w:tblCellMar>
          <w:tblLook w:val="0000"/>
        </w:tblPrEx>
        <w:trPr>
          <w:trHeight w:val="825"/>
        </w:trPr>
        <w:tc>
          <w:tcPr>
            <w:tcW w:w="1671" w:type="dxa"/>
            <w:vAlign w:val="center"/>
          </w:tcPr>
          <w:p>
            <w:pPr>
              <w:snapToGrid w:val="0"/>
              <w:spacing w:line="240" w:lineRule="auto"/>
              <w:ind w:left="-105" w:right="-105" w:leftChars="-50" w:rightChars="-50"/>
              <w:jc w:val="center"/>
              <w:rPr>
                <w:rFonts w:hint="eastAsia"/>
                <w:b/>
                <w:kern w:val="21"/>
                <w:sz w:val="28"/>
              </w:rPr>
            </w:pPr>
            <w:r>
              <w:rPr>
                <w:b/>
                <w:kern w:val="21"/>
                <w:sz w:val="28"/>
              </w:rPr>
              <w:t>立项审批</w:t>
            </w:r>
          </w:p>
          <w:p>
            <w:pPr>
              <w:snapToGrid w:val="0"/>
              <w:spacing w:line="240" w:lineRule="auto"/>
              <w:ind w:left="-105" w:right="-105" w:leftChars="-50" w:rightChars="-50"/>
              <w:jc w:val="center"/>
              <w:rPr>
                <w:b/>
                <w:kern w:val="21"/>
                <w:sz w:val="28"/>
              </w:rPr>
            </w:pPr>
            <w:r>
              <w:rPr>
                <w:b/>
                <w:kern w:val="21"/>
                <w:sz w:val="28"/>
              </w:rPr>
              <w:t>部门</w:t>
            </w:r>
          </w:p>
        </w:tc>
        <w:tc>
          <w:tcPr>
            <w:tcW w:w="2710" w:type="dxa"/>
            <w:gridSpan w:val="3"/>
            <w:vAlign w:val="center"/>
          </w:tcPr>
          <w:p>
            <w:pPr>
              <w:pStyle w:val="21"/>
              <w:snapToGrid w:val="0"/>
              <w:rPr>
                <w:kern w:val="21"/>
              </w:rPr>
            </w:pPr>
            <w:r>
              <w:rPr>
                <w:rFonts w:hint="eastAsia"/>
                <w:kern w:val="21"/>
              </w:rPr>
              <w:t>抚州市发展和改革委员会</w:t>
            </w:r>
          </w:p>
        </w:tc>
        <w:tc>
          <w:tcPr>
            <w:tcW w:w="2175" w:type="dxa"/>
            <w:gridSpan w:val="6"/>
            <w:vAlign w:val="center"/>
          </w:tcPr>
          <w:p>
            <w:pPr>
              <w:snapToGrid w:val="0"/>
              <w:spacing w:line="240" w:lineRule="auto"/>
              <w:ind w:left="-105" w:right="-105" w:leftChars="-50" w:rightChars="-50"/>
              <w:jc w:val="center"/>
              <w:rPr>
                <w:b/>
                <w:kern w:val="21"/>
                <w:sz w:val="28"/>
              </w:rPr>
            </w:pPr>
            <w:r>
              <w:rPr>
                <w:b/>
                <w:kern w:val="21"/>
                <w:sz w:val="28"/>
              </w:rPr>
              <w:t>批准文号</w:t>
            </w:r>
          </w:p>
        </w:tc>
        <w:tc>
          <w:tcPr>
            <w:tcW w:w="2618" w:type="dxa"/>
            <w:gridSpan w:val="3"/>
            <w:vAlign w:val="center"/>
          </w:tcPr>
          <w:p>
            <w:pPr>
              <w:pStyle w:val="21"/>
              <w:snapToGrid w:val="0"/>
              <w:rPr>
                <w:rFonts w:hint="eastAsia"/>
                <w:kern w:val="21"/>
              </w:rPr>
            </w:pPr>
            <w:r>
              <w:rPr>
                <w:rFonts w:hint="eastAsia"/>
                <w:kern w:val="21"/>
              </w:rPr>
              <w:t>抚发改社会字[2017]40号</w:t>
            </w:r>
          </w:p>
        </w:tc>
      </w:tr>
      <w:tr>
        <w:tblPrEx>
          <w:tblW w:w="0" w:type="auto"/>
          <w:tblLayout w:type="fixed"/>
          <w:tblCellMar>
            <w:top w:w="0" w:type="dxa"/>
            <w:left w:w="108" w:type="dxa"/>
            <w:bottom w:w="0" w:type="dxa"/>
            <w:right w:w="108" w:type="dxa"/>
          </w:tblCellMar>
          <w:tblLook w:val="0000"/>
        </w:tblPrEx>
        <w:trPr>
          <w:trHeight w:val="467"/>
        </w:trPr>
        <w:tc>
          <w:tcPr>
            <w:tcW w:w="1671" w:type="dxa"/>
            <w:vAlign w:val="center"/>
          </w:tcPr>
          <w:p>
            <w:pPr>
              <w:snapToGrid w:val="0"/>
              <w:spacing w:line="240" w:lineRule="auto"/>
              <w:jc w:val="center"/>
              <w:rPr>
                <w:b/>
                <w:kern w:val="21"/>
                <w:sz w:val="28"/>
              </w:rPr>
            </w:pPr>
            <w:r>
              <w:rPr>
                <w:b/>
                <w:kern w:val="21"/>
                <w:sz w:val="28"/>
              </w:rPr>
              <w:t>建设性质</w:t>
            </w:r>
          </w:p>
        </w:tc>
        <w:tc>
          <w:tcPr>
            <w:tcW w:w="2710" w:type="dxa"/>
            <w:gridSpan w:val="3"/>
            <w:vAlign w:val="center"/>
          </w:tcPr>
          <w:p>
            <w:pPr>
              <w:snapToGrid w:val="0"/>
              <w:spacing w:line="240" w:lineRule="auto"/>
              <w:jc w:val="center"/>
              <w:rPr>
                <w:snapToGrid w:val="0"/>
                <w:spacing w:val="10"/>
                <w:sz w:val="24"/>
              </w:rPr>
            </w:pPr>
            <w:r>
              <w:rPr>
                <w:rFonts w:hint="eastAsia"/>
                <w:snapToGrid w:val="0"/>
                <w:spacing w:val="10"/>
                <w:sz w:val="24"/>
              </w:rPr>
              <w:t>改建</w:t>
            </w:r>
          </w:p>
        </w:tc>
        <w:tc>
          <w:tcPr>
            <w:tcW w:w="2175" w:type="dxa"/>
            <w:gridSpan w:val="6"/>
            <w:vAlign w:val="center"/>
          </w:tcPr>
          <w:p>
            <w:pPr>
              <w:snapToGrid w:val="0"/>
              <w:spacing w:line="240" w:lineRule="auto"/>
              <w:ind w:left="-105" w:right="-105" w:leftChars="-50" w:rightChars="-50"/>
              <w:jc w:val="center"/>
              <w:rPr>
                <w:b/>
                <w:kern w:val="21"/>
                <w:sz w:val="28"/>
              </w:rPr>
            </w:pPr>
            <w:r>
              <w:rPr>
                <w:b/>
                <w:kern w:val="21"/>
                <w:sz w:val="28"/>
              </w:rPr>
              <w:t>行业类别及代码</w:t>
            </w:r>
          </w:p>
        </w:tc>
        <w:tc>
          <w:tcPr>
            <w:tcW w:w="2618" w:type="dxa"/>
            <w:gridSpan w:val="3"/>
            <w:vAlign w:val="center"/>
          </w:tcPr>
          <w:p>
            <w:pPr>
              <w:snapToGrid w:val="0"/>
              <w:spacing w:line="240" w:lineRule="auto"/>
              <w:jc w:val="center"/>
              <w:rPr>
                <w:kern w:val="21"/>
              </w:rPr>
            </w:pPr>
            <w:r>
              <w:rPr>
                <w:sz w:val="24"/>
              </w:rPr>
              <w:t>N813游览景区管理</w:t>
            </w:r>
          </w:p>
        </w:tc>
      </w:tr>
      <w:tr>
        <w:tblPrEx>
          <w:tblW w:w="0" w:type="auto"/>
          <w:tblLayout w:type="fixed"/>
          <w:tblCellMar>
            <w:top w:w="0" w:type="dxa"/>
            <w:left w:w="108" w:type="dxa"/>
            <w:bottom w:w="0" w:type="dxa"/>
            <w:right w:w="108" w:type="dxa"/>
          </w:tblCellMar>
          <w:tblLook w:val="0000"/>
        </w:tblPrEx>
        <w:tc>
          <w:tcPr>
            <w:tcW w:w="1671" w:type="dxa"/>
            <w:vAlign w:val="center"/>
          </w:tcPr>
          <w:p>
            <w:pPr>
              <w:snapToGrid w:val="0"/>
              <w:spacing w:line="240" w:lineRule="auto"/>
              <w:jc w:val="center"/>
              <w:rPr>
                <w:b/>
                <w:kern w:val="21"/>
                <w:sz w:val="28"/>
              </w:rPr>
            </w:pPr>
            <w:r>
              <w:rPr>
                <w:b/>
                <w:kern w:val="21"/>
                <w:sz w:val="28"/>
              </w:rPr>
              <w:t>占地面积</w:t>
            </w:r>
          </w:p>
          <w:p>
            <w:pPr>
              <w:snapToGrid w:val="0"/>
              <w:spacing w:line="240" w:lineRule="auto"/>
              <w:jc w:val="center"/>
              <w:rPr>
                <w:b/>
                <w:kern w:val="21"/>
                <w:sz w:val="28"/>
              </w:rPr>
            </w:pPr>
            <w:r>
              <w:rPr>
                <w:b/>
                <w:kern w:val="21"/>
                <w:sz w:val="28"/>
              </w:rPr>
              <w:t>（平方米）</w:t>
            </w:r>
          </w:p>
        </w:tc>
        <w:tc>
          <w:tcPr>
            <w:tcW w:w="2710" w:type="dxa"/>
            <w:gridSpan w:val="3"/>
            <w:vAlign w:val="center"/>
          </w:tcPr>
          <w:p>
            <w:pPr>
              <w:pStyle w:val="21"/>
              <w:snapToGrid w:val="0"/>
              <w:rPr>
                <w:kern w:val="21"/>
              </w:rPr>
            </w:pPr>
            <w:r>
              <w:rPr>
                <w:rFonts w:hint="eastAsia"/>
                <w:kern w:val="21"/>
              </w:rPr>
              <w:t>251亩（167330m</w:t>
            </w:r>
            <w:r>
              <w:rPr>
                <w:kern w:val="21"/>
                <w:vertAlign w:val="superscript"/>
              </w:rPr>
              <w:t>2</w:t>
            </w:r>
            <w:r>
              <w:rPr>
                <w:rFonts w:hint="eastAsia"/>
                <w:kern w:val="21"/>
              </w:rPr>
              <w:t>）</w:t>
            </w:r>
          </w:p>
        </w:tc>
        <w:tc>
          <w:tcPr>
            <w:tcW w:w="2175" w:type="dxa"/>
            <w:gridSpan w:val="6"/>
            <w:vAlign w:val="center"/>
          </w:tcPr>
          <w:p>
            <w:pPr>
              <w:snapToGrid w:val="0"/>
              <w:spacing w:line="240" w:lineRule="auto"/>
              <w:ind w:left="-105" w:right="-105" w:leftChars="-50" w:rightChars="-50"/>
              <w:jc w:val="center"/>
              <w:rPr>
                <w:b/>
                <w:kern w:val="21"/>
                <w:sz w:val="28"/>
              </w:rPr>
            </w:pPr>
            <w:r>
              <w:rPr>
                <w:b/>
                <w:kern w:val="21"/>
                <w:sz w:val="28"/>
              </w:rPr>
              <w:t>绿化面积</w:t>
            </w:r>
          </w:p>
          <w:p>
            <w:pPr>
              <w:snapToGrid w:val="0"/>
              <w:spacing w:line="240" w:lineRule="auto"/>
              <w:ind w:left="-105" w:right="-105" w:leftChars="-50" w:rightChars="-50"/>
              <w:jc w:val="center"/>
              <w:rPr>
                <w:b/>
                <w:kern w:val="21"/>
                <w:sz w:val="28"/>
              </w:rPr>
            </w:pPr>
            <w:r>
              <w:rPr>
                <w:b/>
                <w:kern w:val="21"/>
                <w:sz w:val="28"/>
              </w:rPr>
              <w:t>（平方米）</w:t>
            </w:r>
          </w:p>
        </w:tc>
        <w:tc>
          <w:tcPr>
            <w:tcW w:w="2618" w:type="dxa"/>
            <w:gridSpan w:val="3"/>
            <w:vAlign w:val="center"/>
          </w:tcPr>
          <w:p>
            <w:pPr>
              <w:pStyle w:val="21"/>
              <w:snapToGrid w:val="0"/>
              <w:rPr>
                <w:kern w:val="21"/>
              </w:rPr>
            </w:pPr>
            <w:r>
              <w:rPr>
                <w:rFonts w:hint="eastAsia"/>
                <w:kern w:val="21"/>
              </w:rPr>
              <w:t>约18240 m</w:t>
            </w:r>
            <w:r>
              <w:rPr>
                <w:kern w:val="21"/>
                <w:vertAlign w:val="superscript"/>
              </w:rPr>
              <w:t>2</w:t>
            </w:r>
          </w:p>
        </w:tc>
      </w:tr>
      <w:tr>
        <w:tblPrEx>
          <w:tblW w:w="0" w:type="auto"/>
          <w:tblLayout w:type="fixed"/>
          <w:tblCellMar>
            <w:top w:w="0" w:type="dxa"/>
            <w:left w:w="108" w:type="dxa"/>
            <w:bottom w:w="0" w:type="dxa"/>
            <w:right w:w="108" w:type="dxa"/>
          </w:tblCellMar>
          <w:tblLook w:val="0000"/>
        </w:tblPrEx>
        <w:tc>
          <w:tcPr>
            <w:tcW w:w="1671" w:type="dxa"/>
            <w:vAlign w:val="center"/>
          </w:tcPr>
          <w:p>
            <w:pPr>
              <w:snapToGrid w:val="0"/>
              <w:spacing w:line="240" w:lineRule="auto"/>
              <w:jc w:val="center"/>
              <w:rPr>
                <w:b/>
                <w:kern w:val="21"/>
                <w:sz w:val="28"/>
              </w:rPr>
            </w:pPr>
            <w:r>
              <w:rPr>
                <w:b/>
                <w:kern w:val="21"/>
                <w:sz w:val="28"/>
              </w:rPr>
              <w:t>总投资</w:t>
            </w:r>
          </w:p>
          <w:p>
            <w:pPr>
              <w:snapToGrid w:val="0"/>
              <w:spacing w:line="240" w:lineRule="auto"/>
              <w:jc w:val="center"/>
              <w:rPr>
                <w:b/>
                <w:kern w:val="21"/>
                <w:sz w:val="28"/>
              </w:rPr>
            </w:pPr>
            <w:r>
              <w:rPr>
                <w:b/>
                <w:kern w:val="21"/>
                <w:sz w:val="28"/>
              </w:rPr>
              <w:t>（万元）</w:t>
            </w:r>
          </w:p>
        </w:tc>
        <w:tc>
          <w:tcPr>
            <w:tcW w:w="848" w:type="dxa"/>
            <w:vAlign w:val="center"/>
          </w:tcPr>
          <w:p>
            <w:pPr>
              <w:snapToGrid w:val="0"/>
              <w:spacing w:line="240" w:lineRule="auto"/>
              <w:jc w:val="center"/>
              <w:rPr>
                <w:rFonts w:hint="eastAsia"/>
                <w:kern w:val="21"/>
              </w:rPr>
            </w:pPr>
            <w:r>
              <w:rPr>
                <w:rFonts w:hint="eastAsia"/>
                <w:kern w:val="21"/>
              </w:rPr>
              <w:t>30000</w:t>
            </w:r>
          </w:p>
        </w:tc>
        <w:tc>
          <w:tcPr>
            <w:tcW w:w="1862" w:type="dxa"/>
            <w:gridSpan w:val="2"/>
            <w:vAlign w:val="center"/>
          </w:tcPr>
          <w:p>
            <w:pPr>
              <w:snapToGrid w:val="0"/>
              <w:spacing w:line="240" w:lineRule="auto"/>
              <w:jc w:val="center"/>
              <w:rPr>
                <w:b/>
                <w:kern w:val="21"/>
                <w:sz w:val="28"/>
              </w:rPr>
            </w:pPr>
            <w:r>
              <w:rPr>
                <w:b/>
                <w:kern w:val="21"/>
                <w:sz w:val="28"/>
              </w:rPr>
              <w:t>其中环保投资（万元）</w:t>
            </w:r>
          </w:p>
        </w:tc>
        <w:tc>
          <w:tcPr>
            <w:tcW w:w="1399" w:type="dxa"/>
            <w:gridSpan w:val="4"/>
            <w:vAlign w:val="center"/>
          </w:tcPr>
          <w:p>
            <w:pPr>
              <w:pStyle w:val="21"/>
              <w:snapToGrid w:val="0"/>
              <w:rPr>
                <w:rFonts w:hint="eastAsia"/>
                <w:snapToGrid w:val="0"/>
                <w:spacing w:val="10"/>
                <w:kern w:val="0"/>
              </w:rPr>
            </w:pPr>
            <w:r>
              <w:rPr>
                <w:rFonts w:hint="eastAsia"/>
                <w:snapToGrid w:val="0"/>
                <w:spacing w:val="10"/>
                <w:kern w:val="0"/>
              </w:rPr>
              <w:t>34</w:t>
            </w:r>
          </w:p>
        </w:tc>
        <w:tc>
          <w:tcPr>
            <w:tcW w:w="2124" w:type="dxa"/>
            <w:gridSpan w:val="4"/>
            <w:vAlign w:val="center"/>
          </w:tcPr>
          <w:p>
            <w:pPr>
              <w:snapToGrid w:val="0"/>
              <w:spacing w:line="240" w:lineRule="auto"/>
              <w:jc w:val="center"/>
              <w:rPr>
                <w:b/>
                <w:kern w:val="21"/>
                <w:sz w:val="28"/>
              </w:rPr>
            </w:pPr>
            <w:r>
              <w:rPr>
                <w:b/>
                <w:kern w:val="21"/>
                <w:sz w:val="28"/>
              </w:rPr>
              <w:t>环保投资</w:t>
            </w:r>
          </w:p>
          <w:p>
            <w:pPr>
              <w:snapToGrid w:val="0"/>
              <w:spacing w:line="240" w:lineRule="auto"/>
              <w:jc w:val="center"/>
              <w:rPr>
                <w:b/>
                <w:kern w:val="21"/>
                <w:sz w:val="28"/>
              </w:rPr>
            </w:pPr>
            <w:r>
              <w:rPr>
                <w:b/>
                <w:kern w:val="21"/>
                <w:sz w:val="28"/>
              </w:rPr>
              <w:t>占总投资比例</w:t>
            </w:r>
          </w:p>
        </w:tc>
        <w:tc>
          <w:tcPr>
            <w:tcW w:w="1270" w:type="dxa"/>
            <w:vAlign w:val="center"/>
          </w:tcPr>
          <w:p>
            <w:pPr>
              <w:pStyle w:val="21"/>
              <w:snapToGrid w:val="0"/>
              <w:rPr>
                <w:kern w:val="21"/>
              </w:rPr>
            </w:pPr>
            <w:r>
              <w:rPr>
                <w:snapToGrid w:val="0"/>
                <w:spacing w:val="10"/>
                <w:kern w:val="0"/>
              </w:rPr>
              <w:t>0</w:t>
            </w:r>
            <w:r>
              <w:rPr>
                <w:rFonts w:hint="eastAsia"/>
                <w:snapToGrid w:val="0"/>
                <w:spacing w:val="10"/>
                <w:kern w:val="0"/>
              </w:rPr>
              <w:t>.11</w:t>
            </w:r>
            <w:r>
              <w:rPr>
                <w:snapToGrid w:val="0"/>
                <w:spacing w:val="10"/>
                <w:kern w:val="0"/>
              </w:rPr>
              <w:t>%</w:t>
            </w:r>
          </w:p>
        </w:tc>
      </w:tr>
      <w:tr>
        <w:tblPrEx>
          <w:tblW w:w="0" w:type="auto"/>
          <w:tblLayout w:type="fixed"/>
          <w:tblCellMar>
            <w:top w:w="0" w:type="dxa"/>
            <w:left w:w="108" w:type="dxa"/>
            <w:bottom w:w="0" w:type="dxa"/>
            <w:right w:w="108" w:type="dxa"/>
          </w:tblCellMar>
          <w:tblLook w:val="0000"/>
        </w:tblPrEx>
        <w:tc>
          <w:tcPr>
            <w:tcW w:w="1671" w:type="dxa"/>
            <w:tcBorders>
              <w:bottom w:val="nil"/>
            </w:tcBorders>
          </w:tcPr>
          <w:p>
            <w:pPr>
              <w:snapToGrid w:val="0"/>
              <w:spacing w:line="240" w:lineRule="auto"/>
              <w:jc w:val="center"/>
              <w:rPr>
                <w:b/>
                <w:kern w:val="21"/>
                <w:sz w:val="28"/>
              </w:rPr>
            </w:pPr>
            <w:r>
              <w:rPr>
                <w:b/>
                <w:kern w:val="21"/>
                <w:sz w:val="28"/>
              </w:rPr>
              <w:t>评价经费</w:t>
            </w:r>
          </w:p>
          <w:p>
            <w:pPr>
              <w:snapToGrid w:val="0"/>
              <w:spacing w:line="240" w:lineRule="auto"/>
              <w:jc w:val="center"/>
              <w:rPr>
                <w:b/>
                <w:kern w:val="21"/>
                <w:sz w:val="28"/>
              </w:rPr>
            </w:pPr>
            <w:r>
              <w:rPr>
                <w:b/>
                <w:kern w:val="21"/>
                <w:sz w:val="28"/>
              </w:rPr>
              <w:t>（万元）</w:t>
            </w:r>
          </w:p>
        </w:tc>
        <w:tc>
          <w:tcPr>
            <w:tcW w:w="848" w:type="dxa"/>
            <w:tcBorders>
              <w:bottom w:val="nil"/>
            </w:tcBorders>
            <w:vAlign w:val="center"/>
          </w:tcPr>
          <w:p>
            <w:pPr>
              <w:snapToGrid w:val="0"/>
              <w:spacing w:line="240" w:lineRule="auto"/>
              <w:jc w:val="center"/>
              <w:rPr>
                <w:kern w:val="21"/>
                <w:sz w:val="24"/>
              </w:rPr>
            </w:pPr>
          </w:p>
        </w:tc>
        <w:tc>
          <w:tcPr>
            <w:tcW w:w="2692" w:type="dxa"/>
            <w:gridSpan w:val="5"/>
            <w:tcBorders>
              <w:bottom w:val="nil"/>
            </w:tcBorders>
            <w:vAlign w:val="center"/>
          </w:tcPr>
          <w:p>
            <w:pPr>
              <w:snapToGrid w:val="0"/>
              <w:spacing w:line="240" w:lineRule="auto"/>
              <w:jc w:val="center"/>
              <w:rPr>
                <w:b/>
                <w:kern w:val="21"/>
                <w:sz w:val="28"/>
              </w:rPr>
            </w:pPr>
            <w:r>
              <w:rPr>
                <w:b/>
                <w:kern w:val="21"/>
                <w:sz w:val="28"/>
              </w:rPr>
              <w:t>预期投产日期</w:t>
            </w:r>
          </w:p>
        </w:tc>
        <w:tc>
          <w:tcPr>
            <w:tcW w:w="3963" w:type="dxa"/>
            <w:gridSpan w:val="6"/>
            <w:tcBorders>
              <w:bottom w:val="nil"/>
            </w:tcBorders>
            <w:vAlign w:val="center"/>
          </w:tcPr>
          <w:p>
            <w:pPr>
              <w:pStyle w:val="21"/>
              <w:snapToGrid w:val="0"/>
              <w:rPr>
                <w:kern w:val="21"/>
                <w:szCs w:val="24"/>
              </w:rPr>
            </w:pPr>
            <w:r>
              <w:rPr>
                <w:kern w:val="21"/>
                <w:szCs w:val="24"/>
              </w:rPr>
              <w:t>201</w:t>
            </w:r>
            <w:r>
              <w:rPr>
                <w:rFonts w:hint="eastAsia"/>
                <w:kern w:val="21"/>
                <w:szCs w:val="24"/>
              </w:rPr>
              <w:t>8</w:t>
            </w:r>
            <w:r>
              <w:rPr>
                <w:kern w:val="21"/>
                <w:szCs w:val="24"/>
              </w:rPr>
              <w:t>年</w:t>
            </w:r>
            <w:r>
              <w:rPr>
                <w:rFonts w:hint="eastAsia"/>
                <w:kern w:val="21"/>
                <w:szCs w:val="24"/>
              </w:rPr>
              <w:t>9</w:t>
            </w:r>
            <w:r>
              <w:rPr>
                <w:kern w:val="21"/>
                <w:szCs w:val="24"/>
              </w:rPr>
              <w:t>月</w:t>
            </w:r>
          </w:p>
        </w:tc>
      </w:tr>
      <w:tr>
        <w:tblPrEx>
          <w:tblW w:w="0" w:type="auto"/>
          <w:tblLayout w:type="fixed"/>
          <w:tblCellMar>
            <w:top w:w="0" w:type="dxa"/>
            <w:left w:w="108" w:type="dxa"/>
            <w:bottom w:w="0" w:type="dxa"/>
            <w:right w:w="108" w:type="dxa"/>
          </w:tblCellMar>
          <w:tblLook w:val="0000"/>
        </w:tblPrEx>
        <w:tc>
          <w:tcPr>
            <w:tcW w:w="9174" w:type="dxa"/>
            <w:gridSpan w:val="13"/>
            <w:tcBorders>
              <w:top w:val="single" w:sz="6" w:space="0" w:color="auto"/>
              <w:bottom w:val="single" w:sz="12" w:space="0" w:color="auto"/>
            </w:tcBorders>
          </w:tcPr>
          <w:p>
            <w:pPr>
              <w:spacing w:line="240" w:lineRule="auto"/>
              <w:rPr>
                <w:kern w:val="21"/>
                <w:sz w:val="24"/>
              </w:rPr>
            </w:pPr>
            <w:r>
              <w:rPr>
                <w:b/>
                <w:kern w:val="21"/>
                <w:sz w:val="28"/>
              </w:rPr>
              <w:t>工程内容及规模：</w:t>
            </w:r>
          </w:p>
          <w:p>
            <w:pPr>
              <w:tabs>
                <w:tab w:val="left" w:pos="0"/>
              </w:tabs>
              <w:spacing w:before="120" w:beforeLines="50" w:line="360" w:lineRule="auto"/>
              <w:ind w:firstLine="480" w:firstLineChars="200"/>
              <w:rPr>
                <w:b/>
                <w:sz w:val="24"/>
              </w:rPr>
            </w:pPr>
            <w:r>
              <w:rPr>
                <w:b/>
                <w:sz w:val="24"/>
              </w:rPr>
              <w:t>一、项目由来</w:t>
            </w:r>
          </w:p>
          <w:p>
            <w:pPr>
              <w:spacing w:line="360" w:lineRule="auto"/>
              <w:ind w:firstLine="480" w:firstLineChars="200"/>
              <w:rPr>
                <w:rFonts w:hint="eastAsia"/>
                <w:sz w:val="24"/>
              </w:rPr>
            </w:pPr>
            <w:r>
              <w:rPr>
                <w:rFonts w:hint="eastAsia"/>
                <w:sz w:val="24"/>
              </w:rPr>
              <w:t>抚州市位于江西省东部，是国家园林城市之一，地理优越、交通便捷，城市环境优美。这里悠久的历史和丰富的文化底蕴，让抚州素有</w:t>
            </w:r>
            <w:r>
              <w:rPr>
                <w:sz w:val="24"/>
              </w:rPr>
              <w:t>“</w:t>
            </w:r>
            <w:r>
              <w:rPr>
                <w:rFonts w:hint="eastAsia"/>
                <w:sz w:val="24"/>
              </w:rPr>
              <w:t>文化之邦，才子之乡</w:t>
            </w:r>
            <w:r>
              <w:rPr>
                <w:sz w:val="24"/>
              </w:rPr>
              <w:t>”</w:t>
            </w:r>
            <w:r>
              <w:rPr>
                <w:rFonts w:hint="eastAsia"/>
                <w:sz w:val="24"/>
              </w:rPr>
              <w:t>的美誉。</w:t>
            </w:r>
            <w:r>
              <w:rPr>
                <w:sz w:val="24"/>
              </w:rPr>
              <w:t xml:space="preserve"> “</w:t>
            </w:r>
            <w:r>
              <w:rPr>
                <w:rFonts w:hint="eastAsia"/>
                <w:sz w:val="24"/>
              </w:rPr>
              <w:t>东方莎士比亚</w:t>
            </w:r>
            <w:r>
              <w:rPr>
                <w:sz w:val="24"/>
              </w:rPr>
              <w:t>”</w:t>
            </w:r>
            <w:r>
              <w:rPr>
                <w:rFonts w:hint="eastAsia"/>
                <w:sz w:val="24"/>
              </w:rPr>
              <w:t>汤显祖著名的</w:t>
            </w:r>
            <w:r>
              <w:rPr>
                <w:sz w:val="24"/>
              </w:rPr>
              <w:t>“</w:t>
            </w:r>
            <w:r>
              <w:rPr>
                <w:rFonts w:hint="eastAsia"/>
                <w:sz w:val="24"/>
              </w:rPr>
              <w:t>临川四梦</w:t>
            </w:r>
            <w:r>
              <w:rPr>
                <w:sz w:val="24"/>
              </w:rPr>
              <w:t>”</w:t>
            </w:r>
            <w:r>
              <w:rPr>
                <w:rFonts w:hint="eastAsia"/>
                <w:sz w:val="24"/>
              </w:rPr>
              <w:t>皆出于此。</w:t>
            </w:r>
          </w:p>
          <w:p>
            <w:pPr>
              <w:spacing w:line="360" w:lineRule="auto"/>
              <w:ind w:firstLine="480" w:firstLineChars="200"/>
              <w:rPr>
                <w:rFonts w:hint="eastAsia"/>
                <w:snapToGrid w:val="0"/>
                <w:spacing w:val="10"/>
                <w:sz w:val="24"/>
              </w:rPr>
            </w:pPr>
            <w:r>
              <w:rPr>
                <w:rFonts w:hint="eastAsia"/>
                <w:sz w:val="24"/>
              </w:rPr>
              <w:t>为提升抚州市整体旅游形象，打造城市旅游名片，推广城市文化，弘扬传统历史文化，由抚州市政府牵头，抚州市文化旅游投资发展有限责任公司负责实施，</w:t>
            </w:r>
            <w:r>
              <w:rPr>
                <w:rFonts w:hint="eastAsia"/>
                <w:snapToGrid w:val="0"/>
                <w:spacing w:val="10"/>
                <w:sz w:val="24"/>
              </w:rPr>
              <w:t>投资30000万元，启动主题游园式《寻梦牡丹亭》大型实景演出项目。项目位于抚州市文昌里历史文化街区，占地251亩，主要内容为对《寻梦牡丹亭》项目艺术创意和制作，演出设备的购置和安装，配套服务功能区建设（包括游客集散中心、停车场、演出职工排练生活配套用房、运营公司业务用房），文化游园演艺区建设（包括水面演出区、观演区、市政园林景观及其他配套设施）。</w:t>
            </w:r>
          </w:p>
          <w:p>
            <w:pPr>
              <w:tabs>
                <w:tab w:val="left" w:pos="0"/>
              </w:tabs>
              <w:spacing w:after="0" w:line="360" w:lineRule="auto"/>
              <w:ind w:firstLine="480" w:firstLineChars="200"/>
              <w:rPr>
                <w:rFonts w:ascii="宋体" w:hAnsi="宋体" w:cs="宋体"/>
                <w:snapToGrid w:val="0"/>
                <w:spacing w:val="10"/>
                <w:sz w:val="24"/>
                <w:szCs w:val="24"/>
              </w:rPr>
            </w:pPr>
            <w:r>
              <w:rPr>
                <w:rFonts w:ascii="宋体" w:hAnsi="宋体" w:cs="宋体" w:hint="eastAsia"/>
                <w:snapToGrid w:val="0"/>
                <w:spacing w:val="10"/>
                <w:sz w:val="24"/>
                <w:szCs w:val="24"/>
              </w:rPr>
              <w:t>抚州市文化旅游投资发展有限责任公司《&lt;</w:t>
            </w:r>
            <w:r>
              <w:rPr>
                <w:rFonts w:hint="eastAsia"/>
                <w:snapToGrid w:val="0"/>
                <w:spacing w:val="10"/>
                <w:sz w:val="24"/>
              </w:rPr>
              <w:t>梦牡丹亭&gt;大型实景演出项目</w:t>
            </w:r>
            <w:r>
              <w:rPr>
                <w:rFonts w:ascii="宋体" w:hAnsi="宋体" w:cs="宋体" w:hint="eastAsia"/>
                <w:snapToGrid w:val="0"/>
                <w:spacing w:val="10"/>
                <w:sz w:val="24"/>
                <w:szCs w:val="24"/>
              </w:rPr>
              <w:t>环境影响报告表》于2016年12月13日通过抚州市环境保护局审批,并获得环境影响报告表批复，批复文号为：抚环审函[2016]85号。在取得环评批复后，建设单位为顺应市场变化和需求，对</w:t>
            </w:r>
            <w:r>
              <w:rPr>
                <w:rFonts w:hint="eastAsia"/>
                <w:snapToGrid w:val="0"/>
                <w:spacing w:val="10"/>
                <w:sz w:val="24"/>
              </w:rPr>
              <w:t>《寻梦牡丹亭》大型实景演出项目原</w:t>
            </w:r>
          </w:p>
        </w:tc>
      </w:tr>
    </w:tbl>
    <w:p>
      <w:pPr>
        <w:sectPr>
          <w:headerReference w:type="default" r:id="rId4"/>
          <w:footerReference w:type="even" r:id="rId5"/>
          <w:footerReference w:type="default" r:id="rId6"/>
          <w:headerReference w:type="first" r:id="rId7"/>
          <w:footerReference w:type="first" r:id="rId8"/>
          <w:type w:val="continuous"/>
          <w:pgSz w:w="11907" w:h="16840"/>
          <w:pgMar w:top="1418" w:right="1418" w:bottom="1418" w:left="1418" w:header="851" w:footer="992" w:gutter="113"/>
          <w:pgNumType w:start="1"/>
          <w:cols w:space="708"/>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6" w:space="0" w:color="auto"/>
              <w:bottom w:val="single" w:sz="12" w:space="0" w:color="auto"/>
            </w:tcBorders>
          </w:tcPr>
          <w:p>
            <w:pPr>
              <w:tabs>
                <w:tab w:val="left" w:pos="0"/>
              </w:tabs>
              <w:spacing w:before="0" w:line="360" w:lineRule="auto"/>
              <w:ind w:firstLine="480" w:firstLineChars="200"/>
              <w:rPr>
                <w:rFonts w:ascii="宋体" w:hAnsi="宋体" w:cs="宋体"/>
                <w:snapToGrid w:val="0"/>
                <w:spacing w:val="10"/>
                <w:sz w:val="24"/>
                <w:szCs w:val="24"/>
              </w:rPr>
            </w:pPr>
            <w:r>
              <w:rPr>
                <w:rFonts w:ascii="宋体" w:hAnsi="宋体" w:cs="宋体" w:hint="eastAsia"/>
                <w:snapToGrid w:val="0"/>
                <w:spacing w:val="10"/>
                <w:sz w:val="24"/>
                <w:szCs w:val="24"/>
              </w:rPr>
              <w:t>规划方案进行了调整。</w:t>
            </w:r>
          </w:p>
          <w:p>
            <w:pPr>
              <w:tabs>
                <w:tab w:val="left" w:pos="0"/>
              </w:tabs>
              <w:spacing w:line="360" w:lineRule="auto"/>
              <w:ind w:firstLine="480" w:firstLineChars="200"/>
              <w:rPr>
                <w:rFonts w:hint="eastAsia"/>
                <w:sz w:val="24"/>
              </w:rPr>
            </w:pPr>
            <w:r>
              <w:rPr>
                <w:rFonts w:ascii="宋体" w:hAnsi="宋体" w:cs="宋体" w:hint="eastAsia"/>
                <w:kern w:val="21"/>
                <w:sz w:val="24"/>
              </w:rPr>
              <w:t>调整前情况：</w:t>
            </w:r>
            <w:r>
              <w:rPr>
                <w:rFonts w:hint="eastAsia"/>
                <w:snapToGrid w:val="0"/>
                <w:spacing w:val="10"/>
                <w:sz w:val="24"/>
              </w:rPr>
              <w:t>项目总投资17000万元，位于抚州梦湖梦园游览景区内的人造小岛-梦岛上，占地80亩，主要内容为对目前岛上仿建古建筑、广场等外观进行美化，安装灯光、音响等系统，以实现户外实景浸入式演出的真实演出效果。</w:t>
            </w:r>
          </w:p>
          <w:p>
            <w:pPr>
              <w:spacing w:line="360" w:lineRule="auto"/>
              <w:ind w:firstLine="480" w:firstLineChars="200"/>
              <w:rPr>
                <w:rFonts w:hint="eastAsia"/>
                <w:snapToGrid w:val="0"/>
                <w:spacing w:val="10"/>
                <w:sz w:val="24"/>
              </w:rPr>
            </w:pPr>
            <w:r>
              <w:rPr>
                <w:rFonts w:ascii="宋体" w:hAnsi="宋体" w:cs="宋体" w:hint="eastAsia"/>
                <w:snapToGrid w:val="0"/>
                <w:spacing w:val="10"/>
                <w:sz w:val="24"/>
                <w:szCs w:val="24"/>
              </w:rPr>
              <w:t>调整后情况：</w:t>
            </w:r>
            <w:r>
              <w:rPr>
                <w:rFonts w:hint="eastAsia"/>
                <w:snapToGrid w:val="0"/>
                <w:spacing w:val="10"/>
                <w:sz w:val="24"/>
              </w:rPr>
              <w:t>项目</w:t>
            </w:r>
            <w:r>
              <w:rPr>
                <w:rFonts w:hint="eastAsia"/>
                <w:sz w:val="24"/>
              </w:rPr>
              <w:t>总投资</w:t>
            </w:r>
            <w:r>
              <w:rPr>
                <w:rFonts w:hint="eastAsia"/>
                <w:snapToGrid w:val="0"/>
                <w:spacing w:val="10"/>
                <w:sz w:val="24"/>
              </w:rPr>
              <w:t>30000万元，位于抚州市文昌里历史文化街区，占地251亩，主要内容为对《寻梦牡丹亭》项目艺术创意和制作，演出设备的购置和安装，配套服务功能区建设（包括游客集散中心、停车场、演出职工排练生活配套用房、运营公司业务用房），文化游园演艺区建设（包括水面演出区、观演区、市政园林景观及其他配套设施）。</w:t>
            </w:r>
          </w:p>
          <w:p>
            <w:pPr>
              <w:tabs>
                <w:tab w:val="left" w:pos="0"/>
              </w:tabs>
              <w:spacing w:line="360" w:lineRule="auto"/>
              <w:ind w:firstLine="480" w:firstLineChars="200"/>
              <w:rPr>
                <w:rFonts w:ascii="宋体" w:hAnsi="宋体" w:cs="宋体" w:hint="eastAsia"/>
                <w:i/>
                <w:kern w:val="21"/>
                <w:sz w:val="24"/>
              </w:rPr>
            </w:pPr>
            <w:r>
              <w:rPr>
                <w:rFonts w:ascii="宋体" w:hAnsi="宋体" w:cs="宋体" w:hint="eastAsia"/>
                <w:i/>
                <w:kern w:val="21"/>
                <w:sz w:val="24"/>
              </w:rPr>
              <w:t>根据建设项目（污染型）重大变动判定原则（试行）文件可知，在项目地点、总平面布置变化，导致相关环节要素评价范围变化30%（含）以上、评价范围内新增环境敏感目标的项目属于重大变动，属于重大变动的应重新报批环境影响评价文件。</w:t>
            </w:r>
          </w:p>
          <w:p>
            <w:pPr>
              <w:tabs>
                <w:tab w:val="left" w:pos="0"/>
              </w:tabs>
              <w:spacing w:line="360" w:lineRule="auto"/>
              <w:ind w:firstLine="480" w:firstLineChars="200"/>
              <w:rPr>
                <w:rFonts w:ascii="宋体" w:hAnsi="宋体" w:cs="宋体"/>
                <w:kern w:val="21"/>
                <w:sz w:val="24"/>
              </w:rPr>
            </w:pPr>
            <w:r>
              <w:rPr>
                <w:rFonts w:ascii="宋体" w:hAnsi="宋体" w:cs="宋体" w:hint="eastAsia"/>
                <w:kern w:val="21"/>
                <w:sz w:val="24"/>
              </w:rPr>
              <w:t>《寻梦牡丹亭》大型实景演出项目项目地点、总平面布置等内容方面均有变化，属于重大变动项目，需要重新报批环评文件。</w:t>
            </w:r>
          </w:p>
          <w:p>
            <w:pPr>
              <w:tabs>
                <w:tab w:val="left" w:pos="0"/>
              </w:tabs>
              <w:spacing w:line="360" w:lineRule="auto"/>
              <w:ind w:firstLine="480" w:firstLineChars="200"/>
              <w:rPr>
                <w:snapToGrid w:val="0"/>
                <w:spacing w:val="10"/>
                <w:kern w:val="2"/>
                <w:sz w:val="24"/>
                <w:szCs w:val="24"/>
              </w:rPr>
            </w:pPr>
            <w:r>
              <w:rPr>
                <w:snapToGrid w:val="0"/>
                <w:spacing w:val="10"/>
                <w:kern w:val="2"/>
                <w:sz w:val="24"/>
                <w:szCs w:val="24"/>
              </w:rPr>
              <w:t>根据《中华人民共和国环境保护法》、《中华人民共和国环境影响评价法》、《建设项目环境保护管理条例》、《建设项目环境影响评价分类管理名录》、《江西省建设项目环境保护条例》等有关规定，该项目建设应提交环境影响报告表。为此，抚州市文化旅游投资发展有限责任公司委托江西南大融汇环境技术有限公司承担该建设项目的环境影响评价工作。我单位接受委托后，对周围环境进行了详细的实地勘查和相关资料的收集、核实与分析工作，在此基础上，按照《环境影响评价技术导则》所规定的原则、方法、内容及要求，编制了本建设项目环境影响报告表，供</w:t>
            </w:r>
            <w:r>
              <w:rPr>
                <w:rFonts w:hint="eastAsia"/>
                <w:snapToGrid w:val="0"/>
                <w:spacing w:val="10"/>
                <w:kern w:val="2"/>
                <w:sz w:val="24"/>
                <w:szCs w:val="24"/>
              </w:rPr>
              <w:t>抚州市</w:t>
            </w:r>
            <w:r>
              <w:rPr>
                <w:snapToGrid w:val="0"/>
                <w:spacing w:val="10"/>
                <w:kern w:val="2"/>
                <w:sz w:val="24"/>
                <w:szCs w:val="24"/>
              </w:rPr>
              <w:t>环保主管部门审查批准。</w:t>
            </w:r>
          </w:p>
          <w:p>
            <w:pPr>
              <w:tabs>
                <w:tab w:val="left" w:pos="0"/>
              </w:tabs>
              <w:snapToGrid w:val="0"/>
              <w:spacing w:line="360" w:lineRule="auto"/>
              <w:ind w:firstLine="480" w:firstLineChars="200"/>
              <w:rPr>
                <w:b/>
                <w:sz w:val="24"/>
              </w:rPr>
            </w:pPr>
            <w:r>
              <w:rPr>
                <w:b/>
                <w:sz w:val="24"/>
              </w:rPr>
              <w:t>二、工程周边环境</w:t>
            </w:r>
          </w:p>
          <w:p>
            <w:pPr>
              <w:spacing w:line="360" w:lineRule="auto"/>
              <w:ind w:firstLine="480" w:firstLineChars="200"/>
              <w:rPr>
                <w:sz w:val="28"/>
                <w:szCs w:val="28"/>
              </w:rPr>
            </w:pPr>
            <w:r>
              <w:rPr>
                <w:kern w:val="21"/>
                <w:sz w:val="24"/>
              </w:rPr>
              <w:t>项目位于</w:t>
            </w:r>
            <w:r>
              <w:rPr>
                <w:rFonts w:hint="eastAsia"/>
                <w:snapToGrid w:val="0"/>
                <w:spacing w:val="10"/>
                <w:sz w:val="24"/>
              </w:rPr>
              <w:t>抚州市文昌里历史文化街区，</w:t>
            </w:r>
            <w:r>
              <w:rPr>
                <w:sz w:val="24"/>
              </w:rPr>
              <w:t>中心地理坐标为E116°2</w:t>
            </w:r>
            <w:r>
              <w:rPr>
                <w:rFonts w:hint="eastAsia"/>
                <w:sz w:val="24"/>
              </w:rPr>
              <w:t>1</w:t>
            </w:r>
            <w:r>
              <w:rPr>
                <w:sz w:val="24"/>
              </w:rPr>
              <w:t>′</w:t>
            </w:r>
            <w:r>
              <w:rPr>
                <w:rFonts w:hint="eastAsia"/>
                <w:sz w:val="24"/>
              </w:rPr>
              <w:t>38.71</w:t>
            </w:r>
            <w:r>
              <w:rPr>
                <w:sz w:val="24"/>
              </w:rPr>
              <w:t>″，N2</w:t>
            </w:r>
            <w:r>
              <w:rPr>
                <w:rFonts w:hint="eastAsia"/>
                <w:sz w:val="24"/>
              </w:rPr>
              <w:t>8</w:t>
            </w:r>
            <w:r>
              <w:rPr>
                <w:sz w:val="24"/>
              </w:rPr>
              <w:t>°</w:t>
            </w:r>
            <w:r>
              <w:rPr>
                <w:rFonts w:hint="eastAsia"/>
                <w:sz w:val="24"/>
              </w:rPr>
              <w:t>0.42</w:t>
            </w:r>
            <w:r>
              <w:rPr>
                <w:sz w:val="24"/>
              </w:rPr>
              <w:t>′</w:t>
            </w:r>
            <w:r>
              <w:rPr>
                <w:rFonts w:hint="eastAsia"/>
                <w:sz w:val="24"/>
              </w:rPr>
              <w:t>25.24</w:t>
            </w:r>
            <w:r>
              <w:rPr>
                <w:sz w:val="24"/>
              </w:rPr>
              <w:t>″</w:t>
            </w:r>
            <w:r>
              <w:rPr>
                <w:sz w:val="28"/>
                <w:szCs w:val="28"/>
              </w:rPr>
              <w:t>。</w:t>
            </w:r>
          </w:p>
          <w:p>
            <w:pPr>
              <w:pStyle w:val="a3"/>
              <w:rPr>
                <w:rFonts w:hAnsi="Times New Roman"/>
                <w:highlight w:val="cyan"/>
              </w:rPr>
            </w:pPr>
            <w:r>
              <w:rPr>
                <w:rFonts w:hAnsi="Times New Roman"/>
              </w:rPr>
              <w:t>四至情况：项目北侧为</w:t>
            </w:r>
            <w:r>
              <w:rPr>
                <w:rFonts w:hAnsi="Times New Roman" w:hint="eastAsia"/>
              </w:rPr>
              <w:t>赣东大道</w:t>
            </w:r>
            <w:r>
              <w:rPr>
                <w:rFonts w:hAnsi="Times New Roman"/>
              </w:rPr>
              <w:t>，南侧地块现状基本上是</w:t>
            </w:r>
            <w:r>
              <w:rPr>
                <w:rFonts w:hAnsi="Times New Roman" w:hint="eastAsia"/>
              </w:rPr>
              <w:t>居民楼（临川区桥东村）</w:t>
            </w:r>
            <w:r>
              <w:rPr>
                <w:rFonts w:hAnsi="Times New Roman"/>
              </w:rPr>
              <w:t>。项目东</w:t>
            </w:r>
            <w:r>
              <w:rPr>
                <w:rFonts w:hAnsi="Times New Roman" w:hint="eastAsia"/>
              </w:rPr>
              <w:t>面为居民区（前进村），西侧为水域（抚河）。</w:t>
            </w:r>
            <w:r>
              <w:rPr>
                <w:rFonts w:hAnsi="Times New Roman"/>
                <w:kern w:val="21"/>
              </w:rPr>
              <w:t>项目</w:t>
            </w:r>
            <w:r>
              <w:rPr>
                <w:rFonts w:hAnsi="Times New Roman"/>
              </w:rPr>
              <w:t>具体位置见附图一。</w:t>
            </w:r>
          </w:p>
          <w:p>
            <w:pPr>
              <w:tabs>
                <w:tab w:val="left" w:pos="0"/>
              </w:tabs>
              <w:spacing w:line="360" w:lineRule="auto"/>
              <w:ind w:firstLine="480" w:firstLineChars="200"/>
              <w:rPr>
                <w:b/>
                <w:sz w:val="24"/>
              </w:rPr>
            </w:pPr>
            <w:r>
              <w:rPr>
                <w:b/>
                <w:sz w:val="24"/>
              </w:rPr>
              <w:t>三、工程内容</w:t>
            </w:r>
          </w:p>
          <w:p>
            <w:pPr>
              <w:tabs>
                <w:tab w:val="left" w:pos="0"/>
              </w:tabs>
              <w:snapToGrid w:val="0"/>
              <w:spacing w:line="360" w:lineRule="auto"/>
              <w:ind w:firstLine="480" w:firstLineChars="200"/>
              <w:rPr>
                <w:rFonts w:hint="eastAsia"/>
                <w:bCs/>
                <w:kern w:val="21"/>
                <w:sz w:val="24"/>
              </w:rPr>
            </w:pPr>
            <w:r>
              <w:rPr>
                <w:rFonts w:hint="eastAsia"/>
                <w:bCs/>
                <w:kern w:val="21"/>
                <w:sz w:val="24"/>
              </w:rPr>
              <w:t>本项目充分利用现状场地空间，组织观演和活动空间。</w:t>
            </w:r>
          </w:p>
        </w:tc>
      </w:tr>
    </w:tbl>
    <w:p>
      <w:pPr>
        <w:sectPr>
          <w:headerReference w:type="default" r:id="rId9"/>
          <w:footerReference w:type="even" r:id="rId10"/>
          <w:footerReference w:type="default" r:id="rId11"/>
          <w:headerReference w:type="first" r:id="rId12"/>
          <w:footerReference w:type="first" r:id="rId13"/>
          <w:type w:val="nextPage"/>
          <w:pgSz w:w="11907" w:h="16840"/>
          <w:pgMar w:top="1418" w:right="1418" w:bottom="1418" w:left="1418" w:header="851" w:footer="992" w:gutter="113"/>
          <w:pgNumType w:start="2"/>
          <w:cols w:space="708"/>
          <w:titlePg w:val="0"/>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6" w:space="0" w:color="auto"/>
              <w:bottom w:val="single" w:sz="12" w:space="0" w:color="auto"/>
            </w:tcBorders>
          </w:tcPr>
          <w:p>
            <w:pPr>
              <w:tabs>
                <w:tab w:val="left" w:pos="0"/>
              </w:tabs>
              <w:snapToGrid w:val="0"/>
              <w:spacing w:line="360" w:lineRule="auto"/>
              <w:ind w:firstLine="480" w:firstLineChars="200"/>
              <w:rPr>
                <w:rFonts w:hint="eastAsia"/>
                <w:bCs/>
                <w:kern w:val="21"/>
                <w:sz w:val="24"/>
              </w:rPr>
            </w:pPr>
            <w:r>
              <w:rPr>
                <w:rFonts w:hint="eastAsia"/>
                <w:bCs/>
                <w:kern w:val="21"/>
                <w:sz w:val="24"/>
              </w:rPr>
              <w:t>•</w:t>
            </w:r>
            <w:r>
              <w:rPr>
                <w:rFonts w:hint="eastAsia"/>
                <w:bCs/>
                <w:kern w:val="21"/>
                <w:sz w:val="24"/>
              </w:rPr>
              <w:t>保留和重点保护场地内所有大树；</w:t>
            </w:r>
          </w:p>
          <w:p>
            <w:pPr>
              <w:tabs>
                <w:tab w:val="left" w:pos="0"/>
              </w:tabs>
              <w:snapToGrid w:val="0"/>
              <w:spacing w:line="360" w:lineRule="auto"/>
              <w:ind w:firstLine="480" w:firstLineChars="200"/>
              <w:rPr>
                <w:rFonts w:hint="eastAsia"/>
                <w:bCs/>
                <w:kern w:val="21"/>
                <w:sz w:val="24"/>
              </w:rPr>
            </w:pPr>
            <w:r>
              <w:rPr>
                <w:rFonts w:hint="eastAsia"/>
                <w:bCs/>
                <w:kern w:val="21"/>
                <w:sz w:val="24"/>
              </w:rPr>
              <w:t>•</w:t>
            </w:r>
            <w:r>
              <w:rPr>
                <w:rFonts w:hint="eastAsia"/>
                <w:bCs/>
                <w:kern w:val="21"/>
                <w:sz w:val="24"/>
              </w:rPr>
              <w:t>水面及岸线适当进行梳理修改，满足景观及演出需求；</w:t>
            </w:r>
          </w:p>
          <w:p>
            <w:pPr>
              <w:tabs>
                <w:tab w:val="left" w:pos="0"/>
              </w:tabs>
              <w:snapToGrid w:val="0"/>
              <w:spacing w:line="360" w:lineRule="auto"/>
              <w:ind w:firstLine="480" w:firstLineChars="200"/>
              <w:rPr>
                <w:rFonts w:hint="eastAsia"/>
                <w:bCs/>
                <w:kern w:val="21"/>
                <w:sz w:val="24"/>
              </w:rPr>
            </w:pPr>
            <w:r>
              <w:rPr>
                <w:rFonts w:hint="eastAsia"/>
                <w:bCs/>
                <w:kern w:val="21"/>
                <w:sz w:val="24"/>
              </w:rPr>
              <w:t>•</w:t>
            </w:r>
            <w:r>
              <w:rPr>
                <w:rFonts w:hint="eastAsia"/>
                <w:bCs/>
                <w:kern w:val="21"/>
                <w:sz w:val="24"/>
              </w:rPr>
              <w:t>借景场地及周边景观元素，营造特色景观。</w:t>
            </w:r>
          </w:p>
          <w:p>
            <w:pPr>
              <w:tabs>
                <w:tab w:val="left" w:pos="0"/>
              </w:tabs>
              <w:snapToGrid w:val="0"/>
              <w:spacing w:line="360" w:lineRule="auto"/>
              <w:ind w:firstLine="480" w:firstLineChars="200"/>
              <w:rPr>
                <w:bCs/>
                <w:kern w:val="21"/>
                <w:sz w:val="24"/>
              </w:rPr>
            </w:pPr>
            <w:r>
              <w:rPr>
                <w:rFonts w:hint="eastAsia"/>
                <w:bCs/>
                <w:kern w:val="21"/>
                <w:sz w:val="24"/>
              </w:rPr>
              <w:t>设计</w:t>
            </w:r>
            <w:r>
              <w:rPr>
                <w:bCs/>
                <w:kern w:val="21"/>
                <w:sz w:val="24"/>
              </w:rPr>
              <w:t>模式</w:t>
            </w:r>
            <w:r>
              <w:rPr>
                <w:rFonts w:hint="eastAsia"/>
                <w:bCs/>
                <w:kern w:val="21"/>
                <w:sz w:val="24"/>
              </w:rPr>
              <w:t>为</w:t>
            </w:r>
            <w:r>
              <w:rPr>
                <w:bCs/>
                <w:kern w:val="21"/>
                <w:sz w:val="24"/>
              </w:rPr>
              <w:t>白天赏景游园，夜晚入境寻梦</w:t>
            </w:r>
            <w:r>
              <w:rPr>
                <w:rFonts w:hint="eastAsia"/>
                <w:bCs/>
                <w:kern w:val="21"/>
                <w:sz w:val="24"/>
              </w:rPr>
              <w:t>（观演）。</w:t>
            </w:r>
          </w:p>
          <w:p>
            <w:pPr>
              <w:tabs>
                <w:tab w:val="left" w:pos="0"/>
              </w:tabs>
              <w:snapToGrid w:val="0"/>
              <w:spacing w:line="360" w:lineRule="auto"/>
              <w:ind w:firstLine="480" w:firstLineChars="200"/>
              <w:rPr>
                <w:bCs/>
                <w:kern w:val="21"/>
                <w:sz w:val="24"/>
              </w:rPr>
            </w:pPr>
            <w:r>
              <w:rPr>
                <w:bCs/>
                <w:kern w:val="21"/>
                <w:sz w:val="24"/>
              </w:rPr>
              <w:t>【白天赏景游园】</w:t>
            </w:r>
          </w:p>
          <w:p>
            <w:pPr>
              <w:tabs>
                <w:tab w:val="left" w:pos="0"/>
              </w:tabs>
              <w:snapToGrid w:val="0"/>
              <w:spacing w:line="360" w:lineRule="auto"/>
              <w:ind w:firstLine="480" w:firstLineChars="200"/>
              <w:rPr>
                <w:bCs/>
                <w:kern w:val="21"/>
                <w:sz w:val="24"/>
              </w:rPr>
            </w:pPr>
            <w:r>
              <w:rPr>
                <w:bCs/>
                <w:kern w:val="21"/>
                <w:sz w:val="24"/>
              </w:rPr>
              <w:t>赏景、</w:t>
            </w:r>
            <w:r>
              <w:rPr>
                <w:rFonts w:hint="eastAsia"/>
                <w:bCs/>
                <w:kern w:val="21"/>
                <w:sz w:val="24"/>
              </w:rPr>
              <w:t>购物</w:t>
            </w:r>
            <w:r>
              <w:rPr>
                <w:bCs/>
                <w:kern w:val="21"/>
                <w:sz w:val="24"/>
              </w:rPr>
              <w:t>、</w:t>
            </w:r>
            <w:r>
              <w:rPr>
                <w:rFonts w:hint="eastAsia"/>
                <w:bCs/>
                <w:kern w:val="21"/>
                <w:sz w:val="24"/>
              </w:rPr>
              <w:t>互动</w:t>
            </w:r>
            <w:r>
              <w:rPr>
                <w:bCs/>
                <w:kern w:val="21"/>
                <w:sz w:val="24"/>
              </w:rPr>
              <w:t>表演</w:t>
            </w:r>
            <w:r>
              <w:rPr>
                <w:rFonts w:hint="eastAsia"/>
                <w:bCs/>
                <w:kern w:val="21"/>
                <w:sz w:val="24"/>
              </w:rPr>
              <w:t>于</w:t>
            </w:r>
            <w:r>
              <w:rPr>
                <w:bCs/>
                <w:kern w:val="21"/>
                <w:sz w:val="24"/>
              </w:rPr>
              <w:t>一体。园区及周边打造中西</w:t>
            </w:r>
            <w:r>
              <w:rPr>
                <w:rFonts w:hint="eastAsia"/>
                <w:bCs/>
                <w:kern w:val="21"/>
                <w:sz w:val="24"/>
              </w:rPr>
              <w:t>方</w:t>
            </w:r>
            <w:r>
              <w:rPr>
                <w:bCs/>
                <w:kern w:val="21"/>
                <w:sz w:val="24"/>
              </w:rPr>
              <w:t>戏曲、戏剧及临川文化展示</w:t>
            </w:r>
            <w:r>
              <w:rPr>
                <w:rFonts w:hint="eastAsia"/>
                <w:bCs/>
                <w:kern w:val="21"/>
                <w:sz w:val="24"/>
              </w:rPr>
              <w:t>的</w:t>
            </w:r>
            <w:r>
              <w:rPr>
                <w:bCs/>
                <w:kern w:val="21"/>
                <w:sz w:val="24"/>
              </w:rPr>
              <w:t>智慧化文化博物院。</w:t>
            </w:r>
            <w:r>
              <w:rPr>
                <w:rFonts w:hint="eastAsia"/>
                <w:bCs/>
                <w:kern w:val="21"/>
                <w:sz w:val="24"/>
              </w:rPr>
              <w:t>古建筑</w:t>
            </w:r>
            <w:r>
              <w:rPr>
                <w:bCs/>
                <w:kern w:val="21"/>
                <w:sz w:val="24"/>
              </w:rPr>
              <w:t>修旧如旧，还原</w:t>
            </w:r>
            <w:r>
              <w:rPr>
                <w:rFonts w:hint="eastAsia"/>
                <w:bCs/>
                <w:kern w:val="21"/>
                <w:sz w:val="24"/>
              </w:rPr>
              <w:t>历史</w:t>
            </w:r>
            <w:r>
              <w:rPr>
                <w:bCs/>
                <w:kern w:val="21"/>
                <w:sz w:val="24"/>
              </w:rPr>
              <w:t>，用极致唯美</w:t>
            </w:r>
            <w:r>
              <w:rPr>
                <w:rFonts w:hint="eastAsia"/>
                <w:bCs/>
                <w:kern w:val="21"/>
                <w:sz w:val="24"/>
              </w:rPr>
              <w:t>的</w:t>
            </w:r>
            <w:r>
              <w:rPr>
                <w:bCs/>
                <w:kern w:val="21"/>
                <w:sz w:val="24"/>
              </w:rPr>
              <w:t>中国元素</w:t>
            </w:r>
            <w:r>
              <w:rPr>
                <w:rFonts w:hint="eastAsia"/>
                <w:bCs/>
                <w:kern w:val="21"/>
                <w:sz w:val="24"/>
              </w:rPr>
              <w:t>解</w:t>
            </w:r>
            <w:r>
              <w:rPr>
                <w:bCs/>
                <w:kern w:val="21"/>
                <w:sz w:val="24"/>
              </w:rPr>
              <w:t>构园林风格。局部</w:t>
            </w:r>
            <w:r>
              <w:rPr>
                <w:rFonts w:hint="eastAsia"/>
                <w:bCs/>
                <w:kern w:val="21"/>
                <w:sz w:val="24"/>
              </w:rPr>
              <w:t>与</w:t>
            </w:r>
            <w:r>
              <w:rPr>
                <w:bCs/>
                <w:kern w:val="21"/>
                <w:sz w:val="24"/>
              </w:rPr>
              <w:t>当代材质表现形式相结合。多维文化雕塑、装置</w:t>
            </w:r>
            <w:r>
              <w:rPr>
                <w:rFonts w:hint="eastAsia"/>
                <w:bCs/>
                <w:kern w:val="21"/>
                <w:sz w:val="24"/>
              </w:rPr>
              <w:t>艺术</w:t>
            </w:r>
            <w:r>
              <w:rPr>
                <w:bCs/>
                <w:kern w:val="21"/>
                <w:sz w:val="24"/>
              </w:rPr>
              <w:t>、复</w:t>
            </w:r>
            <w:r>
              <w:rPr>
                <w:rFonts w:hint="eastAsia"/>
                <w:bCs/>
                <w:kern w:val="21"/>
                <w:sz w:val="24"/>
              </w:rPr>
              <w:t>古</w:t>
            </w:r>
            <w:r>
              <w:rPr>
                <w:bCs/>
                <w:kern w:val="21"/>
                <w:sz w:val="24"/>
              </w:rPr>
              <w:t>戏台等，将带给</w:t>
            </w:r>
            <w:r>
              <w:rPr>
                <w:rFonts w:hint="eastAsia"/>
                <w:bCs/>
                <w:kern w:val="21"/>
                <w:sz w:val="24"/>
              </w:rPr>
              <w:t>游客无与伦比的</w:t>
            </w:r>
            <w:r>
              <w:rPr>
                <w:bCs/>
                <w:kern w:val="21"/>
                <w:sz w:val="24"/>
              </w:rPr>
              <w:t>文化游园体验。园内设多点位中西戏剧真人表演、</w:t>
            </w:r>
            <w:r>
              <w:rPr>
                <w:rFonts w:hint="eastAsia"/>
                <w:bCs/>
                <w:kern w:val="21"/>
                <w:sz w:val="24"/>
              </w:rPr>
              <w:t>室</w:t>
            </w:r>
            <w:r>
              <w:rPr>
                <w:bCs/>
                <w:kern w:val="21"/>
                <w:sz w:val="24"/>
              </w:rPr>
              <w:t>内全息数字影像</w:t>
            </w:r>
            <w:r>
              <w:rPr>
                <w:rFonts w:hint="eastAsia"/>
                <w:bCs/>
                <w:kern w:val="21"/>
                <w:sz w:val="24"/>
              </w:rPr>
              <w:t>等互动表演。</w:t>
            </w:r>
          </w:p>
          <w:p>
            <w:pPr>
              <w:tabs>
                <w:tab w:val="left" w:pos="0"/>
              </w:tabs>
              <w:snapToGrid w:val="0"/>
              <w:spacing w:line="360" w:lineRule="auto"/>
              <w:ind w:firstLine="480" w:firstLineChars="200"/>
              <w:rPr>
                <w:bCs/>
                <w:kern w:val="21"/>
                <w:sz w:val="24"/>
              </w:rPr>
            </w:pPr>
            <w:r>
              <w:rPr>
                <w:bCs/>
                <w:kern w:val="21"/>
                <w:sz w:val="24"/>
              </w:rPr>
              <w:t>【夜晚入境寻梦】</w:t>
            </w:r>
          </w:p>
          <w:p>
            <w:pPr>
              <w:tabs>
                <w:tab w:val="left" w:pos="0"/>
              </w:tabs>
              <w:snapToGrid w:val="0"/>
              <w:spacing w:line="360" w:lineRule="auto"/>
              <w:ind w:firstLine="480" w:firstLineChars="200"/>
              <w:rPr>
                <w:bCs/>
                <w:kern w:val="21"/>
                <w:sz w:val="24"/>
              </w:rPr>
            </w:pPr>
            <w:r>
              <w:rPr>
                <w:bCs/>
                <w:kern w:val="21"/>
                <w:sz w:val="24"/>
              </w:rPr>
              <w:t>增强现实技术</w:t>
            </w:r>
            <w:r>
              <w:rPr>
                <w:rFonts w:hint="eastAsia"/>
                <w:bCs/>
                <w:kern w:val="21"/>
                <w:sz w:val="24"/>
              </w:rPr>
              <w:t>与</w:t>
            </w:r>
            <w:r>
              <w:rPr>
                <w:bCs/>
                <w:kern w:val="21"/>
                <w:sz w:val="24"/>
              </w:rPr>
              <w:t>大型装置</w:t>
            </w:r>
            <w:r>
              <w:rPr>
                <w:rFonts w:hint="eastAsia"/>
                <w:bCs/>
                <w:kern w:val="21"/>
                <w:sz w:val="24"/>
              </w:rPr>
              <w:t>艺术</w:t>
            </w:r>
            <w:r>
              <w:rPr>
                <w:bCs/>
                <w:kern w:val="21"/>
                <w:sz w:val="24"/>
              </w:rPr>
              <w:t>相结合</w:t>
            </w:r>
            <w:r>
              <w:rPr>
                <w:rFonts w:hint="eastAsia"/>
                <w:bCs/>
                <w:kern w:val="21"/>
                <w:sz w:val="24"/>
              </w:rPr>
              <w:t>的</w:t>
            </w:r>
            <w:r>
              <w:rPr>
                <w:bCs/>
                <w:kern w:val="21"/>
                <w:sz w:val="24"/>
              </w:rPr>
              <w:t>沉浸式实景演出，</w:t>
            </w:r>
            <w:r>
              <w:rPr>
                <w:rFonts w:hint="eastAsia"/>
                <w:bCs/>
                <w:kern w:val="21"/>
                <w:sz w:val="24"/>
              </w:rPr>
              <w:t>首创国内多处机械升降装置、精美可移动水晶建筑，打造实景如梦如幻视觉盛宴。</w:t>
            </w:r>
            <w:r>
              <w:rPr>
                <w:bCs/>
                <w:kern w:val="21"/>
                <w:sz w:val="24"/>
              </w:rPr>
              <w:t>多幕表演融合戏剧、音乐、舞蹈、虚拟影像等</w:t>
            </w:r>
            <w:r>
              <w:rPr>
                <w:rFonts w:hint="eastAsia"/>
                <w:bCs/>
                <w:kern w:val="21"/>
                <w:sz w:val="24"/>
              </w:rPr>
              <w:t>艺</w:t>
            </w:r>
            <w:r>
              <w:rPr>
                <w:bCs/>
                <w:kern w:val="21"/>
                <w:sz w:val="24"/>
              </w:rPr>
              <w:t>术形态，贯穿</w:t>
            </w:r>
            <w:r>
              <w:rPr>
                <w:rFonts w:hint="eastAsia"/>
                <w:bCs/>
                <w:kern w:val="21"/>
                <w:sz w:val="24"/>
              </w:rPr>
              <w:t>古</w:t>
            </w:r>
            <w:r>
              <w:rPr>
                <w:bCs/>
                <w:kern w:val="21"/>
                <w:sz w:val="24"/>
              </w:rPr>
              <w:t>典</w:t>
            </w:r>
            <w:r>
              <w:rPr>
                <w:rFonts w:hint="eastAsia"/>
                <w:bCs/>
                <w:kern w:val="21"/>
                <w:sz w:val="24"/>
              </w:rPr>
              <w:t>与</w:t>
            </w:r>
            <w:r>
              <w:rPr>
                <w:bCs/>
                <w:kern w:val="21"/>
                <w:sz w:val="24"/>
              </w:rPr>
              <w:t>现代</w:t>
            </w:r>
            <w:r>
              <w:rPr>
                <w:rFonts w:hint="eastAsia"/>
                <w:bCs/>
                <w:kern w:val="21"/>
                <w:sz w:val="24"/>
              </w:rPr>
              <w:t>的</w:t>
            </w:r>
            <w:r>
              <w:rPr>
                <w:bCs/>
                <w:kern w:val="21"/>
                <w:sz w:val="24"/>
              </w:rPr>
              <w:t>全景真人多媒体</w:t>
            </w:r>
            <w:r>
              <w:rPr>
                <w:rFonts w:hint="eastAsia"/>
                <w:bCs/>
                <w:kern w:val="21"/>
                <w:sz w:val="24"/>
              </w:rPr>
              <w:t>互动</w:t>
            </w:r>
            <w:r>
              <w:rPr>
                <w:bCs/>
                <w:kern w:val="21"/>
                <w:sz w:val="24"/>
              </w:rPr>
              <w:t>表演。</w:t>
            </w:r>
          </w:p>
          <w:p>
            <w:pPr>
              <w:tabs>
                <w:tab w:val="left" w:pos="0"/>
              </w:tabs>
              <w:snapToGrid w:val="0"/>
              <w:spacing w:line="360" w:lineRule="auto"/>
              <w:ind w:firstLine="480" w:firstLineChars="200"/>
              <w:rPr>
                <w:bCs/>
                <w:kern w:val="21"/>
                <w:sz w:val="24"/>
              </w:rPr>
            </w:pPr>
            <w:r>
              <w:rPr>
                <w:bCs/>
                <w:kern w:val="21"/>
                <w:sz w:val="24"/>
              </w:rPr>
              <w:t>项目规划用地面积为167330m</w:t>
            </w:r>
            <w:r>
              <w:rPr>
                <w:bCs/>
                <w:kern w:val="21"/>
                <w:sz w:val="24"/>
                <w:vertAlign w:val="superscript"/>
              </w:rPr>
              <w:t>2</w:t>
            </w:r>
            <w:r>
              <w:rPr>
                <w:bCs/>
                <w:kern w:val="21"/>
                <w:sz w:val="24"/>
              </w:rPr>
              <w:t>（合251亩），分为实景演出用地范围和配套服务功能用地范围两个区块。配套服务功能区位于场区的西北部，布置有停车区、办公园区及游客服务区、配套活动区等；实景演出区位于场区中部以及东部，布置有第一观演区、第二观演区、第三观演区、出口集散广场、园区服务区等功能。</w:t>
            </w:r>
          </w:p>
          <w:p>
            <w:pPr>
              <w:tabs>
                <w:tab w:val="left" w:pos="0"/>
              </w:tabs>
              <w:spacing w:line="240" w:lineRule="auto"/>
              <w:jc w:val="center"/>
              <w:rPr>
                <w:b/>
                <w:kern w:val="21"/>
                <w:sz w:val="24"/>
              </w:rPr>
            </w:pPr>
            <w:r>
              <w:rPr>
                <w:rFonts w:hint="eastAsia"/>
                <w:b/>
                <w:kern w:val="21"/>
                <w:sz w:val="24"/>
              </w:rPr>
              <w:t>表1   项目经</w:t>
            </w:r>
            <w:r>
              <w:rPr>
                <w:b/>
                <w:kern w:val="21"/>
                <w:sz w:val="24"/>
              </w:rPr>
              <w:t>济技术指标一览</w:t>
            </w: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1167"/>
              <w:gridCol w:w="953"/>
              <w:gridCol w:w="2237"/>
              <w:gridCol w:w="1950"/>
              <w:gridCol w:w="1281"/>
              <w:gridCol w:w="1236"/>
            </w:tblGrid>
            <w:tr>
              <w:tblPrEx>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344"/>
              </w:trPr>
              <w:tc>
                <w:tcPr>
                  <w:tcW w:w="1167" w:type="dxa"/>
                  <w:tcBorders>
                    <w:top w:val="single" w:sz="12" w:space="0" w:color="auto"/>
                    <w:left w:val="nil"/>
                    <w:bottom w:val="double" w:sz="4" w:space="0" w:color="auto"/>
                  </w:tcBorders>
                  <w:vAlign w:val="center"/>
                </w:tcPr>
                <w:p>
                  <w:pPr>
                    <w:pStyle w:val="21"/>
                    <w:spacing w:line="240" w:lineRule="atLeast"/>
                    <w:rPr>
                      <w:kern w:val="21"/>
                      <w:szCs w:val="24"/>
                    </w:rPr>
                  </w:pPr>
                  <w:r>
                    <w:rPr>
                      <w:kern w:val="21"/>
                      <w:szCs w:val="24"/>
                    </w:rPr>
                    <w:t>编号</w:t>
                  </w:r>
                </w:p>
              </w:tc>
              <w:tc>
                <w:tcPr>
                  <w:tcW w:w="3190" w:type="dxa"/>
                  <w:gridSpan w:val="2"/>
                  <w:tcBorders>
                    <w:top w:val="single" w:sz="12" w:space="0" w:color="auto"/>
                    <w:bottom w:val="double" w:sz="4" w:space="0" w:color="auto"/>
                  </w:tcBorders>
                  <w:vAlign w:val="center"/>
                </w:tcPr>
                <w:p>
                  <w:pPr>
                    <w:pStyle w:val="21"/>
                    <w:spacing w:line="240" w:lineRule="atLeast"/>
                    <w:rPr>
                      <w:kern w:val="21"/>
                      <w:szCs w:val="24"/>
                    </w:rPr>
                  </w:pPr>
                  <w:r>
                    <w:rPr>
                      <w:kern w:val="21"/>
                      <w:szCs w:val="24"/>
                    </w:rPr>
                    <w:t>项目</w:t>
                  </w:r>
                </w:p>
              </w:tc>
              <w:tc>
                <w:tcPr>
                  <w:tcW w:w="3231" w:type="dxa"/>
                  <w:gridSpan w:val="2"/>
                  <w:tcBorders>
                    <w:top w:val="single" w:sz="12" w:space="0" w:color="auto"/>
                    <w:bottom w:val="double" w:sz="4" w:space="0" w:color="auto"/>
                  </w:tcBorders>
                  <w:vAlign w:val="center"/>
                </w:tcPr>
                <w:p>
                  <w:pPr>
                    <w:pStyle w:val="21"/>
                    <w:spacing w:line="240" w:lineRule="atLeast"/>
                    <w:rPr>
                      <w:kern w:val="21"/>
                      <w:szCs w:val="24"/>
                    </w:rPr>
                  </w:pPr>
                  <w:r>
                    <w:rPr>
                      <w:kern w:val="21"/>
                      <w:szCs w:val="24"/>
                    </w:rPr>
                    <w:t>数量</w:t>
                  </w:r>
                </w:p>
              </w:tc>
              <w:tc>
                <w:tcPr>
                  <w:tcW w:w="1236" w:type="dxa"/>
                  <w:tcBorders>
                    <w:top w:val="single" w:sz="12" w:space="0" w:color="auto"/>
                    <w:bottom w:val="double" w:sz="4" w:space="0" w:color="auto"/>
                    <w:right w:val="nil"/>
                  </w:tcBorders>
                  <w:vAlign w:val="center"/>
                </w:tcPr>
                <w:p>
                  <w:pPr>
                    <w:pStyle w:val="21"/>
                    <w:spacing w:line="240" w:lineRule="atLeast"/>
                    <w:rPr>
                      <w:kern w:val="21"/>
                      <w:szCs w:val="24"/>
                    </w:rPr>
                  </w:pPr>
                  <w:r>
                    <w:rPr>
                      <w:kern w:val="21"/>
                      <w:szCs w:val="24"/>
                    </w:rPr>
                    <w:t>单位</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double" w:sz="4" w:space="0" w:color="auto"/>
                    <w:left w:val="nil"/>
                    <w:bottom w:val="single" w:sz="4" w:space="0" w:color="auto"/>
                  </w:tcBorders>
                  <w:vAlign w:val="center"/>
                </w:tcPr>
                <w:p>
                  <w:pPr>
                    <w:pStyle w:val="21"/>
                    <w:spacing w:line="240" w:lineRule="atLeast"/>
                    <w:rPr>
                      <w:kern w:val="21"/>
                      <w:szCs w:val="24"/>
                    </w:rPr>
                  </w:pPr>
                  <w:r>
                    <w:rPr>
                      <w:kern w:val="21"/>
                      <w:szCs w:val="24"/>
                    </w:rPr>
                    <w:t>1</w:t>
                  </w:r>
                </w:p>
              </w:tc>
              <w:tc>
                <w:tcPr>
                  <w:tcW w:w="3190" w:type="dxa"/>
                  <w:gridSpan w:val="2"/>
                  <w:tcBorders>
                    <w:top w:val="double" w:sz="4" w:space="0" w:color="auto"/>
                    <w:bottom w:val="single" w:sz="4" w:space="0" w:color="auto"/>
                  </w:tcBorders>
                  <w:vAlign w:val="center"/>
                </w:tcPr>
                <w:p>
                  <w:pPr>
                    <w:pStyle w:val="21"/>
                    <w:spacing w:line="240" w:lineRule="atLeast"/>
                    <w:rPr>
                      <w:kern w:val="21"/>
                      <w:szCs w:val="24"/>
                    </w:rPr>
                  </w:pPr>
                  <w:r>
                    <w:rPr>
                      <w:kern w:val="21"/>
                      <w:szCs w:val="24"/>
                    </w:rPr>
                    <w:t>总占地面积</w:t>
                  </w:r>
                </w:p>
              </w:tc>
              <w:tc>
                <w:tcPr>
                  <w:tcW w:w="3231" w:type="dxa"/>
                  <w:gridSpan w:val="2"/>
                  <w:tcBorders>
                    <w:top w:val="double" w:sz="4" w:space="0" w:color="auto"/>
                    <w:bottom w:val="single" w:sz="4" w:space="0" w:color="auto"/>
                  </w:tcBorders>
                  <w:vAlign w:val="center"/>
                </w:tcPr>
                <w:p>
                  <w:pPr>
                    <w:pStyle w:val="21"/>
                    <w:spacing w:line="240" w:lineRule="atLeast"/>
                    <w:rPr>
                      <w:kern w:val="21"/>
                      <w:szCs w:val="24"/>
                    </w:rPr>
                  </w:pPr>
                  <w:r>
                    <w:rPr>
                      <w:kern w:val="21"/>
                      <w:szCs w:val="24"/>
                    </w:rPr>
                    <w:t>167330</w:t>
                  </w:r>
                </w:p>
              </w:tc>
              <w:tc>
                <w:tcPr>
                  <w:tcW w:w="1236" w:type="dxa"/>
                  <w:vMerge w:val="restart"/>
                  <w:tcBorders>
                    <w:top w:val="double" w:sz="4" w:space="0" w:color="auto"/>
                    <w:right w:val="nil"/>
                  </w:tcBorders>
                  <w:vAlign w:val="center"/>
                </w:tcPr>
                <w:p>
                  <w:pPr>
                    <w:pStyle w:val="21"/>
                    <w:spacing w:line="240" w:lineRule="atLeast"/>
                    <w:rPr>
                      <w:kern w:val="21"/>
                      <w:szCs w:val="24"/>
                    </w:rPr>
                  </w:pPr>
                  <w:r>
                    <w:rPr>
                      <w:kern w:val="21"/>
                      <w:szCs w:val="24"/>
                    </w:rPr>
                    <w:t>m</w:t>
                  </w:r>
                  <w:r>
                    <w:rPr>
                      <w:kern w:val="21"/>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tcBorders>
                  <w:vAlign w:val="center"/>
                </w:tcPr>
                <w:p>
                  <w:pPr>
                    <w:pStyle w:val="21"/>
                    <w:spacing w:line="240" w:lineRule="atLeast"/>
                    <w:rPr>
                      <w:kern w:val="21"/>
                      <w:szCs w:val="24"/>
                    </w:rPr>
                  </w:pPr>
                  <w:r>
                    <w:rPr>
                      <w:kern w:val="21"/>
                      <w:szCs w:val="24"/>
                    </w:rPr>
                    <w:t>2</w:t>
                  </w:r>
                </w:p>
              </w:tc>
              <w:tc>
                <w:tcPr>
                  <w:tcW w:w="3190" w:type="dxa"/>
                  <w:gridSpan w:val="2"/>
                  <w:tcBorders>
                    <w:top w:val="single" w:sz="4" w:space="0" w:color="auto"/>
                  </w:tcBorders>
                  <w:vAlign w:val="center"/>
                </w:tcPr>
                <w:p>
                  <w:pPr>
                    <w:pStyle w:val="21"/>
                    <w:spacing w:line="240" w:lineRule="atLeast"/>
                    <w:rPr>
                      <w:kern w:val="21"/>
                      <w:szCs w:val="24"/>
                    </w:rPr>
                  </w:pPr>
                  <w:r>
                    <w:rPr>
                      <w:kern w:val="21"/>
                      <w:szCs w:val="24"/>
                    </w:rPr>
                    <w:t>总绿化面积</w:t>
                  </w:r>
                </w:p>
              </w:tc>
              <w:tc>
                <w:tcPr>
                  <w:tcW w:w="3231" w:type="dxa"/>
                  <w:gridSpan w:val="2"/>
                  <w:tcBorders>
                    <w:top w:val="single" w:sz="4" w:space="0" w:color="auto"/>
                  </w:tcBorders>
                  <w:vAlign w:val="center"/>
                </w:tcPr>
                <w:p>
                  <w:pPr>
                    <w:pStyle w:val="21"/>
                    <w:spacing w:line="240" w:lineRule="atLeast"/>
                    <w:rPr>
                      <w:kern w:val="21"/>
                      <w:szCs w:val="24"/>
                    </w:rPr>
                  </w:pPr>
                  <w:r>
                    <w:rPr>
                      <w:kern w:val="21"/>
                      <w:szCs w:val="24"/>
                    </w:rPr>
                    <w:t>约18240</w:t>
                  </w:r>
                </w:p>
              </w:tc>
              <w:tc>
                <w:tcPr>
                  <w:tcW w:w="1236" w:type="dxa"/>
                  <w:vMerge/>
                  <w:tcBorders>
                    <w:right w:val="nil"/>
                  </w:tcBorders>
                  <w:vAlign w:val="center"/>
                </w:tcPr>
                <w:p>
                  <w:pPr>
                    <w:pStyle w:val="21"/>
                    <w:spacing w:line="240" w:lineRule="atLeast"/>
                    <w:rPr>
                      <w:kern w:val="21"/>
                      <w:szCs w:val="24"/>
                    </w:rPr>
                  </w:pP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tcBorders>
                  <w:vAlign w:val="center"/>
                </w:tcPr>
                <w:p>
                  <w:pPr>
                    <w:pStyle w:val="21"/>
                    <w:spacing w:line="240" w:lineRule="atLeast"/>
                    <w:rPr>
                      <w:kern w:val="21"/>
                      <w:szCs w:val="24"/>
                    </w:rPr>
                  </w:pPr>
                  <w:r>
                    <w:rPr>
                      <w:kern w:val="21"/>
                      <w:szCs w:val="24"/>
                    </w:rPr>
                    <w:t>3</w:t>
                  </w:r>
                </w:p>
              </w:tc>
              <w:tc>
                <w:tcPr>
                  <w:tcW w:w="953" w:type="dxa"/>
                  <w:vMerge w:val="restart"/>
                  <w:tcBorders>
                    <w:top w:val="single" w:sz="4" w:space="0" w:color="auto"/>
                    <w:right w:val="single" w:sz="4" w:space="0" w:color="auto"/>
                  </w:tcBorders>
                  <w:vAlign w:val="center"/>
                </w:tcPr>
                <w:p>
                  <w:pPr>
                    <w:pStyle w:val="21"/>
                    <w:spacing w:line="240" w:lineRule="atLeast"/>
                    <w:rPr>
                      <w:kern w:val="21"/>
                      <w:szCs w:val="24"/>
                    </w:rPr>
                  </w:pPr>
                  <w:r>
                    <w:rPr>
                      <w:kern w:val="21"/>
                      <w:szCs w:val="24"/>
                    </w:rPr>
                    <w:t>配套服务功能区</w:t>
                  </w:r>
                </w:p>
              </w:tc>
              <w:tc>
                <w:tcPr>
                  <w:tcW w:w="2237" w:type="dxa"/>
                  <w:vMerge w:val="restart"/>
                  <w:tcBorders>
                    <w:top w:val="single" w:sz="4" w:space="0" w:color="auto"/>
                    <w:left w:val="single" w:sz="4" w:space="0" w:color="auto"/>
                  </w:tcBorders>
                  <w:vAlign w:val="center"/>
                </w:tcPr>
                <w:p>
                  <w:pPr>
                    <w:pStyle w:val="21"/>
                    <w:spacing w:line="240" w:lineRule="atLeast"/>
                    <w:rPr>
                      <w:kern w:val="21"/>
                      <w:szCs w:val="24"/>
                    </w:rPr>
                  </w:pPr>
                  <w:r>
                    <w:rPr>
                      <w:kern w:val="21"/>
                      <w:szCs w:val="24"/>
                    </w:rPr>
                    <w:t>建筑配套用地</w:t>
                  </w:r>
                </w:p>
              </w:tc>
              <w:tc>
                <w:tcPr>
                  <w:tcW w:w="1950" w:type="dxa"/>
                  <w:tcBorders>
                    <w:top w:val="single" w:sz="4" w:space="0" w:color="auto"/>
                    <w:right w:val="single" w:sz="4" w:space="0" w:color="auto"/>
                  </w:tcBorders>
                  <w:vAlign w:val="center"/>
                </w:tcPr>
                <w:p>
                  <w:pPr>
                    <w:pStyle w:val="21"/>
                    <w:spacing w:line="240" w:lineRule="atLeast"/>
                    <w:rPr>
                      <w:kern w:val="21"/>
                      <w:szCs w:val="24"/>
                    </w:rPr>
                  </w:pPr>
                  <w:r>
                    <w:rPr>
                      <w:kern w:val="21"/>
                      <w:szCs w:val="24"/>
                    </w:rPr>
                    <w:t>建筑用地</w:t>
                  </w:r>
                </w:p>
              </w:tc>
              <w:tc>
                <w:tcPr>
                  <w:tcW w:w="1281" w:type="dxa"/>
                  <w:tcBorders>
                    <w:top w:val="single" w:sz="4" w:space="0" w:color="auto"/>
                    <w:left w:val="single" w:sz="4" w:space="0" w:color="auto"/>
                  </w:tcBorders>
                  <w:vAlign w:val="center"/>
                </w:tcPr>
                <w:p>
                  <w:pPr>
                    <w:pStyle w:val="21"/>
                    <w:spacing w:line="240" w:lineRule="atLeast"/>
                    <w:rPr>
                      <w:kern w:val="21"/>
                      <w:szCs w:val="24"/>
                    </w:rPr>
                  </w:pPr>
                  <w:r>
                    <w:rPr>
                      <w:kern w:val="21"/>
                      <w:szCs w:val="24"/>
                    </w:rPr>
                    <w:t>3360</w:t>
                  </w:r>
                </w:p>
              </w:tc>
              <w:tc>
                <w:tcPr>
                  <w:tcW w:w="1236" w:type="dxa"/>
                  <w:vMerge/>
                  <w:tcBorders>
                    <w:right w:val="nil"/>
                  </w:tcBorders>
                  <w:vAlign w:val="center"/>
                </w:tcPr>
                <w:p>
                  <w:pPr>
                    <w:pStyle w:val="21"/>
                    <w:spacing w:line="240" w:lineRule="atLeast"/>
                    <w:rPr>
                      <w:kern w:val="21"/>
                      <w:szCs w:val="24"/>
                    </w:rPr>
                  </w:pPr>
                </w:p>
              </w:tc>
            </w:tr>
            <w:tr>
              <w:tblPrEx>
                <w:tblW w:w="0" w:type="auto"/>
                <w:tblInd w:w="113" w:type="dxa"/>
                <w:tblLayout w:type="fixed"/>
                <w:tblCellMar>
                  <w:top w:w="0" w:type="dxa"/>
                  <w:left w:w="108" w:type="dxa"/>
                  <w:bottom w:w="0" w:type="dxa"/>
                  <w:right w:w="108" w:type="dxa"/>
                </w:tblCellMar>
                <w:tblLook w:val="0000"/>
              </w:tblPrEx>
              <w:trPr>
                <w:trHeight w:val="362"/>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4</w:t>
                  </w:r>
                </w:p>
              </w:tc>
              <w:tc>
                <w:tcPr>
                  <w:tcW w:w="953" w:type="dxa"/>
                  <w:vMerge/>
                  <w:tcBorders>
                    <w:right w:val="single" w:sz="4" w:space="0" w:color="auto"/>
                  </w:tcBorders>
                  <w:vAlign w:val="center"/>
                </w:tcPr>
                <w:p>
                  <w:pPr>
                    <w:pStyle w:val="21"/>
                    <w:spacing w:line="240" w:lineRule="atLeast"/>
                    <w:rPr>
                      <w:kern w:val="21"/>
                      <w:szCs w:val="24"/>
                    </w:rPr>
                  </w:pPr>
                </w:p>
              </w:tc>
              <w:tc>
                <w:tcPr>
                  <w:tcW w:w="2237" w:type="dxa"/>
                  <w:vMerge/>
                  <w:tcBorders>
                    <w:left w:val="single" w:sz="4" w:space="0" w:color="auto"/>
                    <w:bottom w:val="single" w:sz="4" w:space="0" w:color="auto"/>
                  </w:tcBorders>
                  <w:vAlign w:val="center"/>
                </w:tcPr>
                <w:p>
                  <w:pPr>
                    <w:pStyle w:val="21"/>
                    <w:spacing w:line="240" w:lineRule="atLeast"/>
                    <w:rPr>
                      <w:kern w:val="21"/>
                      <w:szCs w:val="24"/>
                    </w:rPr>
                  </w:pPr>
                </w:p>
              </w:tc>
              <w:tc>
                <w:tcPr>
                  <w:tcW w:w="1950" w:type="dxa"/>
                  <w:tcBorders>
                    <w:top w:val="single" w:sz="4" w:space="0" w:color="auto"/>
                    <w:bottom w:val="single" w:sz="4" w:space="0" w:color="auto"/>
                    <w:right w:val="single" w:sz="4" w:space="0" w:color="auto"/>
                  </w:tcBorders>
                  <w:vAlign w:val="center"/>
                </w:tcPr>
                <w:p>
                  <w:pPr>
                    <w:pStyle w:val="21"/>
                    <w:spacing w:line="240" w:lineRule="atLeast"/>
                    <w:rPr>
                      <w:kern w:val="21"/>
                      <w:szCs w:val="24"/>
                    </w:rPr>
                  </w:pPr>
                  <w:r>
                    <w:rPr>
                      <w:kern w:val="21"/>
                      <w:szCs w:val="24"/>
                    </w:rPr>
                    <w:t>园林绿化</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7640</w:t>
                  </w:r>
                </w:p>
              </w:tc>
              <w:tc>
                <w:tcPr>
                  <w:tcW w:w="1236" w:type="dxa"/>
                  <w:vMerge/>
                  <w:tcBorders>
                    <w:right w:val="nil"/>
                  </w:tcBorders>
                  <w:vAlign w:val="center"/>
                </w:tcPr>
                <w:p>
                  <w:pPr>
                    <w:pStyle w:val="21"/>
                    <w:spacing w:line="240" w:lineRule="atLeast"/>
                    <w:rPr>
                      <w:kern w:val="21"/>
                      <w:szCs w:val="24"/>
                    </w:rPr>
                  </w:pP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5</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21"/>
                      <w:szCs w:val="24"/>
                    </w:rPr>
                  </w:pPr>
                  <w:r>
                    <w:rPr>
                      <w:kern w:val="21"/>
                      <w:szCs w:val="24"/>
                    </w:rPr>
                    <w:t>停车场</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13600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6</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活动区</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5000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7</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保护建筑</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650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8</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集散广场</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6800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9</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园林绿化</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5810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10</w:t>
                  </w:r>
                </w:p>
              </w:tc>
              <w:tc>
                <w:tcPr>
                  <w:tcW w:w="953" w:type="dxa"/>
                  <w:vMerge/>
                  <w:tcBorders>
                    <w:bottom w:val="single" w:sz="4" w:space="0" w:color="auto"/>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合计</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42860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11</w:t>
                  </w:r>
                </w:p>
              </w:tc>
              <w:tc>
                <w:tcPr>
                  <w:tcW w:w="953" w:type="dxa"/>
                  <w:vMerge w:val="restart"/>
                  <w:tcBorders>
                    <w:top w:val="single" w:sz="4" w:space="0" w:color="auto"/>
                    <w:right w:val="single" w:sz="4" w:space="0" w:color="auto"/>
                  </w:tcBorders>
                  <w:vAlign w:val="center"/>
                </w:tcPr>
                <w:p>
                  <w:pPr>
                    <w:pStyle w:val="21"/>
                    <w:spacing w:line="240" w:lineRule="atLeast"/>
                    <w:rPr>
                      <w:kern w:val="21"/>
                      <w:szCs w:val="24"/>
                    </w:rPr>
                  </w:pPr>
                  <w:r>
                    <w:rPr>
                      <w:kern w:val="21"/>
                      <w:szCs w:val="24"/>
                    </w:rPr>
                    <w:t>文化游园演艺区</w:t>
                  </w: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水面演出区</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37000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12</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观演区</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57700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13</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园林构筑物</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6800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bl>
          <w:p/>
        </w:tc>
      </w:tr>
    </w:tbl>
    <w:p>
      <w:pPr>
        <w:sectPr>
          <w:headerReference w:type="default" r:id="rId14"/>
          <w:footerReference w:type="even" r:id="rId15"/>
          <w:footerReference w:type="default" r:id="rId16"/>
          <w:headerReference w:type="first" r:id="rId17"/>
          <w:footerReference w:type="first" r:id="rId18"/>
          <w:type w:val="nextPage"/>
          <w:pgSz w:w="11907" w:h="16840"/>
          <w:pgMar w:top="1418" w:right="1418" w:bottom="1418" w:left="1418" w:header="851" w:footer="992" w:gutter="113"/>
          <w:pgNumType w:start="3"/>
          <w:cols w:space="708"/>
          <w:titlePg w:val="0"/>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6" w:space="0" w:color="auto"/>
              <w:bottom w:val="single" w:sz="12" w:space="0" w:color="auto"/>
            </w:tcBorders>
          </w:tcPr>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1167"/>
              <w:gridCol w:w="953"/>
              <w:gridCol w:w="2237"/>
              <w:gridCol w:w="1950"/>
              <w:gridCol w:w="1281"/>
              <w:gridCol w:w="1236"/>
            </w:tblGrid>
            <w:tr>
              <w:tblPrEx>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14</w:t>
                  </w:r>
                </w:p>
              </w:tc>
              <w:tc>
                <w:tcPr>
                  <w:tcW w:w="953" w:type="dxa"/>
                  <w:vMerge w:val="restart"/>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spacing w:line="240" w:lineRule="atLeast"/>
                    <w:jc w:val="center"/>
                    <w:rPr>
                      <w:kern w:val="21"/>
                      <w:sz w:val="24"/>
                      <w:szCs w:val="24"/>
                    </w:rPr>
                  </w:pPr>
                  <w:r>
                    <w:rPr>
                      <w:kern w:val="21"/>
                      <w:sz w:val="24"/>
                      <w:szCs w:val="24"/>
                    </w:rPr>
                    <w:t>园林绿地</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10600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15</w:t>
                  </w:r>
                </w:p>
              </w:tc>
              <w:tc>
                <w:tcPr>
                  <w:tcW w:w="953" w:type="dxa"/>
                  <w:vMerge/>
                  <w:tcBorders>
                    <w:right w:val="single" w:sz="4" w:space="0" w:color="auto"/>
                  </w:tcBorders>
                  <w:vAlign w:val="center"/>
                </w:tcPr>
                <w:p>
                  <w:pPr>
                    <w:pStyle w:val="21"/>
                    <w:spacing w:line="240" w:lineRule="atLeast"/>
                    <w:rPr>
                      <w:kern w:val="21"/>
                      <w:szCs w:val="24"/>
                    </w:rPr>
                  </w:pPr>
                </w:p>
              </w:tc>
              <w:tc>
                <w:tcPr>
                  <w:tcW w:w="2237" w:type="dxa"/>
                  <w:vMerge w:val="restart"/>
                  <w:tcBorders>
                    <w:top w:val="single" w:sz="4" w:space="0" w:color="auto"/>
                    <w:left w:val="single" w:sz="4" w:space="0" w:color="auto"/>
                  </w:tcBorders>
                  <w:vAlign w:val="center"/>
                </w:tcPr>
                <w:p>
                  <w:pPr>
                    <w:pStyle w:val="21"/>
                    <w:spacing w:line="240" w:lineRule="atLeast"/>
                    <w:rPr>
                      <w:kern w:val="21"/>
                      <w:szCs w:val="24"/>
                    </w:rPr>
                  </w:pPr>
                  <w:r>
                    <w:rPr>
                      <w:kern w:val="21"/>
                      <w:szCs w:val="24"/>
                    </w:rPr>
                    <w:t>集散广场</w:t>
                  </w:r>
                </w:p>
              </w:tc>
              <w:tc>
                <w:tcPr>
                  <w:tcW w:w="1950" w:type="dxa"/>
                  <w:tcBorders>
                    <w:top w:val="single" w:sz="4" w:space="0" w:color="auto"/>
                    <w:bottom w:val="single" w:sz="4" w:space="0" w:color="auto"/>
                    <w:right w:val="single" w:sz="4" w:space="0" w:color="auto"/>
                  </w:tcBorders>
                  <w:vAlign w:val="center"/>
                </w:tcPr>
                <w:p>
                  <w:pPr>
                    <w:pStyle w:val="21"/>
                    <w:spacing w:line="240" w:lineRule="atLeast"/>
                    <w:rPr>
                      <w:kern w:val="21"/>
                      <w:szCs w:val="24"/>
                    </w:rPr>
                  </w:pPr>
                  <w:r>
                    <w:rPr>
                      <w:kern w:val="21"/>
                      <w:szCs w:val="24"/>
                    </w:rPr>
                    <w:t>建筑用地</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4000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16</w:t>
                  </w:r>
                </w:p>
              </w:tc>
              <w:tc>
                <w:tcPr>
                  <w:tcW w:w="953" w:type="dxa"/>
                  <w:vMerge/>
                  <w:tcBorders>
                    <w:right w:val="single" w:sz="4" w:space="0" w:color="auto"/>
                  </w:tcBorders>
                  <w:vAlign w:val="center"/>
                </w:tcPr>
                <w:p>
                  <w:pPr>
                    <w:pStyle w:val="21"/>
                    <w:spacing w:line="240" w:lineRule="atLeast"/>
                    <w:rPr>
                      <w:kern w:val="21"/>
                      <w:szCs w:val="24"/>
                    </w:rPr>
                  </w:pPr>
                </w:p>
              </w:tc>
              <w:tc>
                <w:tcPr>
                  <w:tcW w:w="2237" w:type="dxa"/>
                  <w:vMerge/>
                  <w:tcBorders>
                    <w:left w:val="single" w:sz="4" w:space="0" w:color="auto"/>
                    <w:bottom w:val="single" w:sz="4" w:space="0" w:color="auto"/>
                  </w:tcBorders>
                  <w:vAlign w:val="center"/>
                </w:tcPr>
                <w:p>
                  <w:pPr>
                    <w:pStyle w:val="21"/>
                    <w:spacing w:line="240" w:lineRule="atLeast"/>
                    <w:rPr>
                      <w:kern w:val="21"/>
                      <w:szCs w:val="24"/>
                    </w:rPr>
                  </w:pPr>
                </w:p>
              </w:tc>
              <w:tc>
                <w:tcPr>
                  <w:tcW w:w="1950" w:type="dxa"/>
                  <w:tcBorders>
                    <w:top w:val="single" w:sz="4" w:space="0" w:color="auto"/>
                    <w:bottom w:val="single" w:sz="4" w:space="0" w:color="auto"/>
                    <w:right w:val="single" w:sz="4" w:space="0" w:color="auto"/>
                  </w:tcBorders>
                  <w:vAlign w:val="center"/>
                </w:tcPr>
                <w:p>
                  <w:pPr>
                    <w:pStyle w:val="21"/>
                    <w:spacing w:line="240" w:lineRule="atLeast"/>
                    <w:rPr>
                      <w:kern w:val="21"/>
                      <w:szCs w:val="24"/>
                    </w:rPr>
                  </w:pPr>
                  <w:r>
                    <w:rPr>
                      <w:kern w:val="21"/>
                      <w:szCs w:val="24"/>
                    </w:rPr>
                    <w:t>园林绿化</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650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w:t>
                  </w:r>
                </w:p>
              </w:tc>
              <w:tc>
                <w:tcPr>
                  <w:tcW w:w="953" w:type="dxa"/>
                  <w:vMerge/>
                  <w:tcBorders>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21"/>
                      <w:szCs w:val="24"/>
                    </w:rPr>
                  </w:pPr>
                  <w:r>
                    <w:rPr>
                      <w:kern w:val="21"/>
                      <w:szCs w:val="24"/>
                    </w:rPr>
                    <w:t>园区服务区</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3250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1167" w:type="dxa"/>
                  <w:tcBorders>
                    <w:top w:val="single" w:sz="4" w:space="0" w:color="auto"/>
                    <w:left w:val="nil"/>
                    <w:bottom w:val="single" w:sz="4" w:space="0" w:color="auto"/>
                  </w:tcBorders>
                  <w:vAlign w:val="center"/>
                </w:tcPr>
                <w:p>
                  <w:pPr>
                    <w:pStyle w:val="21"/>
                    <w:spacing w:line="240" w:lineRule="atLeast"/>
                    <w:rPr>
                      <w:kern w:val="21"/>
                      <w:szCs w:val="24"/>
                    </w:rPr>
                  </w:pPr>
                  <w:r>
                    <w:rPr>
                      <w:kern w:val="21"/>
                      <w:szCs w:val="24"/>
                    </w:rPr>
                    <w:t>18</w:t>
                  </w:r>
                </w:p>
              </w:tc>
              <w:tc>
                <w:tcPr>
                  <w:tcW w:w="953" w:type="dxa"/>
                  <w:vMerge/>
                  <w:tcBorders>
                    <w:bottom w:val="single" w:sz="4" w:space="0" w:color="auto"/>
                    <w:right w:val="single" w:sz="4" w:space="0" w:color="auto"/>
                  </w:tcBorders>
                  <w:vAlign w:val="center"/>
                </w:tcPr>
                <w:p>
                  <w:pPr>
                    <w:pStyle w:val="21"/>
                    <w:spacing w:line="240" w:lineRule="atLeast"/>
                    <w:rPr>
                      <w:kern w:val="21"/>
                      <w:szCs w:val="24"/>
                    </w:rPr>
                  </w:pPr>
                </w:p>
              </w:tc>
              <w:tc>
                <w:tcPr>
                  <w:tcW w:w="4187" w:type="dxa"/>
                  <w:gridSpan w:val="2"/>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21"/>
                      <w:szCs w:val="24"/>
                    </w:rPr>
                  </w:pPr>
                  <w:r>
                    <w:rPr>
                      <w:kern w:val="21"/>
                      <w:szCs w:val="24"/>
                    </w:rPr>
                    <w:t>合计</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83000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r>
              <w:tblPrEx>
                <w:tblW w:w="0" w:type="auto"/>
                <w:tblInd w:w="113" w:type="dxa"/>
                <w:tblLayout w:type="fixed"/>
                <w:tblCellMar>
                  <w:top w:w="0" w:type="dxa"/>
                  <w:left w:w="108" w:type="dxa"/>
                  <w:bottom w:w="0" w:type="dxa"/>
                  <w:right w:w="108" w:type="dxa"/>
                </w:tblCellMar>
                <w:tblLook w:val="0000"/>
              </w:tblPrEx>
              <w:trPr>
                <w:trHeight w:val="344"/>
              </w:trPr>
              <w:tc>
                <w:tcPr>
                  <w:tcW w:w="6307" w:type="dxa"/>
                  <w:gridSpan w:val="4"/>
                  <w:tcBorders>
                    <w:top w:val="single" w:sz="4" w:space="0" w:color="auto"/>
                    <w:left w:val="nil"/>
                    <w:bottom w:val="single" w:sz="4" w:space="0" w:color="auto"/>
                    <w:right w:val="single" w:sz="4" w:space="0" w:color="auto"/>
                  </w:tcBorders>
                  <w:vAlign w:val="center"/>
                </w:tcPr>
                <w:p>
                  <w:pPr>
                    <w:pStyle w:val="21"/>
                    <w:spacing w:line="240" w:lineRule="atLeast"/>
                    <w:rPr>
                      <w:kern w:val="21"/>
                      <w:szCs w:val="24"/>
                    </w:rPr>
                  </w:pPr>
                  <w:r>
                    <w:rPr>
                      <w:kern w:val="21"/>
                      <w:szCs w:val="24"/>
                    </w:rPr>
                    <w:t>合计</w:t>
                  </w:r>
                </w:p>
              </w:tc>
              <w:tc>
                <w:tcPr>
                  <w:tcW w:w="1281" w:type="dxa"/>
                  <w:tcBorders>
                    <w:top w:val="single" w:sz="4" w:space="0" w:color="auto"/>
                    <w:left w:val="single" w:sz="4" w:space="0" w:color="auto"/>
                    <w:bottom w:val="single" w:sz="4" w:space="0" w:color="auto"/>
                  </w:tcBorders>
                  <w:vAlign w:val="center"/>
                </w:tcPr>
                <w:p>
                  <w:pPr>
                    <w:pStyle w:val="21"/>
                    <w:spacing w:line="240" w:lineRule="atLeast"/>
                    <w:rPr>
                      <w:kern w:val="21"/>
                      <w:szCs w:val="24"/>
                    </w:rPr>
                  </w:pPr>
                  <w:r>
                    <w:rPr>
                      <w:kern w:val="21"/>
                      <w:szCs w:val="24"/>
                    </w:rPr>
                    <w:t>125860</w:t>
                  </w:r>
                </w:p>
              </w:tc>
              <w:tc>
                <w:tcPr>
                  <w:tcW w:w="1236" w:type="dxa"/>
                  <w:tcBorders>
                    <w:right w:val="nil"/>
                  </w:tcBorders>
                  <w:vAlign w:val="center"/>
                </w:tcPr>
                <w:p>
                  <w:pPr>
                    <w:spacing w:line="240" w:lineRule="atLeast"/>
                    <w:jc w:val="center"/>
                    <w:rPr>
                      <w:kern w:val="21"/>
                      <w:sz w:val="24"/>
                      <w:szCs w:val="24"/>
                    </w:rPr>
                  </w:pPr>
                  <w:r>
                    <w:rPr>
                      <w:kern w:val="21"/>
                      <w:sz w:val="24"/>
                      <w:szCs w:val="24"/>
                    </w:rPr>
                    <w:t>m</w:t>
                  </w:r>
                  <w:r>
                    <w:rPr>
                      <w:kern w:val="21"/>
                      <w:sz w:val="24"/>
                      <w:szCs w:val="24"/>
                      <w:vertAlign w:val="superscript"/>
                    </w:rPr>
                    <w:t>2</w:t>
                  </w:r>
                </w:p>
              </w:tc>
            </w:tr>
          </w:tbl>
          <w:p>
            <w:pPr>
              <w:numPr>
                <w:ilvl w:val="0"/>
                <w:numId w:val="1"/>
              </w:numPr>
              <w:tabs>
                <w:tab w:val="left" w:pos="0"/>
              </w:tabs>
              <w:spacing w:line="360" w:lineRule="auto"/>
              <w:ind w:firstLine="480" w:firstLineChars="200"/>
              <w:rPr>
                <w:kern w:val="21"/>
                <w:sz w:val="24"/>
              </w:rPr>
            </w:pPr>
            <w:r>
              <w:rPr>
                <w:kern w:val="21"/>
                <w:sz w:val="24"/>
              </w:rPr>
              <w:t>本项目建设内容详见下表2。</w:t>
            </w:r>
          </w:p>
          <w:p>
            <w:pPr>
              <w:tabs>
                <w:tab w:val="left" w:pos="0"/>
              </w:tabs>
              <w:spacing w:line="240" w:lineRule="auto"/>
              <w:jc w:val="center"/>
              <w:rPr>
                <w:b/>
                <w:kern w:val="21"/>
                <w:sz w:val="24"/>
              </w:rPr>
            </w:pPr>
            <w:r>
              <w:rPr>
                <w:b/>
                <w:kern w:val="21"/>
                <w:sz w:val="24"/>
              </w:rPr>
              <w:t>表2  项目组成表</w:t>
            </w:r>
          </w:p>
          <w:tbl>
            <w:tblPr>
              <w:tblStyle w:val="TableNormal"/>
              <w:tblW w:w="0" w:type="auto"/>
              <w:tblInd w:w="114" w:type="dxa"/>
              <w:tblLayout w:type="fixed"/>
              <w:tblCellMar>
                <w:top w:w="0" w:type="dxa"/>
                <w:left w:w="108" w:type="dxa"/>
                <w:bottom w:w="0" w:type="dxa"/>
                <w:right w:w="108" w:type="dxa"/>
              </w:tblCellMar>
              <w:tblLook w:val="0000"/>
            </w:tblPr>
            <w:tblGrid>
              <w:gridCol w:w="978"/>
              <w:gridCol w:w="1590"/>
              <w:gridCol w:w="5190"/>
              <w:gridCol w:w="1287"/>
            </w:tblGrid>
            <w:tr>
              <w:tblPrEx>
                <w:tblW w:w="0" w:type="auto"/>
                <w:tblInd w:w="114" w:type="dxa"/>
                <w:tblLayout w:type="fixed"/>
                <w:tblCellMar>
                  <w:top w:w="0" w:type="dxa"/>
                  <w:left w:w="108" w:type="dxa"/>
                  <w:bottom w:w="0" w:type="dxa"/>
                  <w:right w:w="108" w:type="dxa"/>
                </w:tblCellMar>
                <w:tblLook w:val="0000"/>
              </w:tblPrEx>
              <w:trPr>
                <w:trHeight w:val="23"/>
                <w:tblHeader/>
              </w:trPr>
              <w:tc>
                <w:tcPr>
                  <w:tcW w:w="978"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分类</w:t>
                  </w:r>
                </w:p>
              </w:tc>
              <w:tc>
                <w:tcPr>
                  <w:tcW w:w="15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项目组成</w:t>
                  </w:r>
                </w:p>
              </w:tc>
              <w:tc>
                <w:tcPr>
                  <w:tcW w:w="51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建设内容</w:t>
                  </w:r>
                </w:p>
              </w:tc>
              <w:tc>
                <w:tcPr>
                  <w:tcW w:w="1287" w:type="dxa"/>
                  <w:tcBorders>
                    <w:top w:val="single" w:sz="4" w:space="0" w:color="000000"/>
                    <w:left w:val="single" w:sz="4" w:space="0" w:color="000000"/>
                    <w:bottom w:val="single" w:sz="4" w:space="0" w:color="000000"/>
                    <w:right w:val="single" w:sz="4" w:space="0" w:color="000000"/>
                  </w:tcBorders>
                  <w:vAlign w:val="center"/>
                </w:tcPr>
                <w:p>
                  <w:pPr>
                    <w:pStyle w:val="21"/>
                    <w:spacing w:line="240" w:lineRule="atLeast"/>
                    <w:rPr>
                      <w:kern w:val="21"/>
                      <w:sz w:val="21"/>
                      <w:szCs w:val="21"/>
                    </w:rPr>
                  </w:pPr>
                  <w:r>
                    <w:rPr>
                      <w:kern w:val="21"/>
                      <w:sz w:val="21"/>
                      <w:szCs w:val="21"/>
                      <w:lang w:val="zh-CN"/>
                    </w:rPr>
                    <w:t>运营期主要环境问题</w:t>
                  </w:r>
                </w:p>
              </w:tc>
            </w:tr>
            <w:tr>
              <w:tblPrEx>
                <w:tblW w:w="0" w:type="auto"/>
                <w:tblInd w:w="114" w:type="dxa"/>
                <w:tblLayout w:type="fixed"/>
                <w:tblCellMar>
                  <w:top w:w="0" w:type="dxa"/>
                  <w:left w:w="108" w:type="dxa"/>
                  <w:bottom w:w="0" w:type="dxa"/>
                  <w:right w:w="108" w:type="dxa"/>
                </w:tblCellMar>
                <w:tblLook w:val="0000"/>
              </w:tblPrEx>
              <w:trPr>
                <w:trHeight w:val="23"/>
                <w:tblHeader/>
              </w:trPr>
              <w:tc>
                <w:tcPr>
                  <w:tcW w:w="978" w:type="dxa"/>
                  <w:vMerge w:val="restart"/>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主体工程</w:t>
                  </w:r>
                </w:p>
              </w:tc>
              <w:tc>
                <w:tcPr>
                  <w:tcW w:w="1590" w:type="dxa"/>
                  <w:tcBorders>
                    <w:top w:val="single" w:sz="4" w:space="0" w:color="000000"/>
                    <w:left w:val="single" w:sz="4" w:space="0" w:color="000000"/>
                    <w:bottom w:val="single" w:sz="4" w:space="0" w:color="auto"/>
                    <w:right w:val="single" w:sz="4" w:space="0" w:color="000000"/>
                  </w:tcBorders>
                  <w:vAlign w:val="center"/>
                </w:tcPr>
                <w:p>
                  <w:pPr>
                    <w:snapToGrid w:val="0"/>
                    <w:spacing w:line="240" w:lineRule="auto"/>
                    <w:jc w:val="center"/>
                    <w:rPr>
                      <w:kern w:val="21"/>
                      <w:szCs w:val="21"/>
                    </w:rPr>
                  </w:pPr>
                  <w:r>
                    <w:rPr>
                      <w:rFonts w:hint="eastAsia"/>
                      <w:kern w:val="21"/>
                      <w:szCs w:val="21"/>
                    </w:rPr>
                    <w:t>舞台布置</w:t>
                  </w:r>
                </w:p>
              </w:tc>
              <w:tc>
                <w:tcPr>
                  <w:tcW w:w="5190" w:type="dxa"/>
                  <w:tcBorders>
                    <w:top w:val="single" w:sz="4" w:space="0" w:color="000000"/>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对《寻梦牡丹亭》项目艺术创意和制作，演出设备的购置和安装</w:t>
                  </w:r>
                </w:p>
              </w:tc>
              <w:tc>
                <w:tcPr>
                  <w:tcW w:w="1287" w:type="dxa"/>
                  <w:vMerge w:val="restart"/>
                  <w:tcBorders>
                    <w:top w:val="single" w:sz="4" w:space="0" w:color="000000"/>
                    <w:left w:val="single" w:sz="4" w:space="0" w:color="000000"/>
                    <w:right w:val="single" w:sz="4" w:space="0" w:color="000000"/>
                  </w:tcBorders>
                  <w:vAlign w:val="center"/>
                </w:tcPr>
                <w:p>
                  <w:pPr>
                    <w:tabs>
                      <w:tab w:val="left" w:pos="0"/>
                    </w:tabs>
                    <w:snapToGrid w:val="0"/>
                    <w:spacing w:line="240" w:lineRule="auto"/>
                    <w:jc w:val="center"/>
                    <w:rPr>
                      <w:szCs w:val="21"/>
                    </w:rPr>
                  </w:pPr>
                </w:p>
                <w:p>
                  <w:pPr>
                    <w:pStyle w:val="Default"/>
                    <w:jc w:val="center"/>
                    <w:rPr>
                      <w:rFonts w:ascii="Times New Roman" w:eastAsia="宋体" w:hAnsi="Times New Roman" w:hint="default"/>
                      <w:color w:val="auto"/>
                      <w:kern w:val="21"/>
                      <w:sz w:val="21"/>
                      <w:szCs w:val="21"/>
                    </w:rPr>
                  </w:pPr>
                  <w:r>
                    <w:rPr>
                      <w:rFonts w:ascii="Times New Roman" w:eastAsia="宋体" w:hAnsi="Times New Roman" w:hint="default"/>
                      <w:color w:val="auto"/>
                      <w:kern w:val="21"/>
                      <w:sz w:val="21"/>
                      <w:szCs w:val="21"/>
                    </w:rPr>
                    <w:t>生活污水、生活垃圾、噪声、油烟、汽车尾气等</w:t>
                  </w:r>
                </w:p>
                <w:p>
                  <w:pPr>
                    <w:pStyle w:val="Default"/>
                    <w:jc w:val="center"/>
                    <w:rPr>
                      <w:rFonts w:ascii="Times New Roman" w:eastAsia="宋体" w:hAnsi="Times New Roman" w:hint="default"/>
                      <w:color w:val="auto"/>
                      <w:kern w:val="21"/>
                      <w:sz w:val="21"/>
                      <w:szCs w:val="21"/>
                    </w:rPr>
                  </w:pPr>
                </w:p>
              </w:tc>
            </w:tr>
            <w:tr>
              <w:tblPrEx>
                <w:tblW w:w="0" w:type="auto"/>
                <w:tblInd w:w="114" w:type="dxa"/>
                <w:tblLayout w:type="fixed"/>
                <w:tblCellMar>
                  <w:top w:w="0" w:type="dxa"/>
                  <w:left w:w="108" w:type="dxa"/>
                  <w:bottom w:w="0" w:type="dxa"/>
                  <w:right w:w="108" w:type="dxa"/>
                </w:tblCellMar>
                <w:tblLook w:val="0000"/>
              </w:tblPrEx>
              <w:trPr>
                <w:trHeight w:val="311"/>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val="restart"/>
                  <w:tcBorders>
                    <w:top w:val="single" w:sz="4" w:space="0" w:color="auto"/>
                    <w:left w:val="single" w:sz="4" w:space="0" w:color="000000"/>
                    <w:right w:val="single" w:sz="4" w:space="0" w:color="000000"/>
                  </w:tcBorders>
                  <w:vAlign w:val="center"/>
                </w:tcPr>
                <w:p>
                  <w:pPr>
                    <w:snapToGrid w:val="0"/>
                    <w:spacing w:line="240" w:lineRule="auto"/>
                    <w:jc w:val="center"/>
                    <w:rPr>
                      <w:kern w:val="21"/>
                      <w:szCs w:val="21"/>
                    </w:rPr>
                  </w:pPr>
                  <w:r>
                    <w:rPr>
                      <w:kern w:val="21"/>
                      <w:sz w:val="24"/>
                      <w:szCs w:val="24"/>
                    </w:rPr>
                    <w:t>配套服务功能区</w:t>
                  </w:r>
                </w:p>
              </w:tc>
              <w:tc>
                <w:tcPr>
                  <w:tcW w:w="5190" w:type="dxa"/>
                  <w:tcBorders>
                    <w:top w:val="single" w:sz="4" w:space="0" w:color="auto"/>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游客集散广场</w:t>
                  </w:r>
                  <w:r>
                    <w:rPr>
                      <w:rFonts w:hint="eastAsia"/>
                      <w:kern w:val="21"/>
                      <w:szCs w:val="21"/>
                    </w:rPr>
                    <w:t>建筑面积</w:t>
                  </w:r>
                  <w:r>
                    <w:rPr>
                      <w:kern w:val="21"/>
                      <w:szCs w:val="21"/>
                    </w:rPr>
                    <w:t>6800m</w:t>
                  </w:r>
                  <w:r>
                    <w:rPr>
                      <w:kern w:val="21"/>
                      <w:szCs w:val="21"/>
                      <w:vertAlign w:val="superscript"/>
                    </w:rPr>
                    <w:t>2</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4"/>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tcBorders>
                    <w:left w:val="single" w:sz="4" w:space="0" w:color="000000"/>
                    <w:right w:val="single" w:sz="4" w:space="0" w:color="000000"/>
                  </w:tcBorders>
                  <w:vAlign w:val="center"/>
                </w:tcPr>
                <w:p>
                  <w:pPr>
                    <w:snapToGrid w:val="0"/>
                    <w:spacing w:line="240" w:lineRule="auto"/>
                    <w:jc w:val="center"/>
                    <w:rPr>
                      <w:kern w:val="21"/>
                      <w:szCs w:val="21"/>
                    </w:rPr>
                  </w:pPr>
                </w:p>
              </w:tc>
              <w:tc>
                <w:tcPr>
                  <w:tcW w:w="5190" w:type="dxa"/>
                  <w:tcBorders>
                    <w:top w:val="single" w:sz="4" w:space="0" w:color="auto"/>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停车场</w:t>
                  </w:r>
                  <w:r>
                    <w:rPr>
                      <w:rFonts w:hint="eastAsia"/>
                      <w:kern w:val="21"/>
                      <w:szCs w:val="21"/>
                    </w:rPr>
                    <w:t>建筑面积</w:t>
                  </w:r>
                  <w:r>
                    <w:rPr>
                      <w:kern w:val="21"/>
                      <w:szCs w:val="21"/>
                    </w:rPr>
                    <w:t>13600m</w:t>
                  </w:r>
                  <w:r>
                    <w:rPr>
                      <w:kern w:val="21"/>
                      <w:szCs w:val="21"/>
                      <w:vertAlign w:val="superscript"/>
                    </w:rPr>
                    <w:t>2</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4"/>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tcBorders>
                    <w:left w:val="single" w:sz="4" w:space="0" w:color="000000"/>
                    <w:right w:val="single" w:sz="4" w:space="0" w:color="000000"/>
                  </w:tcBorders>
                  <w:vAlign w:val="center"/>
                </w:tcPr>
                <w:p>
                  <w:pPr>
                    <w:snapToGrid w:val="0"/>
                    <w:spacing w:line="240" w:lineRule="auto"/>
                    <w:jc w:val="center"/>
                    <w:rPr>
                      <w:kern w:val="21"/>
                      <w:szCs w:val="21"/>
                    </w:rPr>
                  </w:pPr>
                </w:p>
              </w:tc>
              <w:tc>
                <w:tcPr>
                  <w:tcW w:w="5190" w:type="dxa"/>
                  <w:tcBorders>
                    <w:top w:val="single" w:sz="4" w:space="0" w:color="auto"/>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rFonts w:hint="eastAsia"/>
                      <w:kern w:val="21"/>
                      <w:szCs w:val="21"/>
                    </w:rPr>
                    <w:t>活动区建筑面积</w:t>
                  </w:r>
                  <w:r>
                    <w:rPr>
                      <w:kern w:val="21"/>
                      <w:szCs w:val="21"/>
                    </w:rPr>
                    <w:t>5000m</w:t>
                  </w:r>
                  <w:r>
                    <w:rPr>
                      <w:kern w:val="21"/>
                      <w:szCs w:val="21"/>
                      <w:vertAlign w:val="superscript"/>
                    </w:rPr>
                    <w:t>2</w:t>
                  </w:r>
                  <w:r>
                    <w:rPr>
                      <w:kern w:val="21"/>
                      <w:szCs w:val="21"/>
                    </w:rPr>
                    <w:t>，</w:t>
                  </w:r>
                  <w:r>
                    <w:rPr>
                      <w:rFonts w:hint="eastAsia"/>
                      <w:kern w:val="21"/>
                      <w:szCs w:val="21"/>
                    </w:rPr>
                    <w:t>其中办公室480m</w:t>
                  </w:r>
                  <w:r>
                    <w:rPr>
                      <w:rFonts w:hint="eastAsia"/>
                      <w:kern w:val="21"/>
                      <w:szCs w:val="21"/>
                      <w:vertAlign w:val="superscript"/>
                    </w:rPr>
                    <w:t>2</w:t>
                  </w:r>
                  <w:r>
                    <w:rPr>
                      <w:rFonts w:hint="eastAsia"/>
                      <w:kern w:val="21"/>
                      <w:szCs w:val="21"/>
                    </w:rPr>
                    <w:t>，会议室330m</w:t>
                  </w:r>
                  <w:r>
                    <w:rPr>
                      <w:rFonts w:hint="eastAsia"/>
                      <w:kern w:val="21"/>
                      <w:szCs w:val="21"/>
                      <w:vertAlign w:val="superscript"/>
                    </w:rPr>
                    <w:t>2</w:t>
                  </w:r>
                  <w:r>
                    <w:rPr>
                      <w:rFonts w:hint="eastAsia"/>
                      <w:kern w:val="21"/>
                      <w:szCs w:val="21"/>
                    </w:rPr>
                    <w:t>，员工宿舍1800m</w:t>
                  </w:r>
                  <w:r>
                    <w:rPr>
                      <w:rFonts w:hint="eastAsia"/>
                      <w:kern w:val="21"/>
                      <w:szCs w:val="21"/>
                      <w:vertAlign w:val="superscript"/>
                    </w:rPr>
                    <w:t>2</w:t>
                  </w:r>
                  <w:r>
                    <w:rPr>
                      <w:rFonts w:hint="eastAsia"/>
                      <w:kern w:val="21"/>
                      <w:szCs w:val="21"/>
                    </w:rPr>
                    <w:t>，排练厅1000m</w:t>
                  </w:r>
                  <w:r>
                    <w:rPr>
                      <w:rFonts w:hint="eastAsia"/>
                      <w:kern w:val="21"/>
                      <w:szCs w:val="21"/>
                      <w:vertAlign w:val="superscript"/>
                    </w:rPr>
                    <w:t>2</w:t>
                  </w:r>
                  <w:r>
                    <w:rPr>
                      <w:rFonts w:hint="eastAsia"/>
                      <w:kern w:val="21"/>
                      <w:szCs w:val="21"/>
                    </w:rPr>
                    <w:t>，仓储房1390m</w:t>
                  </w:r>
                  <w:r>
                    <w:rPr>
                      <w:rFonts w:hint="eastAsia"/>
                      <w:kern w:val="21"/>
                      <w:szCs w:val="21"/>
                      <w:vertAlign w:val="superscript"/>
                    </w:rPr>
                    <w:t>2</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4"/>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tcBorders>
                    <w:left w:val="single" w:sz="4" w:space="0" w:color="000000"/>
                    <w:right w:val="single" w:sz="4" w:space="0" w:color="000000"/>
                  </w:tcBorders>
                  <w:vAlign w:val="center"/>
                </w:tcPr>
                <w:p>
                  <w:pPr>
                    <w:snapToGrid w:val="0"/>
                    <w:spacing w:line="240" w:lineRule="auto"/>
                    <w:jc w:val="center"/>
                    <w:rPr>
                      <w:kern w:val="21"/>
                      <w:szCs w:val="21"/>
                    </w:rPr>
                  </w:pPr>
                </w:p>
              </w:tc>
              <w:tc>
                <w:tcPr>
                  <w:tcW w:w="5190" w:type="dxa"/>
                  <w:tcBorders>
                    <w:top w:val="single" w:sz="4" w:space="0" w:color="auto"/>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保护建筑</w:t>
                  </w:r>
                  <w:r>
                    <w:rPr>
                      <w:rFonts w:hint="eastAsia"/>
                      <w:szCs w:val="21"/>
                    </w:rPr>
                    <w:t>：</w:t>
                  </w:r>
                  <w:r>
                    <w:rPr>
                      <w:rFonts w:hint="eastAsia"/>
                      <w:kern w:val="21"/>
                      <w:szCs w:val="21"/>
                    </w:rPr>
                    <w:t>建筑面积</w:t>
                  </w:r>
                  <w:r>
                    <w:rPr>
                      <w:kern w:val="21"/>
                      <w:szCs w:val="21"/>
                    </w:rPr>
                    <w:t>650m</w:t>
                  </w:r>
                  <w:r>
                    <w:rPr>
                      <w:kern w:val="21"/>
                      <w:szCs w:val="21"/>
                      <w:vertAlign w:val="superscript"/>
                    </w:rPr>
                    <w:t>2</w:t>
                  </w:r>
                  <w:r>
                    <w:rPr>
                      <w:rFonts w:hint="eastAsia"/>
                      <w:kern w:val="21"/>
                      <w:szCs w:val="21"/>
                    </w:rPr>
                    <w:t>，对文昌里历史街区现有建筑进行仿古立面整治和修缮</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90"/>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val="restart"/>
                  <w:tcBorders>
                    <w:top w:val="single" w:sz="4" w:space="0" w:color="000000"/>
                    <w:left w:val="single" w:sz="4" w:space="0" w:color="000000"/>
                    <w:right w:val="single" w:sz="4" w:space="0" w:color="000000"/>
                  </w:tcBorders>
                  <w:vAlign w:val="center"/>
                </w:tcPr>
                <w:p>
                  <w:pPr>
                    <w:snapToGrid w:val="0"/>
                    <w:spacing w:line="240" w:lineRule="auto"/>
                    <w:jc w:val="center"/>
                    <w:rPr>
                      <w:kern w:val="21"/>
                      <w:szCs w:val="21"/>
                    </w:rPr>
                  </w:pPr>
                  <w:r>
                    <w:rPr>
                      <w:kern w:val="21"/>
                      <w:szCs w:val="21"/>
                    </w:rPr>
                    <w:t>文化游园演艺区</w:t>
                  </w:r>
                </w:p>
              </w:tc>
              <w:tc>
                <w:tcPr>
                  <w:tcW w:w="5190" w:type="dxa"/>
                  <w:tcBorders>
                    <w:top w:val="single" w:sz="4" w:space="0" w:color="000000"/>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水面演出区</w:t>
                  </w:r>
                  <w:r>
                    <w:rPr>
                      <w:rFonts w:hint="eastAsia"/>
                      <w:kern w:val="21"/>
                      <w:szCs w:val="21"/>
                    </w:rPr>
                    <w:t>永久占地</w:t>
                  </w:r>
                  <w:r>
                    <w:rPr>
                      <w:kern w:val="21"/>
                      <w:szCs w:val="21"/>
                    </w:rPr>
                    <w:t>37000m</w:t>
                  </w:r>
                  <w:r>
                    <w:rPr>
                      <w:kern w:val="21"/>
                      <w:szCs w:val="21"/>
                      <w:vertAlign w:val="superscript"/>
                    </w:rPr>
                    <w:t>2</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52"/>
                <w:tblHeader/>
              </w:trPr>
              <w:tc>
                <w:tcPr>
                  <w:tcW w:w="978" w:type="dxa"/>
                  <w:vMerge/>
                  <w:tcBorders>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tcBorders>
                    <w:left w:val="single" w:sz="4" w:space="0" w:color="000000"/>
                    <w:right w:val="single" w:sz="4" w:space="0" w:color="000000"/>
                  </w:tcBorders>
                  <w:vAlign w:val="center"/>
                </w:tcPr>
                <w:p>
                  <w:pPr>
                    <w:snapToGrid w:val="0"/>
                    <w:spacing w:line="240" w:lineRule="auto"/>
                    <w:jc w:val="center"/>
                    <w:rPr>
                      <w:kern w:val="21"/>
                      <w:szCs w:val="21"/>
                    </w:rPr>
                  </w:pPr>
                </w:p>
              </w:tc>
              <w:tc>
                <w:tcPr>
                  <w:tcW w:w="5190" w:type="dxa"/>
                  <w:tcBorders>
                    <w:top w:val="single" w:sz="4" w:space="0" w:color="auto"/>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观演区</w:t>
                  </w:r>
                  <w:r>
                    <w:rPr>
                      <w:rFonts w:hint="eastAsia"/>
                      <w:kern w:val="21"/>
                      <w:szCs w:val="21"/>
                    </w:rPr>
                    <w:t>永久占地</w:t>
                  </w:r>
                  <w:r>
                    <w:rPr>
                      <w:kern w:val="21"/>
                      <w:szCs w:val="21"/>
                    </w:rPr>
                    <w:t>57700m</w:t>
                  </w:r>
                  <w:r>
                    <w:rPr>
                      <w:kern w:val="21"/>
                      <w:szCs w:val="21"/>
                      <w:vertAlign w:val="superscript"/>
                    </w:rPr>
                    <w:t>2</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52"/>
                <w:tblHeader/>
              </w:trPr>
              <w:tc>
                <w:tcPr>
                  <w:tcW w:w="978" w:type="dxa"/>
                  <w:vMerge/>
                  <w:tcBorders>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tcBorders>
                    <w:left w:val="single" w:sz="4" w:space="0" w:color="000000"/>
                    <w:right w:val="single" w:sz="4" w:space="0" w:color="000000"/>
                  </w:tcBorders>
                  <w:vAlign w:val="center"/>
                </w:tcPr>
                <w:p>
                  <w:pPr>
                    <w:snapToGrid w:val="0"/>
                    <w:spacing w:line="240" w:lineRule="auto"/>
                    <w:jc w:val="center"/>
                    <w:rPr>
                      <w:kern w:val="21"/>
                      <w:szCs w:val="21"/>
                    </w:rPr>
                  </w:pPr>
                </w:p>
              </w:tc>
              <w:tc>
                <w:tcPr>
                  <w:tcW w:w="5190" w:type="dxa"/>
                  <w:tcBorders>
                    <w:top w:val="single" w:sz="4" w:space="0" w:color="auto"/>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园</w:t>
                  </w:r>
                  <w:r>
                    <w:rPr>
                      <w:rFonts w:hint="eastAsia"/>
                      <w:kern w:val="21"/>
                      <w:szCs w:val="21"/>
                    </w:rPr>
                    <w:t>林</w:t>
                  </w:r>
                  <w:r>
                    <w:rPr>
                      <w:kern w:val="21"/>
                      <w:szCs w:val="21"/>
                    </w:rPr>
                    <w:t>构筑物</w:t>
                  </w:r>
                  <w:r>
                    <w:rPr>
                      <w:rFonts w:hint="eastAsia"/>
                      <w:kern w:val="21"/>
                      <w:szCs w:val="21"/>
                    </w:rPr>
                    <w:t>建筑面积</w:t>
                  </w:r>
                  <w:r>
                    <w:rPr>
                      <w:kern w:val="21"/>
                      <w:szCs w:val="21"/>
                    </w:rPr>
                    <w:t>6800m</w:t>
                  </w:r>
                  <w:r>
                    <w:rPr>
                      <w:kern w:val="21"/>
                      <w:szCs w:val="21"/>
                      <w:vertAlign w:val="superscript"/>
                    </w:rPr>
                    <w:t>2</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60"/>
                <w:tblHeader/>
              </w:trPr>
              <w:tc>
                <w:tcPr>
                  <w:tcW w:w="978" w:type="dxa"/>
                  <w:vMerge/>
                  <w:tcBorders>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vMerge/>
                  <w:tcBorders>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5190" w:type="dxa"/>
                  <w:tcBorders>
                    <w:top w:val="single" w:sz="4" w:space="0" w:color="auto"/>
                    <w:left w:val="single" w:sz="4" w:space="0" w:color="000000"/>
                    <w:bottom w:val="single" w:sz="4" w:space="0" w:color="000000"/>
                    <w:right w:val="single" w:sz="4" w:space="0" w:color="000000"/>
                  </w:tcBorders>
                  <w:vAlign w:val="center"/>
                </w:tcPr>
                <w:p>
                  <w:pPr>
                    <w:snapToGrid w:val="0"/>
                    <w:spacing w:line="240" w:lineRule="auto"/>
                    <w:jc w:val="left"/>
                    <w:rPr>
                      <w:kern w:val="21"/>
                      <w:szCs w:val="21"/>
                    </w:rPr>
                  </w:pPr>
                  <w:r>
                    <w:rPr>
                      <w:kern w:val="21"/>
                      <w:szCs w:val="21"/>
                    </w:rPr>
                    <w:t>集散广场4650m</w:t>
                  </w:r>
                  <w:r>
                    <w:rPr>
                      <w:kern w:val="21"/>
                      <w:szCs w:val="21"/>
                      <w:vertAlign w:val="superscript"/>
                    </w:rPr>
                    <w:t>2</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313"/>
                <w:tblHeader/>
              </w:trPr>
              <w:tc>
                <w:tcPr>
                  <w:tcW w:w="978" w:type="dxa"/>
                  <w:vMerge w:val="restart"/>
                  <w:tcBorders>
                    <w:top w:val="single" w:sz="4" w:space="0" w:color="000000"/>
                    <w:left w:val="single" w:sz="4" w:space="0" w:color="000000"/>
                    <w:right w:val="single" w:sz="4" w:space="0" w:color="000000"/>
                  </w:tcBorders>
                  <w:vAlign w:val="center"/>
                </w:tcPr>
                <w:p>
                  <w:pPr>
                    <w:snapToGrid w:val="0"/>
                    <w:spacing w:line="240" w:lineRule="auto"/>
                    <w:jc w:val="center"/>
                    <w:rPr>
                      <w:kern w:val="21"/>
                      <w:szCs w:val="21"/>
                    </w:rPr>
                  </w:pPr>
                  <w:r>
                    <w:rPr>
                      <w:kern w:val="21"/>
                      <w:szCs w:val="21"/>
                    </w:rPr>
                    <w:t>辅助工程</w:t>
                  </w:r>
                </w:p>
              </w:tc>
              <w:tc>
                <w:tcPr>
                  <w:tcW w:w="1590" w:type="dxa"/>
                  <w:tcBorders>
                    <w:top w:val="single" w:sz="4" w:space="0" w:color="000000"/>
                    <w:left w:val="single" w:sz="4" w:space="0" w:color="000000"/>
                    <w:bottom w:val="single" w:sz="4" w:space="0" w:color="auto"/>
                    <w:right w:val="single" w:sz="4" w:space="0" w:color="000000"/>
                  </w:tcBorders>
                  <w:vAlign w:val="center"/>
                </w:tcPr>
                <w:p>
                  <w:pPr>
                    <w:snapToGrid w:val="0"/>
                    <w:spacing w:line="240" w:lineRule="auto"/>
                    <w:jc w:val="center"/>
                    <w:rPr>
                      <w:kern w:val="21"/>
                      <w:szCs w:val="21"/>
                    </w:rPr>
                  </w:pPr>
                  <w:r>
                    <w:rPr>
                      <w:kern w:val="21"/>
                      <w:szCs w:val="21"/>
                    </w:rPr>
                    <w:t>绿化环卫工程</w:t>
                  </w:r>
                </w:p>
              </w:tc>
              <w:tc>
                <w:tcPr>
                  <w:tcW w:w="5190" w:type="dxa"/>
                  <w:tcBorders>
                    <w:top w:val="single" w:sz="4" w:space="0" w:color="000000"/>
                    <w:left w:val="single" w:sz="4" w:space="0" w:color="000000"/>
                    <w:bottom w:val="single" w:sz="4" w:space="0" w:color="auto"/>
                    <w:right w:val="single" w:sz="4" w:space="0" w:color="000000"/>
                  </w:tcBorders>
                  <w:vAlign w:val="center"/>
                </w:tcPr>
                <w:p>
                  <w:pPr>
                    <w:snapToGrid w:val="0"/>
                    <w:spacing w:line="240" w:lineRule="auto"/>
                    <w:jc w:val="left"/>
                    <w:rPr>
                      <w:kern w:val="21"/>
                      <w:szCs w:val="21"/>
                    </w:rPr>
                  </w:pPr>
                  <w:r>
                    <w:rPr>
                      <w:kern w:val="21"/>
                      <w:szCs w:val="21"/>
                    </w:rPr>
                    <w:t>绿化</w:t>
                  </w:r>
                  <w:r>
                    <w:rPr>
                      <w:rFonts w:hint="eastAsia"/>
                      <w:kern w:val="21"/>
                      <w:szCs w:val="21"/>
                    </w:rPr>
                    <w:t>16410</w:t>
                  </w:r>
                  <w:r>
                    <w:rPr>
                      <w:kern w:val="21"/>
                      <w:szCs w:val="21"/>
                    </w:rPr>
                    <w:t>m</w:t>
                  </w:r>
                  <w:r>
                    <w:rPr>
                      <w:kern w:val="21"/>
                      <w:szCs w:val="21"/>
                      <w:vertAlign w:val="superscript"/>
                    </w:rPr>
                    <w:t>2</w:t>
                  </w:r>
                  <w:r>
                    <w:rPr>
                      <w:kern w:val="21"/>
                      <w:szCs w:val="21"/>
                    </w:rPr>
                    <w:t>，垃圾箱</w:t>
                  </w:r>
                  <w:r>
                    <w:rPr>
                      <w:rFonts w:hint="eastAsia"/>
                      <w:kern w:val="21"/>
                      <w:szCs w:val="21"/>
                    </w:rPr>
                    <w:t>6</w:t>
                  </w:r>
                  <w:r>
                    <w:rPr>
                      <w:kern w:val="21"/>
                      <w:szCs w:val="21"/>
                    </w:rPr>
                    <w:t>0个。</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41"/>
                <w:tblHeader/>
              </w:trPr>
              <w:tc>
                <w:tcPr>
                  <w:tcW w:w="978" w:type="dxa"/>
                  <w:vMerge/>
                  <w:tcBorders>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tcBorders>
                    <w:top w:val="single" w:sz="4" w:space="0" w:color="auto"/>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游廊步道</w:t>
                  </w:r>
                </w:p>
              </w:tc>
              <w:tc>
                <w:tcPr>
                  <w:tcW w:w="5190" w:type="dxa"/>
                  <w:tcBorders>
                    <w:top w:val="single" w:sz="4" w:space="0" w:color="auto"/>
                    <w:left w:val="single" w:sz="4" w:space="0" w:color="000000"/>
                    <w:bottom w:val="single" w:sz="4" w:space="0" w:color="000000"/>
                    <w:right w:val="single" w:sz="4" w:space="0" w:color="000000"/>
                  </w:tcBorders>
                  <w:vAlign w:val="center"/>
                </w:tcPr>
                <w:p>
                  <w:pPr>
                    <w:snapToGrid w:val="0"/>
                    <w:spacing w:line="240" w:lineRule="auto"/>
                    <w:jc w:val="left"/>
                    <w:rPr>
                      <w:kern w:val="21"/>
                      <w:szCs w:val="21"/>
                    </w:rPr>
                  </w:pPr>
                  <w:r>
                    <w:rPr>
                      <w:kern w:val="21"/>
                      <w:szCs w:val="21"/>
                    </w:rPr>
                    <w:t>本项目利用现状地形，建设游廊步道950m，步道宽约5-7m</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
                <w:tblHeader/>
              </w:trPr>
              <w:tc>
                <w:tcPr>
                  <w:tcW w:w="978" w:type="dxa"/>
                  <w:vMerge w:val="restart"/>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公用工程</w:t>
                  </w:r>
                </w:p>
              </w:tc>
              <w:tc>
                <w:tcPr>
                  <w:tcW w:w="15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给排水</w:t>
                  </w:r>
                </w:p>
              </w:tc>
              <w:tc>
                <w:tcPr>
                  <w:tcW w:w="51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left"/>
                    <w:rPr>
                      <w:kern w:val="21"/>
                      <w:szCs w:val="21"/>
                    </w:rPr>
                  </w:pPr>
                  <w:r>
                    <w:rPr>
                      <w:kern w:val="21"/>
                      <w:szCs w:val="21"/>
                    </w:rPr>
                    <w:t>给水由市政给水管网供给，</w:t>
                  </w:r>
                  <w:r>
                    <w:rPr>
                      <w:rFonts w:hint="eastAsia"/>
                      <w:kern w:val="21"/>
                      <w:szCs w:val="21"/>
                    </w:rPr>
                    <w:t>废水进入市政管网</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电力照明工程</w:t>
                  </w:r>
                </w:p>
              </w:tc>
              <w:tc>
                <w:tcPr>
                  <w:tcW w:w="51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left"/>
                    <w:rPr>
                      <w:kern w:val="21"/>
                      <w:szCs w:val="21"/>
                    </w:rPr>
                  </w:pPr>
                  <w:r>
                    <w:rPr>
                      <w:kern w:val="21"/>
                      <w:szCs w:val="21"/>
                    </w:rPr>
                    <w:t>供电由市政电力管网供给。</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
                <w:tblHeader/>
              </w:trPr>
              <w:tc>
                <w:tcPr>
                  <w:tcW w:w="978" w:type="dxa"/>
                  <w:vMerge w:val="restart"/>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环保工程</w:t>
                  </w:r>
                </w:p>
              </w:tc>
              <w:tc>
                <w:tcPr>
                  <w:tcW w:w="15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rFonts w:hint="eastAsia"/>
                      <w:kern w:val="21"/>
                      <w:szCs w:val="21"/>
                    </w:rPr>
                    <w:t>排水工程</w:t>
                  </w:r>
                </w:p>
              </w:tc>
              <w:tc>
                <w:tcPr>
                  <w:tcW w:w="51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left"/>
                    <w:rPr>
                      <w:kern w:val="21"/>
                      <w:szCs w:val="21"/>
                    </w:rPr>
                  </w:pPr>
                  <w:r>
                    <w:rPr>
                      <w:rFonts w:hint="eastAsia"/>
                      <w:kern w:val="21"/>
                      <w:szCs w:val="21"/>
                    </w:rPr>
                    <w:t>化粪池</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噪声处理设施</w:t>
                  </w:r>
                </w:p>
              </w:tc>
              <w:tc>
                <w:tcPr>
                  <w:tcW w:w="51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left"/>
                    <w:rPr>
                      <w:kern w:val="21"/>
                      <w:szCs w:val="21"/>
                    </w:rPr>
                  </w:pPr>
                  <w:r>
                    <w:rPr>
                      <w:kern w:val="21"/>
                      <w:szCs w:val="21"/>
                    </w:rPr>
                    <w:t>道路两侧设置绿化带，利用植物的屏蔽减小嗓声污染。</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r>
              <w:tblPrEx>
                <w:tblW w:w="0" w:type="auto"/>
                <w:tblInd w:w="114" w:type="dxa"/>
                <w:tblLayout w:type="fixed"/>
                <w:tblCellMar>
                  <w:top w:w="0" w:type="dxa"/>
                  <w:left w:w="108" w:type="dxa"/>
                  <w:bottom w:w="0" w:type="dxa"/>
                  <w:right w:w="108" w:type="dxa"/>
                </w:tblCellMar>
                <w:tblLook w:val="0000"/>
              </w:tblPrEx>
              <w:trPr>
                <w:trHeight w:val="23"/>
                <w:tblHeader/>
              </w:trPr>
              <w:tc>
                <w:tcPr>
                  <w:tcW w:w="978" w:type="dxa"/>
                  <w:vMerge/>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p>
              </w:tc>
              <w:tc>
                <w:tcPr>
                  <w:tcW w:w="15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center"/>
                    <w:rPr>
                      <w:kern w:val="21"/>
                      <w:szCs w:val="21"/>
                    </w:rPr>
                  </w:pPr>
                  <w:r>
                    <w:rPr>
                      <w:kern w:val="21"/>
                      <w:szCs w:val="21"/>
                    </w:rPr>
                    <w:t>固废</w:t>
                  </w:r>
                </w:p>
              </w:tc>
              <w:tc>
                <w:tcPr>
                  <w:tcW w:w="5190" w:type="dxa"/>
                  <w:tcBorders>
                    <w:top w:val="single" w:sz="4" w:space="0" w:color="000000"/>
                    <w:left w:val="single" w:sz="4" w:space="0" w:color="000000"/>
                    <w:bottom w:val="single" w:sz="4" w:space="0" w:color="000000"/>
                    <w:right w:val="single" w:sz="4" w:space="0" w:color="000000"/>
                  </w:tcBorders>
                  <w:vAlign w:val="center"/>
                </w:tcPr>
                <w:p>
                  <w:pPr>
                    <w:snapToGrid w:val="0"/>
                    <w:spacing w:line="240" w:lineRule="auto"/>
                    <w:jc w:val="left"/>
                    <w:rPr>
                      <w:kern w:val="21"/>
                      <w:szCs w:val="21"/>
                    </w:rPr>
                  </w:pPr>
                  <w:r>
                    <w:rPr>
                      <w:kern w:val="21"/>
                      <w:szCs w:val="21"/>
                    </w:rPr>
                    <w:t>项目设有垃圾箱，垃圾箱收集项目区域产生的生活垃圾，生活垃圾定期收集后交市政环卫部门处理。</w:t>
                  </w:r>
                </w:p>
              </w:tc>
              <w:tc>
                <w:tcPr>
                  <w:tcW w:w="1287" w:type="dxa"/>
                  <w:vMerge/>
                  <w:tcBorders>
                    <w:left w:val="single" w:sz="4" w:space="0" w:color="000000"/>
                    <w:right w:val="single" w:sz="4" w:space="0" w:color="000000"/>
                  </w:tcBorders>
                  <w:vAlign w:val="center"/>
                </w:tcPr>
                <w:p>
                  <w:pPr>
                    <w:snapToGrid w:val="0"/>
                    <w:spacing w:line="240" w:lineRule="auto"/>
                    <w:jc w:val="center"/>
                    <w:rPr>
                      <w:kern w:val="21"/>
                      <w:szCs w:val="21"/>
                    </w:rPr>
                  </w:pPr>
                </w:p>
              </w:tc>
            </w:tr>
          </w:tbl>
          <w:p>
            <w:pPr>
              <w:tabs>
                <w:tab w:val="left" w:pos="0"/>
              </w:tabs>
              <w:spacing w:line="360" w:lineRule="auto"/>
              <w:ind w:firstLine="480" w:firstLineChars="200"/>
              <w:rPr>
                <w:kern w:val="21"/>
                <w:sz w:val="24"/>
              </w:rPr>
            </w:pPr>
            <w:r>
              <w:rPr>
                <w:kern w:val="21"/>
                <w:sz w:val="24"/>
              </w:rPr>
              <w:t>本项目计划尽可能保留原生地形地貌，在保证生态原貌的基础上对场地进行整体的美化，并对场地内</w:t>
            </w:r>
            <w:r>
              <w:rPr>
                <w:rFonts w:hint="eastAsia"/>
                <w:kern w:val="21"/>
                <w:sz w:val="24"/>
              </w:rPr>
              <w:t>部分区域</w:t>
            </w:r>
            <w:r>
              <w:rPr>
                <w:kern w:val="21"/>
                <w:sz w:val="24"/>
              </w:rPr>
              <w:t>植被绿化等内容进行重新</w:t>
            </w:r>
            <w:r>
              <w:rPr>
                <w:rFonts w:hint="eastAsia"/>
                <w:kern w:val="21"/>
                <w:sz w:val="24"/>
              </w:rPr>
              <w:t>提升改造，增加美观度</w:t>
            </w:r>
            <w:r>
              <w:rPr>
                <w:kern w:val="21"/>
                <w:sz w:val="24"/>
              </w:rPr>
              <w:t>。</w:t>
            </w:r>
          </w:p>
          <w:p>
            <w:pPr>
              <w:tabs>
                <w:tab w:val="left" w:pos="0"/>
              </w:tabs>
              <w:spacing w:line="360" w:lineRule="auto"/>
              <w:ind w:firstLine="480" w:firstLineChars="200"/>
              <w:rPr>
                <w:kern w:val="21"/>
                <w:sz w:val="24"/>
              </w:rPr>
            </w:pPr>
            <w:r>
              <w:rPr>
                <w:kern w:val="21"/>
                <w:sz w:val="24"/>
              </w:rPr>
              <w:t>6、历史建筑保护修缮与改造</w:t>
            </w:r>
          </w:p>
          <w:p>
            <w:pPr>
              <w:tabs>
                <w:tab w:val="left" w:pos="0"/>
              </w:tabs>
              <w:spacing w:line="360" w:lineRule="auto"/>
              <w:ind w:firstLine="480" w:firstLineChars="200"/>
              <w:rPr>
                <w:kern w:val="21"/>
                <w:sz w:val="24"/>
              </w:rPr>
            </w:pPr>
            <w:r>
              <w:rPr>
                <w:kern w:val="21"/>
                <w:sz w:val="24"/>
              </w:rPr>
              <w:t>规划以建筑风貌和历史文化价值评估分类为基础，综合了建筑质量、年代、风貌等现状要素信息，对街区内的所有建筑进行详细评估，对于不同类型的建筑提出分类保护和整治措施，并指出建筑风貌控制的具体内容和方法，见下表。</w:t>
            </w:r>
          </w:p>
          <w:p>
            <w:pPr>
              <w:tabs>
                <w:tab w:val="left" w:pos="0"/>
              </w:tabs>
              <w:spacing w:line="240" w:lineRule="auto"/>
              <w:ind w:firstLine="480" w:firstLineChars="200"/>
              <w:jc w:val="center"/>
              <w:rPr>
                <w:b/>
                <w:bCs/>
                <w:kern w:val="21"/>
                <w:sz w:val="24"/>
              </w:rPr>
            </w:pPr>
            <w:r>
              <w:rPr>
                <w:b/>
                <w:bCs/>
                <w:kern w:val="21"/>
                <w:sz w:val="24"/>
              </w:rPr>
              <w:t>表</w:t>
            </w:r>
            <w:r>
              <w:rPr>
                <w:rFonts w:hint="eastAsia"/>
                <w:b/>
                <w:bCs/>
                <w:kern w:val="21"/>
                <w:sz w:val="24"/>
              </w:rPr>
              <w:t>3</w:t>
            </w:r>
            <w:r>
              <w:rPr>
                <w:b/>
                <w:bCs/>
                <w:kern w:val="21"/>
                <w:sz w:val="24"/>
              </w:rPr>
              <w:t xml:space="preserve">   建筑风貌控制的具体内容和方法</w:t>
            </w:r>
          </w:p>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87"/>
              <w:gridCol w:w="1106"/>
              <w:gridCol w:w="863"/>
              <w:gridCol w:w="2355"/>
              <w:gridCol w:w="3837"/>
            </w:tblGrid>
            <w:tr>
              <w:tblPrEx>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87" w:type="dxa"/>
                  <w:vAlign w:val="center"/>
                </w:tcPr>
                <w:p>
                  <w:pPr>
                    <w:tabs>
                      <w:tab w:val="left" w:pos="0"/>
                    </w:tabs>
                    <w:snapToGrid w:val="0"/>
                    <w:spacing w:line="240" w:lineRule="auto"/>
                    <w:jc w:val="center"/>
                    <w:rPr>
                      <w:rFonts w:hint="eastAsia"/>
                      <w:kern w:val="21"/>
                      <w:szCs w:val="21"/>
                    </w:rPr>
                  </w:pPr>
                  <w:r>
                    <w:rPr>
                      <w:rFonts w:hint="eastAsia"/>
                      <w:kern w:val="21"/>
                      <w:szCs w:val="21"/>
                    </w:rPr>
                    <w:t>序号</w:t>
                  </w:r>
                </w:p>
              </w:tc>
              <w:tc>
                <w:tcPr>
                  <w:tcW w:w="1106" w:type="dxa"/>
                  <w:vAlign w:val="center"/>
                </w:tcPr>
                <w:p>
                  <w:pPr>
                    <w:tabs>
                      <w:tab w:val="left" w:pos="0"/>
                    </w:tabs>
                    <w:snapToGrid w:val="0"/>
                    <w:spacing w:line="240" w:lineRule="auto"/>
                    <w:jc w:val="center"/>
                    <w:rPr>
                      <w:rFonts w:hint="eastAsia"/>
                      <w:kern w:val="21"/>
                      <w:szCs w:val="21"/>
                    </w:rPr>
                  </w:pPr>
                  <w:r>
                    <w:rPr>
                      <w:rFonts w:hint="eastAsia"/>
                      <w:kern w:val="21"/>
                      <w:szCs w:val="21"/>
                    </w:rPr>
                    <w:t>类别</w:t>
                  </w:r>
                </w:p>
              </w:tc>
              <w:tc>
                <w:tcPr>
                  <w:tcW w:w="863" w:type="dxa"/>
                  <w:vAlign w:val="center"/>
                </w:tcPr>
                <w:p>
                  <w:pPr>
                    <w:tabs>
                      <w:tab w:val="left" w:pos="0"/>
                    </w:tabs>
                    <w:snapToGrid w:val="0"/>
                    <w:spacing w:line="240" w:lineRule="auto"/>
                    <w:jc w:val="center"/>
                    <w:rPr>
                      <w:rFonts w:hint="eastAsia"/>
                      <w:kern w:val="21"/>
                      <w:szCs w:val="21"/>
                    </w:rPr>
                  </w:pPr>
                  <w:r>
                    <w:rPr>
                      <w:rFonts w:hint="eastAsia"/>
                      <w:kern w:val="21"/>
                      <w:szCs w:val="21"/>
                    </w:rPr>
                    <w:t>建筑面积m</w:t>
                  </w:r>
                  <w:r>
                    <w:rPr>
                      <w:rFonts w:hint="eastAsia"/>
                      <w:kern w:val="21"/>
                      <w:szCs w:val="21"/>
                      <w:vertAlign w:val="superscript"/>
                    </w:rPr>
                    <w:t>2</w:t>
                  </w:r>
                </w:p>
              </w:tc>
              <w:tc>
                <w:tcPr>
                  <w:tcW w:w="2355" w:type="dxa"/>
                  <w:vAlign w:val="center"/>
                </w:tcPr>
                <w:p>
                  <w:pPr>
                    <w:tabs>
                      <w:tab w:val="left" w:pos="0"/>
                    </w:tabs>
                    <w:snapToGrid w:val="0"/>
                    <w:spacing w:line="240" w:lineRule="auto"/>
                    <w:jc w:val="center"/>
                    <w:rPr>
                      <w:rFonts w:hint="eastAsia"/>
                      <w:kern w:val="21"/>
                      <w:szCs w:val="21"/>
                    </w:rPr>
                  </w:pPr>
                  <w:r>
                    <w:rPr>
                      <w:rFonts w:hint="eastAsia"/>
                      <w:kern w:val="21"/>
                      <w:szCs w:val="21"/>
                    </w:rPr>
                    <w:t>对象</w:t>
                  </w:r>
                </w:p>
              </w:tc>
              <w:tc>
                <w:tcPr>
                  <w:tcW w:w="3837" w:type="dxa"/>
                  <w:vAlign w:val="center"/>
                </w:tcPr>
                <w:p>
                  <w:pPr>
                    <w:tabs>
                      <w:tab w:val="left" w:pos="0"/>
                    </w:tabs>
                    <w:snapToGrid w:val="0"/>
                    <w:spacing w:line="240" w:lineRule="auto"/>
                    <w:jc w:val="center"/>
                    <w:rPr>
                      <w:rFonts w:hint="eastAsia"/>
                      <w:kern w:val="21"/>
                      <w:szCs w:val="21"/>
                    </w:rPr>
                  </w:pPr>
                  <w:r>
                    <w:rPr>
                      <w:rFonts w:hint="eastAsia"/>
                      <w:kern w:val="21"/>
                      <w:szCs w:val="21"/>
                    </w:rPr>
                    <w:t>措施</w:t>
                  </w:r>
                </w:p>
              </w:tc>
            </w:tr>
            <w:tr>
              <w:tblPrEx>
                <w:tblW w:w="0" w:type="auto"/>
                <w:jc w:val="center"/>
                <w:tblInd w:w="113" w:type="dxa"/>
                <w:tblLayout w:type="fixed"/>
                <w:tblCellMar>
                  <w:top w:w="0" w:type="dxa"/>
                  <w:left w:w="108" w:type="dxa"/>
                  <w:bottom w:w="0" w:type="dxa"/>
                  <w:right w:w="108" w:type="dxa"/>
                </w:tblCellMar>
                <w:tblLook w:val="0000"/>
              </w:tblPrEx>
              <w:trPr>
                <w:jc w:val="center"/>
              </w:trPr>
              <w:tc>
                <w:tcPr>
                  <w:tcW w:w="787" w:type="dxa"/>
                  <w:vAlign w:val="center"/>
                </w:tcPr>
                <w:p>
                  <w:pPr>
                    <w:tabs>
                      <w:tab w:val="left" w:pos="0"/>
                    </w:tabs>
                    <w:snapToGrid w:val="0"/>
                    <w:spacing w:line="240" w:lineRule="auto"/>
                    <w:jc w:val="center"/>
                    <w:rPr>
                      <w:rFonts w:hint="eastAsia"/>
                      <w:kern w:val="21"/>
                      <w:szCs w:val="21"/>
                    </w:rPr>
                  </w:pPr>
                  <w:r>
                    <w:rPr>
                      <w:rFonts w:hint="eastAsia"/>
                      <w:kern w:val="21"/>
                      <w:szCs w:val="21"/>
                    </w:rPr>
                    <w:t>一</w:t>
                  </w:r>
                </w:p>
              </w:tc>
              <w:tc>
                <w:tcPr>
                  <w:tcW w:w="1106" w:type="dxa"/>
                  <w:vAlign w:val="center"/>
                </w:tcPr>
                <w:p>
                  <w:pPr>
                    <w:tabs>
                      <w:tab w:val="left" w:pos="0"/>
                    </w:tabs>
                    <w:snapToGrid w:val="0"/>
                    <w:spacing w:line="240" w:lineRule="auto"/>
                    <w:jc w:val="center"/>
                    <w:rPr>
                      <w:rFonts w:hint="eastAsia"/>
                      <w:kern w:val="21"/>
                      <w:szCs w:val="21"/>
                    </w:rPr>
                  </w:pPr>
                  <w:r>
                    <w:rPr>
                      <w:rFonts w:hint="eastAsia"/>
                      <w:kern w:val="21"/>
                      <w:szCs w:val="21"/>
                    </w:rPr>
                    <w:t>保护</w:t>
                  </w:r>
                </w:p>
              </w:tc>
              <w:tc>
                <w:tcPr>
                  <w:tcW w:w="863" w:type="dxa"/>
                  <w:vAlign w:val="center"/>
                </w:tcPr>
                <w:p>
                  <w:pPr>
                    <w:tabs>
                      <w:tab w:val="left" w:pos="0"/>
                    </w:tabs>
                    <w:snapToGrid w:val="0"/>
                    <w:spacing w:line="240" w:lineRule="auto"/>
                    <w:jc w:val="center"/>
                    <w:rPr>
                      <w:rFonts w:hint="eastAsia"/>
                      <w:kern w:val="21"/>
                      <w:szCs w:val="21"/>
                    </w:rPr>
                  </w:pPr>
                  <w:r>
                    <w:rPr>
                      <w:rFonts w:hint="eastAsia"/>
                      <w:kern w:val="21"/>
                      <w:szCs w:val="21"/>
                    </w:rPr>
                    <w:t>450m</w:t>
                  </w:r>
                  <w:r>
                    <w:rPr>
                      <w:rFonts w:hint="eastAsia"/>
                      <w:kern w:val="21"/>
                      <w:szCs w:val="21"/>
                      <w:vertAlign w:val="superscript"/>
                    </w:rPr>
                    <w:t>2</w:t>
                  </w:r>
                </w:p>
              </w:tc>
              <w:tc>
                <w:tcPr>
                  <w:tcW w:w="2355" w:type="dxa"/>
                  <w:vAlign w:val="center"/>
                </w:tcPr>
                <w:p>
                  <w:pPr>
                    <w:tabs>
                      <w:tab w:val="left" w:pos="0"/>
                    </w:tabs>
                    <w:snapToGrid w:val="0"/>
                    <w:spacing w:after="0" w:line="240" w:lineRule="auto"/>
                    <w:rPr>
                      <w:kern w:val="21"/>
                      <w:szCs w:val="21"/>
                    </w:rPr>
                  </w:pPr>
                  <w:r>
                    <w:rPr>
                      <w:kern w:val="21"/>
                      <w:szCs w:val="21"/>
                    </w:rPr>
                    <w:t>文昌里街区现有市级文保单位</w:t>
                  </w:r>
                  <w:r>
                    <w:rPr>
                      <w:rFonts w:hint="eastAsia"/>
                      <w:kern w:val="21"/>
                      <w:szCs w:val="21"/>
                    </w:rPr>
                    <w:t>、</w:t>
                  </w:r>
                </w:p>
              </w:tc>
              <w:tc>
                <w:tcPr>
                  <w:tcW w:w="3837" w:type="dxa"/>
                  <w:vAlign w:val="center"/>
                </w:tcPr>
                <w:p>
                  <w:pPr>
                    <w:tabs>
                      <w:tab w:val="left" w:pos="0"/>
                    </w:tabs>
                    <w:snapToGrid w:val="0"/>
                    <w:spacing w:after="0" w:line="240" w:lineRule="auto"/>
                    <w:rPr>
                      <w:kern w:val="21"/>
                      <w:szCs w:val="21"/>
                    </w:rPr>
                  </w:pPr>
                </w:p>
              </w:tc>
            </w:tr>
          </w:tbl>
          <w:p/>
        </w:tc>
      </w:tr>
    </w:tbl>
    <w:p>
      <w:pPr>
        <w:sectPr>
          <w:headerReference w:type="default" r:id="rId19"/>
          <w:footerReference w:type="even" r:id="rId20"/>
          <w:footerReference w:type="default" r:id="rId21"/>
          <w:headerReference w:type="first" r:id="rId22"/>
          <w:footerReference w:type="first" r:id="rId23"/>
          <w:type w:val="nextPage"/>
          <w:pgSz w:w="11907" w:h="16840"/>
          <w:pgMar w:top="1418" w:right="1418" w:bottom="1418" w:left="1418" w:header="851" w:footer="992" w:gutter="113"/>
          <w:pgNumType w:start="4"/>
          <w:cols w:space="708"/>
          <w:titlePg w:val="0"/>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6" w:space="0" w:color="auto"/>
              <w:bottom w:val="single" w:sz="12" w:space="0" w:color="auto"/>
            </w:tcBorders>
          </w:tcPr>
          <w:tbl>
            <w:tblPr>
              <w:tblStyle w:val="TableNormal"/>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787"/>
              <w:gridCol w:w="1106"/>
              <w:gridCol w:w="863"/>
              <w:gridCol w:w="2355"/>
              <w:gridCol w:w="3837"/>
            </w:tblGrid>
            <w:tr>
              <w:tblPrEx>
                <w:tblW w:w="0" w:type="auto"/>
                <w:jc w:val="center"/>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787" w:type="dxa"/>
                  <w:vAlign w:val="center"/>
                </w:tcPr>
                <w:p/>
              </w:tc>
              <w:tc>
                <w:tcPr>
                  <w:tcW w:w="1106" w:type="dxa"/>
                  <w:vAlign w:val="center"/>
                </w:tcPr>
                <w:p/>
              </w:tc>
              <w:tc>
                <w:tcPr>
                  <w:tcW w:w="863" w:type="dxa"/>
                  <w:vMerge w:val="restart"/>
                  <w:vAlign w:val="center"/>
                </w:tcPr>
                <w:p/>
              </w:tc>
              <w:tc>
                <w:tcPr>
                  <w:tcW w:w="2355" w:type="dxa"/>
                  <w:vAlign w:val="center"/>
                </w:tcPr>
                <w:p>
                  <w:pPr>
                    <w:tabs>
                      <w:tab w:val="left" w:pos="0"/>
                    </w:tabs>
                    <w:snapToGrid w:val="0"/>
                    <w:spacing w:before="0" w:line="240" w:lineRule="auto"/>
                    <w:rPr>
                      <w:kern w:val="21"/>
                      <w:szCs w:val="21"/>
                    </w:rPr>
                  </w:pPr>
                  <w:r>
                    <w:rPr>
                      <w:kern w:val="21"/>
                      <w:szCs w:val="21"/>
                    </w:rPr>
                    <w:t>登记不可移动文物应进行严格保护</w:t>
                  </w:r>
                </w:p>
              </w:tc>
              <w:tc>
                <w:tcPr>
                  <w:tcW w:w="3837" w:type="dxa"/>
                  <w:vAlign w:val="center"/>
                </w:tcPr>
                <w:p>
                  <w:pPr>
                    <w:tabs>
                      <w:tab w:val="left" w:pos="0"/>
                    </w:tabs>
                    <w:snapToGrid w:val="0"/>
                    <w:spacing w:before="0" w:line="240" w:lineRule="auto"/>
                    <w:rPr>
                      <w:kern w:val="21"/>
                      <w:szCs w:val="21"/>
                    </w:rPr>
                  </w:pPr>
                  <w:r>
                    <w:rPr>
                      <w:rFonts w:hint="eastAsia"/>
                      <w:kern w:val="21"/>
                      <w:szCs w:val="21"/>
                    </w:rPr>
                    <w:t>相关建筑保护中涉及的所有评估、维修、展示利用等方面，都应严格按照文物保护相关法律法规进行。严格按照原材料、原形式、原结构、原做法进行加固维修</w:t>
                  </w:r>
                </w:p>
              </w:tc>
            </w:tr>
            <w:tr>
              <w:tblPrEx>
                <w:tblW w:w="0" w:type="auto"/>
                <w:jc w:val="center"/>
                <w:tblInd w:w="113" w:type="dxa"/>
                <w:tblLayout w:type="fixed"/>
                <w:tblCellMar>
                  <w:top w:w="0" w:type="dxa"/>
                  <w:left w:w="108" w:type="dxa"/>
                  <w:bottom w:w="0" w:type="dxa"/>
                  <w:right w:w="108" w:type="dxa"/>
                </w:tblCellMar>
                <w:tblLook w:val="0000"/>
              </w:tblPrEx>
              <w:trPr>
                <w:jc w:val="center"/>
              </w:trPr>
              <w:tc>
                <w:tcPr>
                  <w:tcW w:w="787" w:type="dxa"/>
                  <w:vAlign w:val="center"/>
                </w:tcPr>
                <w:p>
                  <w:pPr>
                    <w:tabs>
                      <w:tab w:val="left" w:pos="0"/>
                    </w:tabs>
                    <w:snapToGrid w:val="0"/>
                    <w:spacing w:line="240" w:lineRule="auto"/>
                    <w:jc w:val="center"/>
                    <w:rPr>
                      <w:rFonts w:hint="eastAsia"/>
                      <w:kern w:val="21"/>
                      <w:szCs w:val="21"/>
                    </w:rPr>
                  </w:pPr>
                  <w:r>
                    <w:rPr>
                      <w:rFonts w:hint="eastAsia"/>
                      <w:kern w:val="21"/>
                      <w:szCs w:val="21"/>
                    </w:rPr>
                    <w:t>二</w:t>
                  </w:r>
                </w:p>
              </w:tc>
              <w:tc>
                <w:tcPr>
                  <w:tcW w:w="1106" w:type="dxa"/>
                  <w:vAlign w:val="center"/>
                </w:tcPr>
                <w:p>
                  <w:pPr>
                    <w:tabs>
                      <w:tab w:val="left" w:pos="0"/>
                    </w:tabs>
                    <w:snapToGrid w:val="0"/>
                    <w:spacing w:line="240" w:lineRule="auto"/>
                    <w:jc w:val="center"/>
                    <w:rPr>
                      <w:rFonts w:hint="eastAsia"/>
                      <w:kern w:val="21"/>
                      <w:szCs w:val="21"/>
                    </w:rPr>
                  </w:pPr>
                  <w:r>
                    <w:rPr>
                      <w:rFonts w:hint="eastAsia"/>
                      <w:kern w:val="21"/>
                      <w:szCs w:val="21"/>
                    </w:rPr>
                    <w:t>修缮</w:t>
                  </w:r>
                </w:p>
              </w:tc>
              <w:tc>
                <w:tcPr>
                  <w:tcW w:w="863" w:type="dxa"/>
                  <w:vMerge/>
                  <w:vAlign w:val="center"/>
                </w:tcPr>
                <w:p>
                  <w:pPr>
                    <w:tabs>
                      <w:tab w:val="left" w:pos="0"/>
                    </w:tabs>
                    <w:snapToGrid w:val="0"/>
                    <w:spacing w:line="240" w:lineRule="auto"/>
                    <w:jc w:val="center"/>
                    <w:rPr>
                      <w:kern w:val="21"/>
                      <w:szCs w:val="21"/>
                    </w:rPr>
                  </w:pPr>
                </w:p>
              </w:tc>
              <w:tc>
                <w:tcPr>
                  <w:tcW w:w="2355" w:type="dxa"/>
                  <w:vAlign w:val="center"/>
                </w:tcPr>
                <w:p>
                  <w:pPr>
                    <w:tabs>
                      <w:tab w:val="left" w:pos="0"/>
                    </w:tabs>
                    <w:snapToGrid w:val="0"/>
                    <w:spacing w:line="240" w:lineRule="auto"/>
                    <w:rPr>
                      <w:kern w:val="21"/>
                      <w:szCs w:val="21"/>
                    </w:rPr>
                  </w:pPr>
                  <w:r>
                    <w:rPr>
                      <w:kern w:val="21"/>
                      <w:szCs w:val="21"/>
                    </w:rPr>
                    <w:t>风貌较好的传统建筑遗存，建议公布为历史建筑</w:t>
                  </w:r>
                </w:p>
              </w:tc>
              <w:tc>
                <w:tcPr>
                  <w:tcW w:w="3837" w:type="dxa"/>
                  <w:vAlign w:val="center"/>
                </w:tcPr>
                <w:p>
                  <w:pPr>
                    <w:tabs>
                      <w:tab w:val="left" w:pos="0"/>
                    </w:tabs>
                    <w:snapToGrid w:val="0"/>
                    <w:spacing w:line="240" w:lineRule="auto"/>
                    <w:rPr>
                      <w:kern w:val="21"/>
                      <w:szCs w:val="21"/>
                    </w:rPr>
                  </w:pPr>
                  <w:r>
                    <w:rPr>
                      <w:rFonts w:hint="eastAsia"/>
                      <w:kern w:val="21"/>
                      <w:szCs w:val="21"/>
                    </w:rPr>
                    <w:t>相关建筑的修缮、展示利用等，都应严格按照《历史文化名城名镇名村保护条例》的相关规定进行。严格按照严格按照原材料、原形式、原结构、原做法进行加固维修，内部装修可适当采用新材料</w:t>
                  </w:r>
                </w:p>
              </w:tc>
            </w:tr>
            <w:tr>
              <w:tblPrEx>
                <w:tblW w:w="0" w:type="auto"/>
                <w:jc w:val="center"/>
                <w:tblInd w:w="113" w:type="dxa"/>
                <w:tblLayout w:type="fixed"/>
                <w:tblCellMar>
                  <w:top w:w="0" w:type="dxa"/>
                  <w:left w:w="108" w:type="dxa"/>
                  <w:bottom w:w="0" w:type="dxa"/>
                  <w:right w:w="108" w:type="dxa"/>
                </w:tblCellMar>
                <w:tblLook w:val="0000"/>
              </w:tblPrEx>
              <w:trPr>
                <w:jc w:val="center"/>
              </w:trPr>
              <w:tc>
                <w:tcPr>
                  <w:tcW w:w="787" w:type="dxa"/>
                  <w:vAlign w:val="center"/>
                </w:tcPr>
                <w:p>
                  <w:pPr>
                    <w:tabs>
                      <w:tab w:val="left" w:pos="0"/>
                    </w:tabs>
                    <w:snapToGrid w:val="0"/>
                    <w:spacing w:line="240" w:lineRule="auto"/>
                    <w:jc w:val="center"/>
                    <w:rPr>
                      <w:rFonts w:hint="eastAsia"/>
                      <w:kern w:val="21"/>
                      <w:szCs w:val="21"/>
                    </w:rPr>
                  </w:pPr>
                  <w:r>
                    <w:rPr>
                      <w:rFonts w:hint="eastAsia"/>
                      <w:kern w:val="21"/>
                      <w:szCs w:val="21"/>
                    </w:rPr>
                    <w:t>三</w:t>
                  </w:r>
                </w:p>
              </w:tc>
              <w:tc>
                <w:tcPr>
                  <w:tcW w:w="1106" w:type="dxa"/>
                  <w:vAlign w:val="center"/>
                </w:tcPr>
                <w:p>
                  <w:pPr>
                    <w:tabs>
                      <w:tab w:val="left" w:pos="0"/>
                    </w:tabs>
                    <w:snapToGrid w:val="0"/>
                    <w:spacing w:line="240" w:lineRule="auto"/>
                    <w:jc w:val="center"/>
                    <w:rPr>
                      <w:rFonts w:hint="eastAsia"/>
                      <w:kern w:val="21"/>
                      <w:szCs w:val="21"/>
                    </w:rPr>
                  </w:pPr>
                  <w:r>
                    <w:rPr>
                      <w:rFonts w:hint="eastAsia"/>
                      <w:kern w:val="21"/>
                      <w:szCs w:val="21"/>
                    </w:rPr>
                    <w:t>改善（一）</w:t>
                  </w:r>
                </w:p>
              </w:tc>
              <w:tc>
                <w:tcPr>
                  <w:tcW w:w="863" w:type="dxa"/>
                  <w:vMerge/>
                  <w:vAlign w:val="center"/>
                </w:tcPr>
                <w:p>
                  <w:pPr>
                    <w:tabs>
                      <w:tab w:val="left" w:pos="0"/>
                    </w:tabs>
                    <w:snapToGrid w:val="0"/>
                    <w:spacing w:line="240" w:lineRule="auto"/>
                    <w:jc w:val="center"/>
                    <w:rPr>
                      <w:kern w:val="21"/>
                      <w:szCs w:val="21"/>
                    </w:rPr>
                  </w:pPr>
                </w:p>
              </w:tc>
              <w:tc>
                <w:tcPr>
                  <w:tcW w:w="2355" w:type="dxa"/>
                  <w:vAlign w:val="center"/>
                </w:tcPr>
                <w:p>
                  <w:pPr>
                    <w:tabs>
                      <w:tab w:val="left" w:pos="0"/>
                    </w:tabs>
                    <w:snapToGrid w:val="0"/>
                    <w:spacing w:line="240" w:lineRule="auto"/>
                    <w:rPr>
                      <w:kern w:val="21"/>
                      <w:szCs w:val="21"/>
                    </w:rPr>
                  </w:pPr>
                  <w:r>
                    <w:rPr>
                      <w:kern w:val="21"/>
                      <w:szCs w:val="21"/>
                    </w:rPr>
                    <w:t>有一定传统风貌，且建筑质量较好的建筑遗存，应在保护的原则下进行改善</w:t>
                  </w:r>
                </w:p>
              </w:tc>
              <w:tc>
                <w:tcPr>
                  <w:tcW w:w="3837" w:type="dxa"/>
                  <w:vAlign w:val="center"/>
                </w:tcPr>
                <w:p>
                  <w:pPr>
                    <w:numPr>
                      <w:ilvl w:val="0"/>
                      <w:numId w:val="2"/>
                    </w:numPr>
                    <w:tabs>
                      <w:tab w:val="left" w:pos="0"/>
                    </w:tabs>
                    <w:snapToGrid w:val="0"/>
                    <w:spacing w:line="240" w:lineRule="auto"/>
                    <w:rPr>
                      <w:rFonts w:hint="eastAsia"/>
                      <w:kern w:val="21"/>
                      <w:szCs w:val="21"/>
                    </w:rPr>
                  </w:pPr>
                  <w:r>
                    <w:rPr>
                      <w:rFonts w:hint="eastAsia"/>
                      <w:kern w:val="21"/>
                      <w:szCs w:val="21"/>
                    </w:rPr>
                    <w:t>按照原材料、原形式、原结构、原做法进行加固维修，保持传统的风貌特征，特别是保护具有历史文化价值的细部构建或装饰物；</w:t>
                  </w:r>
                </w:p>
                <w:p>
                  <w:pPr>
                    <w:numPr>
                      <w:ilvl w:val="0"/>
                      <w:numId w:val="2"/>
                    </w:numPr>
                    <w:tabs>
                      <w:tab w:val="left" w:pos="0"/>
                    </w:tabs>
                    <w:snapToGrid w:val="0"/>
                    <w:spacing w:line="240" w:lineRule="auto"/>
                    <w:rPr>
                      <w:rFonts w:hint="eastAsia"/>
                      <w:kern w:val="21"/>
                      <w:szCs w:val="21"/>
                    </w:rPr>
                  </w:pPr>
                  <w:r>
                    <w:rPr>
                      <w:rFonts w:hint="eastAsia"/>
                      <w:kern w:val="21"/>
                      <w:szCs w:val="21"/>
                    </w:rPr>
                    <w:t>内部条件允许进行改善和更新，加强建筑的防潮、保温、节能</w:t>
                  </w:r>
                </w:p>
              </w:tc>
            </w:tr>
            <w:tr>
              <w:tblPrEx>
                <w:tblW w:w="0" w:type="auto"/>
                <w:jc w:val="center"/>
                <w:tblInd w:w="113" w:type="dxa"/>
                <w:tblLayout w:type="fixed"/>
                <w:tblCellMar>
                  <w:top w:w="0" w:type="dxa"/>
                  <w:left w:w="108" w:type="dxa"/>
                  <w:bottom w:w="0" w:type="dxa"/>
                  <w:right w:w="108" w:type="dxa"/>
                </w:tblCellMar>
                <w:tblLook w:val="0000"/>
              </w:tblPrEx>
              <w:trPr>
                <w:jc w:val="center"/>
              </w:trPr>
              <w:tc>
                <w:tcPr>
                  <w:tcW w:w="787" w:type="dxa"/>
                  <w:vAlign w:val="center"/>
                </w:tcPr>
                <w:p>
                  <w:pPr>
                    <w:tabs>
                      <w:tab w:val="left" w:pos="0"/>
                    </w:tabs>
                    <w:snapToGrid w:val="0"/>
                    <w:spacing w:line="240" w:lineRule="auto"/>
                    <w:jc w:val="center"/>
                    <w:rPr>
                      <w:rFonts w:hint="eastAsia"/>
                      <w:kern w:val="21"/>
                      <w:szCs w:val="21"/>
                    </w:rPr>
                  </w:pPr>
                  <w:r>
                    <w:rPr>
                      <w:rFonts w:hint="eastAsia"/>
                      <w:kern w:val="21"/>
                      <w:szCs w:val="21"/>
                    </w:rPr>
                    <w:t>四</w:t>
                  </w:r>
                </w:p>
              </w:tc>
              <w:tc>
                <w:tcPr>
                  <w:tcW w:w="1106" w:type="dxa"/>
                  <w:vAlign w:val="center"/>
                </w:tcPr>
                <w:p>
                  <w:pPr>
                    <w:tabs>
                      <w:tab w:val="left" w:pos="0"/>
                    </w:tabs>
                    <w:snapToGrid w:val="0"/>
                    <w:spacing w:line="240" w:lineRule="auto"/>
                    <w:jc w:val="center"/>
                    <w:rPr>
                      <w:kern w:val="21"/>
                      <w:szCs w:val="21"/>
                    </w:rPr>
                  </w:pPr>
                  <w:r>
                    <w:rPr>
                      <w:rFonts w:hint="eastAsia"/>
                      <w:kern w:val="21"/>
                      <w:szCs w:val="21"/>
                    </w:rPr>
                    <w:t>改善（二）</w:t>
                  </w:r>
                </w:p>
              </w:tc>
              <w:tc>
                <w:tcPr>
                  <w:tcW w:w="863" w:type="dxa"/>
                  <w:vMerge/>
                  <w:vAlign w:val="center"/>
                </w:tcPr>
                <w:p>
                  <w:pPr>
                    <w:tabs>
                      <w:tab w:val="left" w:pos="0"/>
                    </w:tabs>
                    <w:snapToGrid w:val="0"/>
                    <w:spacing w:line="240" w:lineRule="auto"/>
                    <w:jc w:val="center"/>
                    <w:rPr>
                      <w:kern w:val="21"/>
                      <w:szCs w:val="21"/>
                    </w:rPr>
                  </w:pPr>
                </w:p>
              </w:tc>
              <w:tc>
                <w:tcPr>
                  <w:tcW w:w="2355" w:type="dxa"/>
                  <w:vAlign w:val="center"/>
                </w:tcPr>
                <w:p>
                  <w:pPr>
                    <w:tabs>
                      <w:tab w:val="left" w:pos="0"/>
                    </w:tabs>
                    <w:snapToGrid w:val="0"/>
                    <w:spacing w:line="240" w:lineRule="auto"/>
                    <w:rPr>
                      <w:kern w:val="21"/>
                      <w:szCs w:val="21"/>
                    </w:rPr>
                  </w:pPr>
                  <w:r>
                    <w:rPr>
                      <w:kern w:val="21"/>
                      <w:szCs w:val="21"/>
                    </w:rPr>
                    <w:t>有一定传统风貌，但建筑质量较差的建筑遗存，应在保护的原则下进行改善</w:t>
                  </w:r>
                </w:p>
              </w:tc>
              <w:tc>
                <w:tcPr>
                  <w:tcW w:w="3837" w:type="dxa"/>
                  <w:vAlign w:val="center"/>
                </w:tcPr>
                <w:p>
                  <w:pPr>
                    <w:numPr>
                      <w:ilvl w:val="0"/>
                      <w:numId w:val="3"/>
                    </w:numPr>
                    <w:tabs>
                      <w:tab w:val="left" w:pos="0"/>
                    </w:tabs>
                    <w:snapToGrid w:val="0"/>
                    <w:spacing w:line="240" w:lineRule="auto"/>
                    <w:rPr>
                      <w:rFonts w:hint="eastAsia"/>
                      <w:kern w:val="21"/>
                      <w:szCs w:val="21"/>
                    </w:rPr>
                  </w:pPr>
                  <w:r>
                    <w:rPr>
                      <w:rFonts w:hint="eastAsia"/>
                      <w:kern w:val="21"/>
                      <w:szCs w:val="21"/>
                    </w:rPr>
                    <w:t>按照原貌、原材料、原形式、原做法对建筑外观进行修复，保护具有历史文化价值的细部构建或装饰物；</w:t>
                  </w:r>
                </w:p>
                <w:p>
                  <w:pPr>
                    <w:numPr>
                      <w:ilvl w:val="0"/>
                      <w:numId w:val="3"/>
                    </w:numPr>
                    <w:tabs>
                      <w:tab w:val="left" w:pos="0"/>
                    </w:tabs>
                    <w:snapToGrid w:val="0"/>
                    <w:spacing w:line="240" w:lineRule="auto"/>
                    <w:rPr>
                      <w:rFonts w:hint="eastAsia"/>
                      <w:kern w:val="21"/>
                      <w:szCs w:val="21"/>
                    </w:rPr>
                  </w:pPr>
                  <w:r>
                    <w:rPr>
                      <w:rFonts w:hint="eastAsia"/>
                      <w:kern w:val="21"/>
                      <w:szCs w:val="21"/>
                    </w:rPr>
                    <w:t>建筑内部结构损毁严重、确需翻建的，可适当采用钢筋混凝土、钢结构或混合结构替代。但形制应和原结构相同；</w:t>
                  </w:r>
                </w:p>
                <w:p>
                  <w:pPr>
                    <w:numPr>
                      <w:ilvl w:val="0"/>
                      <w:numId w:val="3"/>
                    </w:numPr>
                    <w:tabs>
                      <w:tab w:val="left" w:pos="0"/>
                    </w:tabs>
                    <w:snapToGrid w:val="0"/>
                    <w:spacing w:line="240" w:lineRule="auto"/>
                    <w:rPr>
                      <w:rFonts w:hint="eastAsia"/>
                      <w:kern w:val="21"/>
                      <w:szCs w:val="21"/>
                    </w:rPr>
                  </w:pPr>
                  <w:r>
                    <w:rPr>
                      <w:rFonts w:hint="eastAsia"/>
                      <w:kern w:val="21"/>
                      <w:szCs w:val="21"/>
                    </w:rPr>
                    <w:t>内部条件允许进行改善和更新，加强建筑的防潮、保温、节能。</w:t>
                  </w:r>
                </w:p>
              </w:tc>
            </w:tr>
            <w:tr>
              <w:tblPrEx>
                <w:tblW w:w="0" w:type="auto"/>
                <w:jc w:val="center"/>
                <w:tblInd w:w="113" w:type="dxa"/>
                <w:tblLayout w:type="fixed"/>
                <w:tblCellMar>
                  <w:top w:w="0" w:type="dxa"/>
                  <w:left w:w="108" w:type="dxa"/>
                  <w:bottom w:w="0" w:type="dxa"/>
                  <w:right w:w="108" w:type="dxa"/>
                </w:tblCellMar>
                <w:tblLook w:val="0000"/>
              </w:tblPrEx>
              <w:trPr>
                <w:jc w:val="center"/>
              </w:trPr>
              <w:tc>
                <w:tcPr>
                  <w:tcW w:w="787" w:type="dxa"/>
                  <w:vAlign w:val="center"/>
                </w:tcPr>
                <w:p>
                  <w:pPr>
                    <w:tabs>
                      <w:tab w:val="left" w:pos="0"/>
                    </w:tabs>
                    <w:snapToGrid w:val="0"/>
                    <w:spacing w:line="240" w:lineRule="auto"/>
                    <w:jc w:val="center"/>
                    <w:rPr>
                      <w:rFonts w:hint="eastAsia"/>
                      <w:kern w:val="21"/>
                      <w:szCs w:val="21"/>
                    </w:rPr>
                  </w:pPr>
                  <w:r>
                    <w:rPr>
                      <w:rFonts w:hint="eastAsia"/>
                      <w:kern w:val="21"/>
                      <w:szCs w:val="21"/>
                    </w:rPr>
                    <w:t>五</w:t>
                  </w:r>
                </w:p>
              </w:tc>
              <w:tc>
                <w:tcPr>
                  <w:tcW w:w="1106" w:type="dxa"/>
                  <w:vAlign w:val="center"/>
                </w:tcPr>
                <w:p>
                  <w:pPr>
                    <w:tabs>
                      <w:tab w:val="left" w:pos="0"/>
                    </w:tabs>
                    <w:snapToGrid w:val="0"/>
                    <w:spacing w:line="240" w:lineRule="auto"/>
                    <w:jc w:val="center"/>
                    <w:rPr>
                      <w:rFonts w:hint="eastAsia"/>
                      <w:kern w:val="21"/>
                      <w:szCs w:val="21"/>
                    </w:rPr>
                  </w:pPr>
                  <w:r>
                    <w:rPr>
                      <w:rFonts w:hint="eastAsia"/>
                      <w:kern w:val="21"/>
                      <w:szCs w:val="21"/>
                    </w:rPr>
                    <w:t>保留</w:t>
                  </w:r>
                </w:p>
              </w:tc>
              <w:tc>
                <w:tcPr>
                  <w:tcW w:w="863" w:type="dxa"/>
                  <w:vAlign w:val="center"/>
                </w:tcPr>
                <w:p>
                  <w:pPr>
                    <w:tabs>
                      <w:tab w:val="left" w:pos="0"/>
                    </w:tabs>
                    <w:snapToGrid w:val="0"/>
                    <w:spacing w:line="240" w:lineRule="auto"/>
                    <w:jc w:val="center"/>
                    <w:rPr>
                      <w:rFonts w:hint="eastAsia"/>
                      <w:kern w:val="21"/>
                      <w:szCs w:val="21"/>
                    </w:rPr>
                  </w:pPr>
                  <w:r>
                    <w:rPr>
                      <w:rFonts w:hint="eastAsia"/>
                      <w:kern w:val="21"/>
                      <w:szCs w:val="21"/>
                    </w:rPr>
                    <w:t>120</w:t>
                  </w:r>
                </w:p>
              </w:tc>
              <w:tc>
                <w:tcPr>
                  <w:tcW w:w="2355" w:type="dxa"/>
                  <w:vAlign w:val="center"/>
                </w:tcPr>
                <w:p>
                  <w:pPr>
                    <w:tabs>
                      <w:tab w:val="left" w:pos="0"/>
                    </w:tabs>
                    <w:snapToGrid w:val="0"/>
                    <w:spacing w:line="240" w:lineRule="auto"/>
                    <w:rPr>
                      <w:kern w:val="21"/>
                      <w:szCs w:val="21"/>
                    </w:rPr>
                  </w:pPr>
                  <w:r>
                    <w:rPr>
                      <w:kern w:val="21"/>
                      <w:szCs w:val="21"/>
                    </w:rPr>
                    <w:t>与街区传统风貌协调的其他建筑，其建筑质量较好的，可作为保留建筑</w:t>
                  </w:r>
                </w:p>
              </w:tc>
              <w:tc>
                <w:tcPr>
                  <w:tcW w:w="3837" w:type="dxa"/>
                  <w:vAlign w:val="center"/>
                </w:tcPr>
                <w:p>
                  <w:pPr>
                    <w:tabs>
                      <w:tab w:val="left" w:pos="0"/>
                    </w:tabs>
                    <w:snapToGrid w:val="0"/>
                    <w:spacing w:line="240" w:lineRule="auto"/>
                    <w:rPr>
                      <w:kern w:val="21"/>
                      <w:szCs w:val="21"/>
                    </w:rPr>
                  </w:pPr>
                  <w:r>
                    <w:rPr>
                      <w:kern w:val="21"/>
                      <w:szCs w:val="21"/>
                    </w:rPr>
                    <w:t>1）保留建筑的风貌与传统建筑基本协调，也不影响居民正常使用，规划建议近期维持现状；</w:t>
                  </w:r>
                </w:p>
                <w:p>
                  <w:pPr>
                    <w:tabs>
                      <w:tab w:val="left" w:pos="0"/>
                    </w:tabs>
                    <w:snapToGrid w:val="0"/>
                    <w:spacing w:line="240" w:lineRule="auto"/>
                    <w:rPr>
                      <w:kern w:val="21"/>
                      <w:szCs w:val="21"/>
                    </w:rPr>
                  </w:pPr>
                  <w:r>
                    <w:rPr>
                      <w:kern w:val="21"/>
                      <w:szCs w:val="21"/>
                    </w:rPr>
                    <w:t>2）如因街区整体保护需要整治，应保持其与传统风貌建筑形式、色彩相协调，屋面采用传统硬山双坡屋面。可采用新兴墙体材料和结构体系，但形式保持传统</w:t>
                  </w:r>
                </w:p>
              </w:tc>
            </w:tr>
            <w:tr>
              <w:tblPrEx>
                <w:tblW w:w="0" w:type="auto"/>
                <w:jc w:val="center"/>
                <w:tblInd w:w="113" w:type="dxa"/>
                <w:tblLayout w:type="fixed"/>
                <w:tblCellMar>
                  <w:top w:w="0" w:type="dxa"/>
                  <w:left w:w="108" w:type="dxa"/>
                  <w:bottom w:w="0" w:type="dxa"/>
                  <w:right w:w="108" w:type="dxa"/>
                </w:tblCellMar>
                <w:tblLook w:val="0000"/>
              </w:tblPrEx>
              <w:trPr>
                <w:jc w:val="center"/>
              </w:trPr>
              <w:tc>
                <w:tcPr>
                  <w:tcW w:w="787" w:type="dxa"/>
                  <w:vAlign w:val="center"/>
                </w:tcPr>
                <w:p>
                  <w:pPr>
                    <w:tabs>
                      <w:tab w:val="left" w:pos="0"/>
                    </w:tabs>
                    <w:snapToGrid w:val="0"/>
                    <w:spacing w:line="240" w:lineRule="auto"/>
                    <w:jc w:val="center"/>
                    <w:rPr>
                      <w:rFonts w:hint="eastAsia"/>
                      <w:kern w:val="21"/>
                      <w:szCs w:val="21"/>
                    </w:rPr>
                  </w:pPr>
                  <w:r>
                    <w:rPr>
                      <w:rFonts w:hint="eastAsia"/>
                      <w:kern w:val="21"/>
                      <w:szCs w:val="21"/>
                    </w:rPr>
                    <w:t>六</w:t>
                  </w:r>
                </w:p>
              </w:tc>
              <w:tc>
                <w:tcPr>
                  <w:tcW w:w="1106" w:type="dxa"/>
                  <w:vAlign w:val="center"/>
                </w:tcPr>
                <w:p>
                  <w:pPr>
                    <w:tabs>
                      <w:tab w:val="left" w:pos="0"/>
                    </w:tabs>
                    <w:snapToGrid w:val="0"/>
                    <w:spacing w:line="240" w:lineRule="auto"/>
                    <w:jc w:val="center"/>
                    <w:rPr>
                      <w:rFonts w:hint="eastAsia"/>
                      <w:kern w:val="21"/>
                      <w:szCs w:val="21"/>
                    </w:rPr>
                  </w:pPr>
                  <w:r>
                    <w:rPr>
                      <w:rFonts w:hint="eastAsia"/>
                      <w:kern w:val="21"/>
                      <w:szCs w:val="21"/>
                    </w:rPr>
                    <w:t>整治改造</w:t>
                  </w:r>
                </w:p>
              </w:tc>
              <w:tc>
                <w:tcPr>
                  <w:tcW w:w="863" w:type="dxa"/>
                  <w:vAlign w:val="center"/>
                </w:tcPr>
                <w:p>
                  <w:pPr>
                    <w:tabs>
                      <w:tab w:val="left" w:pos="0"/>
                    </w:tabs>
                    <w:snapToGrid w:val="0"/>
                    <w:spacing w:line="240" w:lineRule="auto"/>
                    <w:jc w:val="center"/>
                    <w:rPr>
                      <w:rFonts w:hint="eastAsia"/>
                      <w:kern w:val="21"/>
                      <w:szCs w:val="21"/>
                    </w:rPr>
                  </w:pPr>
                  <w:r>
                    <w:rPr>
                      <w:rFonts w:hint="eastAsia"/>
                      <w:kern w:val="21"/>
                      <w:szCs w:val="21"/>
                    </w:rPr>
                    <w:t>80</w:t>
                  </w:r>
                </w:p>
              </w:tc>
              <w:tc>
                <w:tcPr>
                  <w:tcW w:w="2355" w:type="dxa"/>
                  <w:vAlign w:val="center"/>
                </w:tcPr>
                <w:p>
                  <w:pPr>
                    <w:tabs>
                      <w:tab w:val="left" w:pos="0"/>
                    </w:tabs>
                    <w:snapToGrid w:val="0"/>
                    <w:spacing w:line="240" w:lineRule="auto"/>
                    <w:rPr>
                      <w:kern w:val="21"/>
                      <w:szCs w:val="21"/>
                    </w:rPr>
                  </w:pPr>
                  <w:r>
                    <w:rPr>
                      <w:kern w:val="21"/>
                      <w:szCs w:val="21"/>
                    </w:rPr>
                    <w:t>风貌不协调和质量差的现代建筑，规划应进行整治改造</w:t>
                  </w:r>
                </w:p>
              </w:tc>
              <w:tc>
                <w:tcPr>
                  <w:tcW w:w="3837" w:type="dxa"/>
                  <w:vAlign w:val="center"/>
                </w:tcPr>
                <w:p>
                  <w:pPr>
                    <w:tabs>
                      <w:tab w:val="left" w:pos="0"/>
                    </w:tabs>
                    <w:snapToGrid w:val="0"/>
                    <w:spacing w:line="240" w:lineRule="auto"/>
                    <w:rPr>
                      <w:kern w:val="21"/>
                      <w:szCs w:val="21"/>
                    </w:rPr>
                  </w:pPr>
                  <w:r>
                    <w:rPr>
                      <w:kern w:val="21"/>
                      <w:szCs w:val="21"/>
                    </w:rPr>
                    <w:t>1）可采用立面整修、功能置换、细部装饰、环境整治等方法，使其符合历史风貌要求；</w:t>
                  </w:r>
                </w:p>
                <w:p>
                  <w:pPr>
                    <w:tabs>
                      <w:tab w:val="left" w:pos="0"/>
                    </w:tabs>
                    <w:snapToGrid w:val="0"/>
                    <w:spacing w:line="240" w:lineRule="auto"/>
                    <w:rPr>
                      <w:kern w:val="21"/>
                      <w:szCs w:val="21"/>
                    </w:rPr>
                  </w:pPr>
                  <w:r>
                    <w:rPr>
                      <w:kern w:val="21"/>
                      <w:szCs w:val="21"/>
                    </w:rPr>
                    <w:t>2）屋面尽量采用硬山双坡屋面，禁止使用石棉瓦与彩钢板；门窗、墙体可以采用新材料，但形式应与传统协调；</w:t>
                  </w:r>
                </w:p>
                <w:p>
                  <w:pPr>
                    <w:tabs>
                      <w:tab w:val="left" w:pos="0"/>
                    </w:tabs>
                    <w:snapToGrid w:val="0"/>
                    <w:spacing w:line="240" w:lineRule="auto"/>
                    <w:rPr>
                      <w:kern w:val="21"/>
                      <w:szCs w:val="21"/>
                    </w:rPr>
                  </w:pPr>
                  <w:r>
                    <w:rPr>
                      <w:kern w:val="21"/>
                      <w:szCs w:val="21"/>
                    </w:rPr>
                    <w:t>3）核心保护范围内、对街区整体风貌产生严重破坏的建筑，可考虑采用降低层数、适时拆除等措施</w:t>
                  </w:r>
                </w:p>
              </w:tc>
            </w:tr>
          </w:tbl>
          <w:p>
            <w:pPr>
              <w:tabs>
                <w:tab w:val="left" w:pos="0"/>
              </w:tabs>
              <w:spacing w:line="360" w:lineRule="auto"/>
              <w:ind w:firstLine="480" w:firstLineChars="200"/>
              <w:rPr>
                <w:rFonts w:hint="eastAsia"/>
                <w:kern w:val="21"/>
                <w:sz w:val="24"/>
              </w:rPr>
            </w:pPr>
            <w:r>
              <w:rPr>
                <w:rFonts w:hint="eastAsia"/>
                <w:kern w:val="21"/>
                <w:sz w:val="24"/>
              </w:rPr>
              <w:t>（1）古桥及古井保护</w:t>
            </w:r>
          </w:p>
          <w:p>
            <w:pPr>
              <w:tabs>
                <w:tab w:val="left" w:pos="0"/>
              </w:tabs>
              <w:spacing w:line="360" w:lineRule="auto"/>
              <w:ind w:firstLine="480" w:firstLineChars="200"/>
              <w:rPr>
                <w:kern w:val="21"/>
                <w:sz w:val="24"/>
              </w:rPr>
            </w:pPr>
            <w:r>
              <w:rPr>
                <w:kern w:val="21"/>
                <w:sz w:val="24"/>
              </w:rPr>
              <w:t>按照《</w:t>
            </w:r>
            <w:r>
              <w:rPr>
                <w:rFonts w:hint="eastAsia"/>
                <w:kern w:val="21"/>
                <w:sz w:val="24"/>
              </w:rPr>
              <w:t>中华人民共和国</w:t>
            </w:r>
            <w:r>
              <w:rPr>
                <w:kern w:val="21"/>
                <w:sz w:val="24"/>
              </w:rPr>
              <w:t>文物保护法》的基本保护原则，对孝义桥文物本体及其环境进行严格保护。对东乡仓古井、刘家井进行更深入研究，发掘历史文化内涵，与白塔庙古井一起列入保护名录，竖立保护标识。实施古井本体修缮工程，恢复文物原状。整治古井周边环境，使之成为社区活动与交往的公共空间。</w:t>
            </w:r>
          </w:p>
          <w:p>
            <w:pPr>
              <w:numPr>
                <w:ilvl w:val="0"/>
                <w:numId w:val="4"/>
              </w:numPr>
              <w:tabs>
                <w:tab w:val="left" w:pos="0"/>
              </w:tabs>
              <w:spacing w:line="360" w:lineRule="auto"/>
              <w:ind w:firstLine="480" w:firstLineChars="200"/>
              <w:rPr>
                <w:kern w:val="21"/>
                <w:sz w:val="24"/>
              </w:rPr>
            </w:pPr>
            <w:r>
              <w:rPr>
                <w:kern w:val="21"/>
                <w:sz w:val="24"/>
              </w:rPr>
              <w:t>植被保护</w:t>
            </w:r>
          </w:p>
        </w:tc>
      </w:tr>
    </w:tbl>
    <w:p>
      <w:pPr>
        <w:sectPr>
          <w:headerReference w:type="default" r:id="rId24"/>
          <w:footerReference w:type="even" r:id="rId25"/>
          <w:footerReference w:type="default" r:id="rId26"/>
          <w:headerReference w:type="first" r:id="rId27"/>
          <w:footerReference w:type="first" r:id="rId28"/>
          <w:type w:val="nextPage"/>
          <w:pgSz w:w="11907" w:h="16840"/>
          <w:pgMar w:top="1418" w:right="1418" w:bottom="1418" w:left="1418" w:header="851" w:footer="992" w:gutter="113"/>
          <w:pgNumType w:start="5"/>
          <w:cols w:space="708"/>
          <w:titlePg w:val="0"/>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6" w:space="0" w:color="auto"/>
              <w:bottom w:val="single" w:sz="12" w:space="0" w:color="auto"/>
            </w:tcBorders>
          </w:tcPr>
          <w:p>
            <w:pPr>
              <w:tabs>
                <w:tab w:val="left" w:pos="0"/>
              </w:tabs>
              <w:spacing w:line="360" w:lineRule="auto"/>
              <w:ind w:firstLine="480" w:firstLineChars="200"/>
              <w:rPr>
                <w:kern w:val="21"/>
                <w:sz w:val="24"/>
              </w:rPr>
            </w:pPr>
            <w:r>
              <w:rPr>
                <w:kern w:val="21"/>
                <w:sz w:val="24"/>
              </w:rPr>
              <w:t>保护街区内原有大树及其他具有地方特色的植被。对具有特殊保护价值的古树名木，应按相关程序登录并挂牌保护，划定保护范围，实施日常养护。严格保护现状大乔木（胸径30cm以上），应予原址保留。</w:t>
            </w:r>
          </w:p>
          <w:p>
            <w:pPr>
              <w:tabs>
                <w:tab w:val="left" w:pos="0"/>
              </w:tabs>
              <w:spacing w:line="360" w:lineRule="auto"/>
              <w:ind w:firstLine="480" w:firstLineChars="200"/>
              <w:rPr>
                <w:kern w:val="21"/>
                <w:sz w:val="24"/>
              </w:rPr>
            </w:pPr>
            <w:r>
              <w:rPr>
                <w:kern w:val="21"/>
                <w:sz w:val="24"/>
              </w:rPr>
              <w:t>新建附属（公共）绿地的树种应少用外域树种，并尽量选择适宜本地气候与土壤的 风景园林植物特色。绿化用植物应从《抚州市木本植物名录》中选取。</w:t>
            </w:r>
          </w:p>
          <w:p>
            <w:pPr>
              <w:tabs>
                <w:tab w:val="left" w:pos="0"/>
              </w:tabs>
              <w:spacing w:line="360" w:lineRule="auto"/>
              <w:ind w:firstLine="480" w:firstLineChars="200"/>
              <w:rPr>
                <w:kern w:val="21"/>
                <w:sz w:val="24"/>
              </w:rPr>
            </w:pPr>
            <w:r>
              <w:rPr>
                <w:kern w:val="21"/>
                <w:sz w:val="24"/>
              </w:rPr>
              <w:t>重要历史地段的绿植选择，应与该地段文化内涵相适应。</w:t>
            </w:r>
          </w:p>
          <w:p>
            <w:pPr>
              <w:tabs>
                <w:tab w:val="left" w:pos="0"/>
              </w:tabs>
              <w:spacing w:line="360" w:lineRule="auto"/>
              <w:ind w:firstLine="480" w:firstLineChars="200"/>
              <w:rPr>
                <w:b/>
                <w:kern w:val="21"/>
                <w:sz w:val="24"/>
              </w:rPr>
            </w:pPr>
            <w:bookmarkStart w:id="0" w:name="_Toc245094928"/>
            <w:r>
              <w:rPr>
                <w:b/>
                <w:kern w:val="21"/>
                <w:sz w:val="24"/>
              </w:rPr>
              <w:t>（1）绿化</w:t>
            </w:r>
            <w:bookmarkEnd w:id="0"/>
            <w:r>
              <w:rPr>
                <w:b/>
                <w:kern w:val="21"/>
                <w:sz w:val="24"/>
              </w:rPr>
              <w:t>工程</w:t>
            </w:r>
          </w:p>
          <w:p>
            <w:pPr>
              <w:tabs>
                <w:tab w:val="left" w:pos="0"/>
              </w:tabs>
              <w:spacing w:line="360" w:lineRule="auto"/>
              <w:ind w:firstLine="480" w:firstLineChars="200"/>
              <w:rPr>
                <w:kern w:val="21"/>
                <w:sz w:val="24"/>
              </w:rPr>
            </w:pPr>
            <w:r>
              <w:rPr>
                <w:kern w:val="21"/>
                <w:sz w:val="24"/>
              </w:rPr>
              <w:t>在植物配植上，充分考虑该地土壤特点、植物四季季相更替和色彩搭配，以使在不同的季节形成不同的景致，四季常绿，三季花开，同时形成稳定、自然的生态植物群落。</w:t>
            </w:r>
          </w:p>
          <w:p>
            <w:pPr>
              <w:tabs>
                <w:tab w:val="left" w:pos="0"/>
              </w:tabs>
              <w:spacing w:line="360" w:lineRule="auto"/>
              <w:ind w:firstLine="480" w:firstLineChars="200"/>
              <w:rPr>
                <w:kern w:val="21"/>
                <w:sz w:val="24"/>
              </w:rPr>
            </w:pPr>
            <w:r>
              <w:rPr>
                <w:rFonts w:hint="eastAsia"/>
                <w:kern w:val="21"/>
                <w:sz w:val="24"/>
              </w:rPr>
              <w:t>人行</w:t>
            </w:r>
            <w:r>
              <w:rPr>
                <w:kern w:val="21"/>
                <w:sz w:val="24"/>
              </w:rPr>
              <w:t>道路两侧结合原有道路绿化建设，以梳理景观植物为主，增加水杉、香樟等乔木，丰富天际线。</w:t>
            </w:r>
          </w:p>
          <w:p>
            <w:pPr>
              <w:tabs>
                <w:tab w:val="left" w:pos="0"/>
              </w:tabs>
              <w:spacing w:line="360" w:lineRule="auto"/>
              <w:ind w:firstLine="480" w:firstLineChars="200"/>
              <w:rPr>
                <w:kern w:val="21"/>
                <w:sz w:val="24"/>
              </w:rPr>
            </w:pPr>
            <w:r>
              <w:rPr>
                <w:kern w:val="21"/>
                <w:sz w:val="24"/>
              </w:rPr>
              <w:t>新增加绿化树种乔木：香樟、水杉、垂柳、桂花等。</w:t>
            </w:r>
          </w:p>
          <w:p>
            <w:pPr>
              <w:tabs>
                <w:tab w:val="left" w:pos="0"/>
              </w:tabs>
              <w:spacing w:line="360" w:lineRule="auto"/>
              <w:ind w:firstLine="480" w:firstLineChars="200"/>
              <w:rPr>
                <w:kern w:val="21"/>
                <w:sz w:val="24"/>
              </w:rPr>
            </w:pPr>
            <w:r>
              <w:rPr>
                <w:kern w:val="21"/>
                <w:sz w:val="24"/>
              </w:rPr>
              <w:t>花灌木：桃花、樱花、木芙蓉、夹竹桃、紫薇等。</w:t>
            </w:r>
          </w:p>
          <w:p>
            <w:pPr>
              <w:tabs>
                <w:tab w:val="left" w:pos="0"/>
              </w:tabs>
              <w:spacing w:line="360" w:lineRule="auto"/>
              <w:ind w:firstLine="480" w:firstLineChars="200"/>
              <w:rPr>
                <w:kern w:val="21"/>
                <w:sz w:val="24"/>
              </w:rPr>
            </w:pPr>
            <w:r>
              <w:rPr>
                <w:kern w:val="21"/>
                <w:sz w:val="24"/>
              </w:rPr>
              <w:t>植物：红叶石楠、金叶女贞、麦冬、吉祥草等。</w:t>
            </w:r>
          </w:p>
          <w:p>
            <w:pPr>
              <w:tabs>
                <w:tab w:val="left" w:pos="0"/>
              </w:tabs>
              <w:spacing w:line="360" w:lineRule="auto"/>
              <w:ind w:firstLine="480" w:firstLineChars="200"/>
              <w:rPr>
                <w:kern w:val="21"/>
                <w:sz w:val="24"/>
              </w:rPr>
            </w:pPr>
            <w:r>
              <w:rPr>
                <w:kern w:val="21"/>
                <w:sz w:val="24"/>
              </w:rPr>
              <w:t>对于其余部分的绿化，考虑尽量以增加种植大苗木为主，与现状的绿地做好顺接；对生态湿地区域绿化既要考虑耐水湿又要考虑丰富的植物景观效果。</w:t>
            </w:r>
          </w:p>
          <w:p>
            <w:pPr>
              <w:tabs>
                <w:tab w:val="left" w:pos="0"/>
              </w:tabs>
              <w:spacing w:line="360" w:lineRule="auto"/>
              <w:ind w:firstLine="480" w:firstLineChars="200"/>
              <w:rPr>
                <w:kern w:val="21"/>
                <w:sz w:val="24"/>
              </w:rPr>
            </w:pPr>
            <w:r>
              <w:rPr>
                <w:kern w:val="21"/>
                <w:sz w:val="24"/>
              </w:rPr>
              <w:t>对于临近道路侧的绿化带，种植方式以自然式为主，强调乔灌草结合，强调植物群落景观，季相变化。并且注意与各个景观节点主题的结合，通过选取不同的主干树种，形成不同的景观风貌。</w:t>
            </w:r>
          </w:p>
          <w:p>
            <w:pPr>
              <w:tabs>
                <w:tab w:val="left" w:pos="0"/>
              </w:tabs>
              <w:spacing w:line="360" w:lineRule="auto"/>
              <w:ind w:firstLine="480" w:firstLineChars="200"/>
              <w:rPr>
                <w:b/>
                <w:kern w:val="21"/>
                <w:sz w:val="24"/>
              </w:rPr>
            </w:pPr>
            <w:r>
              <w:rPr>
                <w:b/>
                <w:kern w:val="21"/>
                <w:sz w:val="24"/>
              </w:rPr>
              <w:t>（2）其他公共配套设施</w:t>
            </w:r>
          </w:p>
          <w:p>
            <w:pPr>
              <w:tabs>
                <w:tab w:val="left" w:pos="0"/>
              </w:tabs>
              <w:spacing w:line="360" w:lineRule="auto"/>
              <w:ind w:firstLine="480" w:firstLineChars="200"/>
              <w:rPr>
                <w:kern w:val="21"/>
                <w:sz w:val="24"/>
              </w:rPr>
            </w:pPr>
            <w:r>
              <w:rPr>
                <w:kern w:val="21"/>
                <w:sz w:val="24"/>
              </w:rPr>
              <w:fldChar w:fldCharType="begin"/>
            </w:r>
            <w:r>
              <w:rPr>
                <w:kern w:val="21"/>
                <w:sz w:val="24"/>
              </w:rPr>
              <w:instrText xml:space="preserve"> = 1 \* GB3 </w:instrText>
            </w:r>
            <w:r>
              <w:rPr>
                <w:kern w:val="21"/>
                <w:sz w:val="24"/>
              </w:rPr>
              <w:fldChar w:fldCharType="separate"/>
            </w:r>
            <w:r>
              <w:rPr>
                <w:rFonts w:ascii="宋体" w:hAnsi="宋体" w:cs="宋体" w:hint="eastAsia"/>
                <w:kern w:val="21"/>
                <w:sz w:val="24"/>
              </w:rPr>
              <w:t>①</w:t>
            </w:r>
            <w:r>
              <w:rPr>
                <w:kern w:val="21"/>
                <w:sz w:val="24"/>
              </w:rPr>
              <w:fldChar w:fldCharType="end"/>
            </w:r>
            <w:r>
              <w:rPr>
                <w:kern w:val="21"/>
                <w:sz w:val="24"/>
              </w:rPr>
              <w:t>照明设计：通过设计统一灯具风格、统一间距、统一照度，从而丰富夜景。</w:t>
            </w:r>
          </w:p>
          <w:p>
            <w:pPr>
              <w:tabs>
                <w:tab w:val="left" w:pos="0"/>
              </w:tabs>
              <w:spacing w:line="360" w:lineRule="auto"/>
              <w:ind w:firstLine="480" w:firstLineChars="200"/>
              <w:rPr>
                <w:kern w:val="21"/>
                <w:sz w:val="24"/>
              </w:rPr>
            </w:pPr>
            <w:r>
              <w:rPr>
                <w:kern w:val="21"/>
                <w:sz w:val="24"/>
              </w:rPr>
              <w:fldChar w:fldCharType="begin"/>
            </w:r>
            <w:r>
              <w:rPr>
                <w:kern w:val="21"/>
                <w:sz w:val="24"/>
              </w:rPr>
              <w:instrText xml:space="preserve"> = 2 \* GB3 </w:instrText>
            </w:r>
            <w:r>
              <w:rPr>
                <w:kern w:val="21"/>
                <w:sz w:val="24"/>
              </w:rPr>
              <w:fldChar w:fldCharType="separate"/>
            </w:r>
            <w:r>
              <w:rPr>
                <w:rFonts w:ascii="宋体" w:hAnsi="宋体" w:cs="宋体" w:hint="eastAsia"/>
                <w:kern w:val="21"/>
                <w:sz w:val="24"/>
              </w:rPr>
              <w:t>②</w:t>
            </w:r>
            <w:r>
              <w:rPr>
                <w:kern w:val="21"/>
                <w:sz w:val="24"/>
              </w:rPr>
              <w:fldChar w:fldCharType="end"/>
            </w:r>
            <w:r>
              <w:rPr>
                <w:kern w:val="21"/>
                <w:sz w:val="24"/>
              </w:rPr>
              <w:t>城市家具设计：果壳箱、指示牌、坐凳等城市必不可少的公用设施，被人们称为城市的“家具”。</w:t>
            </w:r>
          </w:p>
          <w:p>
            <w:pPr>
              <w:tabs>
                <w:tab w:val="left" w:pos="0"/>
              </w:tabs>
              <w:spacing w:line="360" w:lineRule="auto"/>
              <w:ind w:firstLine="480" w:firstLineChars="200"/>
              <w:rPr>
                <w:kern w:val="21"/>
                <w:sz w:val="24"/>
              </w:rPr>
            </w:pPr>
            <w:r>
              <w:rPr>
                <w:kern w:val="21"/>
                <w:sz w:val="24"/>
              </w:rPr>
              <w:t>A果壳箱、指示牌：果壳箱设置间距为50m/只；指示牌在游线转折点处设置。</w:t>
            </w:r>
          </w:p>
          <w:p>
            <w:pPr>
              <w:tabs>
                <w:tab w:val="left" w:pos="0"/>
              </w:tabs>
              <w:spacing w:line="360" w:lineRule="auto"/>
              <w:ind w:firstLine="480" w:firstLineChars="200"/>
              <w:rPr>
                <w:kern w:val="21"/>
                <w:sz w:val="24"/>
              </w:rPr>
            </w:pPr>
            <w:r>
              <w:rPr>
                <w:kern w:val="21"/>
                <w:sz w:val="24"/>
              </w:rPr>
              <w:t>B坐凳：在人流量较大区域设置，供行人休憩。设计符合生态、环保理念。</w:t>
            </w:r>
          </w:p>
          <w:p>
            <w:pPr>
              <w:tabs>
                <w:tab w:val="left" w:pos="0"/>
              </w:tabs>
              <w:spacing w:line="360" w:lineRule="auto"/>
              <w:ind w:firstLine="480" w:firstLineChars="200"/>
              <w:rPr>
                <w:kern w:val="21"/>
                <w:sz w:val="24"/>
              </w:rPr>
            </w:pPr>
            <w:r>
              <w:rPr>
                <w:kern w:val="21"/>
                <w:sz w:val="24"/>
              </w:rPr>
              <w:fldChar w:fldCharType="begin"/>
            </w:r>
            <w:r>
              <w:rPr>
                <w:kern w:val="21"/>
                <w:sz w:val="24"/>
              </w:rPr>
              <w:instrText xml:space="preserve"> = 3 \* GB3 </w:instrText>
            </w:r>
            <w:r>
              <w:rPr>
                <w:kern w:val="21"/>
                <w:sz w:val="24"/>
              </w:rPr>
              <w:fldChar w:fldCharType="separate"/>
            </w:r>
            <w:r>
              <w:rPr>
                <w:rFonts w:ascii="宋体" w:hAnsi="宋体" w:cs="宋体" w:hint="eastAsia"/>
                <w:kern w:val="21"/>
                <w:sz w:val="24"/>
              </w:rPr>
              <w:t>③</w:t>
            </w:r>
            <w:r>
              <w:rPr>
                <w:kern w:val="21"/>
                <w:sz w:val="24"/>
              </w:rPr>
              <w:fldChar w:fldCharType="end"/>
            </w:r>
            <w:r>
              <w:rPr>
                <w:kern w:val="21"/>
                <w:sz w:val="24"/>
              </w:rPr>
              <w:t>完善停车配套设施：建设公共停车位及立体式公共人行通道。</w:t>
            </w:r>
          </w:p>
          <w:p>
            <w:pPr>
              <w:tabs>
                <w:tab w:val="left" w:pos="0"/>
              </w:tabs>
              <w:spacing w:line="360" w:lineRule="auto"/>
              <w:ind w:firstLine="480" w:firstLineChars="200"/>
              <w:rPr>
                <w:kern w:val="21"/>
                <w:sz w:val="24"/>
              </w:rPr>
            </w:pPr>
            <w:r>
              <w:rPr>
                <w:kern w:val="21"/>
                <w:sz w:val="24"/>
              </w:rPr>
              <w:fldChar w:fldCharType="begin"/>
            </w:r>
            <w:r>
              <w:rPr>
                <w:kern w:val="21"/>
                <w:sz w:val="24"/>
              </w:rPr>
              <w:instrText xml:space="preserve"> = 4 \* GB3 </w:instrText>
            </w:r>
            <w:r>
              <w:rPr>
                <w:kern w:val="21"/>
                <w:sz w:val="24"/>
              </w:rPr>
              <w:fldChar w:fldCharType="separate"/>
            </w:r>
            <w:r>
              <w:rPr>
                <w:rFonts w:ascii="宋体" w:hAnsi="宋体" w:cs="宋体" w:hint="eastAsia"/>
                <w:kern w:val="21"/>
                <w:sz w:val="24"/>
              </w:rPr>
              <w:t>④</w:t>
            </w:r>
            <w:r>
              <w:rPr>
                <w:kern w:val="21"/>
                <w:sz w:val="24"/>
              </w:rPr>
              <w:fldChar w:fldCharType="end"/>
            </w:r>
            <w:r>
              <w:rPr>
                <w:kern w:val="21"/>
                <w:sz w:val="24"/>
              </w:rPr>
              <w:t>无障碍设计：本着以人为本的原则，体现全社会对残疾人的关爱，按照《城市道路和建筑物无障碍设计规范》的要求，设计完备的无障碍设施。</w:t>
            </w:r>
          </w:p>
        </w:tc>
      </w:tr>
    </w:tbl>
    <w:p>
      <w:pPr>
        <w:sectPr>
          <w:headerReference w:type="default" r:id="rId29"/>
          <w:footerReference w:type="even" r:id="rId30"/>
          <w:footerReference w:type="default" r:id="rId31"/>
          <w:headerReference w:type="first" r:id="rId32"/>
          <w:footerReference w:type="first" r:id="rId33"/>
          <w:type w:val="nextPage"/>
          <w:pgSz w:w="11907" w:h="16840"/>
          <w:pgMar w:top="1418" w:right="1418" w:bottom="1418" w:left="1418" w:header="851" w:footer="992" w:gutter="113"/>
          <w:pgNumType w:start="6"/>
          <w:cols w:space="708"/>
          <w:titlePg w:val="0"/>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6" w:space="0" w:color="auto"/>
              <w:bottom w:val="single" w:sz="12" w:space="0" w:color="auto"/>
            </w:tcBorders>
          </w:tcPr>
          <w:p>
            <w:pPr>
              <w:tabs>
                <w:tab w:val="left" w:pos="0"/>
              </w:tabs>
              <w:spacing w:line="360" w:lineRule="auto"/>
              <w:ind w:firstLine="480" w:firstLineChars="200"/>
              <w:rPr>
                <w:b/>
                <w:bCs/>
                <w:kern w:val="21"/>
                <w:sz w:val="24"/>
              </w:rPr>
            </w:pPr>
            <w:r>
              <w:rPr>
                <w:b/>
                <w:bCs/>
                <w:kern w:val="21"/>
                <w:sz w:val="24"/>
              </w:rPr>
              <w:t>（3）工程总体布置</w:t>
            </w:r>
          </w:p>
          <w:p>
            <w:pPr>
              <w:tabs>
                <w:tab w:val="left" w:pos="0"/>
              </w:tabs>
              <w:spacing w:line="360" w:lineRule="auto"/>
              <w:ind w:firstLine="480" w:firstLineChars="200"/>
              <w:rPr>
                <w:kern w:val="21"/>
                <w:sz w:val="24"/>
              </w:rPr>
            </w:pPr>
            <w:r>
              <w:rPr>
                <w:kern w:val="21"/>
                <w:sz w:val="24"/>
              </w:rPr>
              <w:t>项目分为二大功能区，根据场地情况及现场可利用的设施，由</w:t>
            </w:r>
            <w:r>
              <w:rPr>
                <w:rFonts w:hint="eastAsia"/>
                <w:kern w:val="21"/>
                <w:sz w:val="24"/>
              </w:rPr>
              <w:t>南</w:t>
            </w:r>
            <w:r>
              <w:rPr>
                <w:kern w:val="21"/>
                <w:sz w:val="24"/>
              </w:rPr>
              <w:t>向</w:t>
            </w:r>
            <w:r>
              <w:rPr>
                <w:rFonts w:hint="eastAsia"/>
                <w:kern w:val="21"/>
                <w:sz w:val="24"/>
              </w:rPr>
              <w:t>北</w:t>
            </w:r>
            <w:r>
              <w:rPr>
                <w:kern w:val="21"/>
                <w:sz w:val="24"/>
              </w:rPr>
              <w:t>依次布置文化游园演艺区、配套服务功能区。各个功能区具体布置如下：</w:t>
            </w:r>
          </w:p>
          <w:p>
            <w:pPr>
              <w:tabs>
                <w:tab w:val="left" w:pos="0"/>
              </w:tabs>
              <w:spacing w:line="360" w:lineRule="auto"/>
              <w:ind w:firstLine="480" w:firstLineChars="200"/>
              <w:rPr>
                <w:rFonts w:hint="eastAsia"/>
                <w:kern w:val="21"/>
                <w:sz w:val="24"/>
              </w:rPr>
            </w:pPr>
            <w:r>
              <w:rPr>
                <w:kern w:val="21"/>
                <w:sz w:val="24"/>
              </w:rPr>
              <w:t>①文化游园演艺区</w:t>
            </w:r>
            <w:r>
              <w:rPr>
                <w:rFonts w:hint="eastAsia"/>
                <w:kern w:val="21"/>
                <w:sz w:val="24"/>
              </w:rPr>
              <w:t>：位于项目南侧地块，主要由第一幕观演区、第二幕观演区、第三幕观演区、水面演出区、园区服务区、集散广场出口组成，其中第一幕观演区建筑面积5533m</w:t>
            </w:r>
            <w:r>
              <w:rPr>
                <w:rFonts w:hint="eastAsia"/>
                <w:kern w:val="21"/>
                <w:sz w:val="24"/>
                <w:vertAlign w:val="superscript"/>
              </w:rPr>
              <w:t>2</w:t>
            </w:r>
            <w:r>
              <w:rPr>
                <w:rFonts w:hint="eastAsia"/>
                <w:kern w:val="21"/>
                <w:sz w:val="24"/>
              </w:rPr>
              <w:t>，第二幕观演区建筑面积14020m</w:t>
            </w:r>
            <w:r>
              <w:rPr>
                <w:rFonts w:hint="eastAsia"/>
                <w:kern w:val="21"/>
                <w:sz w:val="24"/>
                <w:vertAlign w:val="superscript"/>
              </w:rPr>
              <w:t>2</w:t>
            </w:r>
            <w:r>
              <w:rPr>
                <w:rFonts w:hint="eastAsia"/>
                <w:kern w:val="21"/>
                <w:sz w:val="24"/>
              </w:rPr>
              <w:t>，第三幕观演区建筑面积38147m</w:t>
            </w:r>
            <w:r>
              <w:rPr>
                <w:rFonts w:hint="eastAsia"/>
                <w:kern w:val="21"/>
                <w:sz w:val="24"/>
                <w:vertAlign w:val="superscript"/>
              </w:rPr>
              <w:t>2</w:t>
            </w:r>
            <w:r>
              <w:rPr>
                <w:rFonts w:hint="eastAsia"/>
                <w:kern w:val="21"/>
                <w:sz w:val="24"/>
              </w:rPr>
              <w:t>，水面演出区面积37000m</w:t>
            </w:r>
            <w:r>
              <w:rPr>
                <w:rFonts w:hint="eastAsia"/>
                <w:kern w:val="21"/>
                <w:sz w:val="24"/>
                <w:vertAlign w:val="superscript"/>
              </w:rPr>
              <w:t>2</w:t>
            </w:r>
            <w:r>
              <w:rPr>
                <w:rFonts w:hint="eastAsia"/>
                <w:kern w:val="21"/>
                <w:sz w:val="24"/>
              </w:rPr>
              <w:t>，园区服务区3250m</w:t>
            </w:r>
            <w:r>
              <w:rPr>
                <w:rFonts w:hint="eastAsia"/>
                <w:kern w:val="21"/>
                <w:sz w:val="24"/>
                <w:vertAlign w:val="superscript"/>
              </w:rPr>
              <w:t>2</w:t>
            </w:r>
            <w:r>
              <w:rPr>
                <w:rFonts w:hint="eastAsia"/>
                <w:kern w:val="21"/>
                <w:sz w:val="24"/>
              </w:rPr>
              <w:t>，集散广场4650m</w:t>
            </w:r>
            <w:r>
              <w:rPr>
                <w:rFonts w:hint="eastAsia"/>
                <w:kern w:val="21"/>
                <w:sz w:val="24"/>
                <w:vertAlign w:val="superscript"/>
              </w:rPr>
              <w:t>2</w:t>
            </w:r>
            <w:r>
              <w:rPr>
                <w:rFonts w:hint="eastAsia"/>
                <w:kern w:val="21"/>
                <w:sz w:val="24"/>
              </w:rPr>
              <w:t>等。</w:t>
            </w:r>
          </w:p>
          <w:p>
            <w:pPr>
              <w:tabs>
                <w:tab w:val="left" w:pos="0"/>
              </w:tabs>
              <w:spacing w:line="360" w:lineRule="auto"/>
              <w:ind w:firstLine="480" w:firstLineChars="200"/>
              <w:rPr>
                <w:rFonts w:hint="eastAsia"/>
                <w:kern w:val="21"/>
                <w:sz w:val="24"/>
              </w:rPr>
            </w:pPr>
            <w:r>
              <w:rPr>
                <w:rFonts w:hint="eastAsia"/>
                <w:kern w:val="21"/>
                <w:sz w:val="24"/>
              </w:rPr>
              <w:t>项目各观演区白天游园时又可作为游客小憩观岛的最佳位置。梅林作为幽媾的过度，使观众转换心态，从开敞空间进入一个幽静美丽的自然环境。服务区提供卫生间、茶室等功能。</w:t>
            </w:r>
          </w:p>
          <w:p>
            <w:pPr>
              <w:tabs>
                <w:tab w:val="left" w:pos="0"/>
              </w:tabs>
              <w:spacing w:line="360" w:lineRule="auto"/>
              <w:ind w:firstLine="480" w:firstLineChars="200"/>
              <w:rPr>
                <w:rFonts w:hint="eastAsia"/>
                <w:kern w:val="21"/>
                <w:sz w:val="24"/>
              </w:rPr>
            </w:pPr>
            <w:r>
              <w:rPr>
                <w:rFonts w:hint="eastAsia"/>
                <w:kern w:val="21"/>
                <w:sz w:val="24"/>
              </w:rPr>
              <w:t></w:t>
            </w:r>
            <w:r>
              <w:rPr>
                <w:kern w:val="21"/>
                <w:sz w:val="24"/>
              </w:rPr>
              <w:t>②配套服务功能区</w:t>
            </w:r>
            <w:r>
              <w:rPr>
                <w:rFonts w:hint="eastAsia"/>
                <w:kern w:val="21"/>
                <w:sz w:val="24"/>
              </w:rPr>
              <w:t>：位于项目北侧，主要由停车区、办公园区及游客服务区、配套活动区组成。其中停车场建筑面积13600m</w:t>
            </w:r>
            <w:r>
              <w:rPr>
                <w:rFonts w:hint="eastAsia"/>
                <w:kern w:val="21"/>
                <w:sz w:val="24"/>
                <w:vertAlign w:val="superscript"/>
              </w:rPr>
              <w:t>2</w:t>
            </w:r>
            <w:r>
              <w:rPr>
                <w:rFonts w:hint="eastAsia"/>
                <w:kern w:val="21"/>
                <w:sz w:val="24"/>
              </w:rPr>
              <w:t>，办公园区及游客服务区建筑面积34260m</w:t>
            </w:r>
            <w:r>
              <w:rPr>
                <w:rFonts w:hint="eastAsia"/>
                <w:kern w:val="21"/>
                <w:sz w:val="24"/>
                <w:vertAlign w:val="superscript"/>
              </w:rPr>
              <w:t>2</w:t>
            </w:r>
            <w:r>
              <w:rPr>
                <w:rFonts w:hint="eastAsia"/>
                <w:kern w:val="21"/>
                <w:sz w:val="24"/>
              </w:rPr>
              <w:t>，配套活动区建筑面积5000m</w:t>
            </w:r>
            <w:r>
              <w:rPr>
                <w:rFonts w:hint="eastAsia"/>
                <w:kern w:val="21"/>
                <w:sz w:val="24"/>
                <w:vertAlign w:val="superscript"/>
              </w:rPr>
              <w:t>2</w:t>
            </w:r>
            <w:r>
              <w:rPr>
                <w:rFonts w:hint="eastAsia"/>
                <w:kern w:val="21"/>
                <w:sz w:val="24"/>
              </w:rPr>
              <w:t>。</w:t>
            </w:r>
          </w:p>
          <w:p>
            <w:pPr>
              <w:tabs>
                <w:tab w:val="left" w:pos="0"/>
              </w:tabs>
              <w:spacing w:line="360" w:lineRule="auto"/>
              <w:ind w:firstLine="480" w:firstLineChars="200"/>
              <w:rPr>
                <w:kern w:val="21"/>
                <w:sz w:val="24"/>
              </w:rPr>
            </w:pPr>
            <w:r>
              <w:rPr>
                <w:kern w:val="21"/>
                <w:sz w:val="24"/>
              </w:rPr>
              <w:t>停车区位于场地西</w:t>
            </w:r>
            <w:r>
              <w:rPr>
                <w:rFonts w:hint="eastAsia"/>
                <w:kern w:val="21"/>
                <w:sz w:val="24"/>
              </w:rPr>
              <w:t>北</w:t>
            </w:r>
            <w:r>
              <w:rPr>
                <w:kern w:val="21"/>
                <w:sz w:val="24"/>
              </w:rPr>
              <w:t>部，共设置停车位</w:t>
            </w:r>
            <w:r>
              <w:rPr>
                <w:rFonts w:hint="eastAsia"/>
                <w:kern w:val="21"/>
                <w:sz w:val="24"/>
              </w:rPr>
              <w:t>544</w:t>
            </w:r>
            <w:r>
              <w:rPr>
                <w:kern w:val="21"/>
                <w:sz w:val="24"/>
              </w:rPr>
              <w:t>个，能基本满足游客停车需求。</w:t>
            </w:r>
            <w:r>
              <w:rPr>
                <w:rFonts w:hint="eastAsia"/>
                <w:kern w:val="21"/>
                <w:sz w:val="24"/>
              </w:rPr>
              <w:t>办公园区及游客服务区包括游客集散中心、演出职工排练生活配套用房、运营公司业务用房等，</w:t>
            </w:r>
            <w:r>
              <w:rPr>
                <w:kern w:val="21"/>
                <w:sz w:val="24"/>
              </w:rPr>
              <w:t>项目建筑风格采用坡屋顶形式，色彩以灰黑色为主，建筑风格宜与周边环境协调。</w:t>
            </w:r>
            <w:r>
              <w:rPr>
                <w:rFonts w:hint="eastAsia"/>
                <w:kern w:val="21"/>
                <w:sz w:val="24"/>
              </w:rPr>
              <w:t>活动区主要为篮球场地，为职工及游客等提供休闲运动场地。</w:t>
            </w:r>
          </w:p>
          <w:p>
            <w:pPr>
              <w:tabs>
                <w:tab w:val="left" w:pos="0"/>
              </w:tabs>
              <w:spacing w:line="360" w:lineRule="auto"/>
              <w:ind w:firstLine="470" w:firstLineChars="196"/>
              <w:rPr>
                <w:b/>
                <w:sz w:val="24"/>
              </w:rPr>
            </w:pPr>
            <w:r>
              <w:rPr>
                <w:b/>
                <w:sz w:val="24"/>
              </w:rPr>
              <w:t>五、公用工程情况</w:t>
            </w:r>
          </w:p>
          <w:p>
            <w:pPr>
              <w:spacing w:line="360" w:lineRule="auto"/>
              <w:ind w:firstLine="480" w:firstLineChars="200"/>
              <w:rPr>
                <w:b/>
                <w:sz w:val="24"/>
              </w:rPr>
            </w:pPr>
            <w:r>
              <w:rPr>
                <w:b/>
                <w:sz w:val="24"/>
              </w:rPr>
              <w:t>1、供电系统</w:t>
            </w:r>
          </w:p>
          <w:p>
            <w:pPr>
              <w:tabs>
                <w:tab w:val="left" w:pos="0"/>
              </w:tabs>
              <w:spacing w:line="360" w:lineRule="auto"/>
              <w:ind w:firstLine="480" w:firstLineChars="200"/>
              <w:rPr>
                <w:kern w:val="21"/>
                <w:sz w:val="24"/>
              </w:rPr>
            </w:pPr>
            <w:r>
              <w:rPr>
                <w:kern w:val="21"/>
                <w:sz w:val="24"/>
              </w:rPr>
              <w:t>项目地处</w:t>
            </w:r>
            <w:r>
              <w:rPr>
                <w:rFonts w:hint="eastAsia"/>
                <w:kern w:val="21"/>
                <w:sz w:val="24"/>
              </w:rPr>
              <w:t>抚州市</w:t>
            </w:r>
            <w:r>
              <w:rPr>
                <w:kern w:val="21"/>
                <w:sz w:val="24"/>
              </w:rPr>
              <w:t>建成区，市政配套设施完善。建设过程和建成后所需的电力和通讯，可就近引自相应的供电网和通讯网。</w:t>
            </w:r>
          </w:p>
          <w:p>
            <w:pPr>
              <w:tabs>
                <w:tab w:val="left" w:pos="0"/>
              </w:tabs>
              <w:spacing w:line="360" w:lineRule="auto"/>
              <w:ind w:firstLine="480" w:firstLineChars="200"/>
              <w:rPr>
                <w:b/>
                <w:kern w:val="21"/>
                <w:sz w:val="24"/>
              </w:rPr>
            </w:pPr>
            <w:r>
              <w:rPr>
                <w:b/>
                <w:kern w:val="21"/>
                <w:sz w:val="24"/>
              </w:rPr>
              <w:t>2、供水系统</w:t>
            </w:r>
          </w:p>
          <w:p>
            <w:pPr>
              <w:tabs>
                <w:tab w:val="left" w:pos="0"/>
              </w:tabs>
              <w:spacing w:line="360" w:lineRule="auto"/>
              <w:ind w:firstLine="480" w:firstLineChars="200"/>
              <w:rPr>
                <w:kern w:val="21"/>
                <w:sz w:val="24"/>
              </w:rPr>
            </w:pPr>
            <w:r>
              <w:rPr>
                <w:kern w:val="21"/>
                <w:sz w:val="24"/>
              </w:rPr>
              <w:t>由市政自来水管网供给。</w:t>
            </w:r>
          </w:p>
          <w:p>
            <w:pPr>
              <w:tabs>
                <w:tab w:val="left" w:pos="0"/>
              </w:tabs>
              <w:spacing w:line="360" w:lineRule="auto"/>
              <w:ind w:firstLine="480" w:firstLineChars="200"/>
              <w:rPr>
                <w:b/>
                <w:kern w:val="21"/>
                <w:sz w:val="24"/>
              </w:rPr>
            </w:pPr>
            <w:r>
              <w:rPr>
                <w:b/>
                <w:kern w:val="21"/>
                <w:sz w:val="24"/>
              </w:rPr>
              <w:t>3、绿化管理</w:t>
            </w:r>
          </w:p>
          <w:p>
            <w:pPr>
              <w:tabs>
                <w:tab w:val="left" w:pos="0"/>
              </w:tabs>
              <w:spacing w:line="360" w:lineRule="auto"/>
              <w:ind w:firstLine="480" w:firstLineChars="200"/>
              <w:rPr>
                <w:kern w:val="21"/>
                <w:sz w:val="24"/>
              </w:rPr>
            </w:pPr>
            <w:r>
              <w:rPr>
                <w:kern w:val="21"/>
                <w:sz w:val="24"/>
              </w:rPr>
              <w:t>由</w:t>
            </w:r>
            <w:r>
              <w:rPr>
                <w:rFonts w:hint="eastAsia"/>
                <w:kern w:val="21"/>
                <w:sz w:val="24"/>
              </w:rPr>
              <w:t>抚州市</w:t>
            </w:r>
            <w:r>
              <w:rPr>
                <w:kern w:val="21"/>
                <w:sz w:val="24"/>
              </w:rPr>
              <w:t>市政园林管理部门对园内的植被等统一进行日常的管理和维护。</w:t>
            </w:r>
          </w:p>
          <w:p>
            <w:pPr>
              <w:tabs>
                <w:tab w:val="left" w:pos="0"/>
              </w:tabs>
              <w:spacing w:line="360" w:lineRule="auto"/>
              <w:ind w:firstLine="480" w:firstLineChars="200"/>
              <w:rPr>
                <w:b/>
                <w:sz w:val="24"/>
              </w:rPr>
            </w:pPr>
            <w:r>
              <w:rPr>
                <w:b/>
                <w:sz w:val="24"/>
              </w:rPr>
              <w:t>六、政策相符性</w:t>
            </w:r>
          </w:p>
          <w:p>
            <w:pPr>
              <w:spacing w:after="0" w:line="360" w:lineRule="auto"/>
              <w:ind w:firstLine="480" w:firstLineChars="200"/>
              <w:rPr>
                <w:kern w:val="21"/>
                <w:sz w:val="24"/>
              </w:rPr>
            </w:pPr>
          </w:p>
        </w:tc>
      </w:tr>
    </w:tbl>
    <w:p>
      <w:pPr>
        <w:sectPr>
          <w:headerReference w:type="default" r:id="rId34"/>
          <w:footerReference w:type="even" r:id="rId35"/>
          <w:footerReference w:type="default" r:id="rId36"/>
          <w:headerReference w:type="first" r:id="rId37"/>
          <w:footerReference w:type="first" r:id="rId38"/>
          <w:type w:val="nextPage"/>
          <w:pgSz w:w="11907" w:h="16840"/>
          <w:pgMar w:top="1418" w:right="1418" w:bottom="1418" w:left="1418" w:header="851" w:footer="992" w:gutter="113"/>
          <w:pgNumType w:start="7"/>
          <w:cols w:space="708"/>
          <w:titlePg w:val="0"/>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6" w:space="0" w:color="auto"/>
              <w:bottom w:val="single" w:sz="12" w:space="0" w:color="auto"/>
            </w:tcBorders>
          </w:tcPr>
          <w:p>
            <w:pPr>
              <w:spacing w:before="0" w:line="360" w:lineRule="auto"/>
              <w:ind w:firstLine="480" w:firstLineChars="200"/>
              <w:rPr>
                <w:kern w:val="21"/>
                <w:sz w:val="24"/>
              </w:rPr>
            </w:pPr>
            <w:r>
              <w:rPr>
                <w:kern w:val="21"/>
                <w:sz w:val="24"/>
              </w:rPr>
              <w:t>本项目属于休闲旅游建设项目，属于国家发改委《产业结构调整指导目录（2011年本）》（2013年修订版）鼓励类中第三十四项“旅游业”中第二条“乡村旅游、生态旅游、森林旅游、工业旅游、体育旅游、红色旅游、民族风情旅游及其他旅游资源综合开发服务”项目，</w:t>
            </w:r>
            <w:r>
              <w:rPr>
                <w:rFonts w:hint="eastAsia"/>
                <w:kern w:val="21"/>
                <w:sz w:val="24"/>
              </w:rPr>
              <w:t>同时项目获得抚州市发改委立项，</w:t>
            </w:r>
            <w:r>
              <w:rPr>
                <w:kern w:val="21"/>
                <w:sz w:val="24"/>
              </w:rPr>
              <w:t>符合国家相关产业政策要求。</w:t>
            </w:r>
          </w:p>
          <w:p>
            <w:pPr>
              <w:spacing w:line="360" w:lineRule="auto"/>
              <w:ind w:firstLine="480" w:firstLineChars="200"/>
              <w:rPr>
                <w:b/>
                <w:kern w:val="21"/>
                <w:sz w:val="24"/>
              </w:rPr>
            </w:pPr>
            <w:r>
              <w:rPr>
                <w:b/>
                <w:kern w:val="21"/>
                <w:sz w:val="24"/>
              </w:rPr>
              <w:t>七、选址可行性分析</w:t>
            </w:r>
          </w:p>
          <w:p>
            <w:pPr>
              <w:tabs>
                <w:tab w:val="left" w:pos="0"/>
              </w:tabs>
              <w:spacing w:line="360" w:lineRule="auto"/>
              <w:ind w:firstLine="560"/>
              <w:rPr>
                <w:bCs/>
                <w:sz w:val="24"/>
                <w:szCs w:val="24"/>
              </w:rPr>
            </w:pPr>
            <w:r>
              <w:rPr>
                <w:bCs/>
                <w:sz w:val="24"/>
                <w:szCs w:val="24"/>
              </w:rPr>
              <w:t>1、用地性质的相符性分析</w:t>
            </w:r>
          </w:p>
          <w:p>
            <w:pPr>
              <w:tabs>
                <w:tab w:val="left" w:pos="0"/>
              </w:tabs>
              <w:spacing w:line="360" w:lineRule="auto"/>
              <w:ind w:firstLine="560"/>
              <w:rPr>
                <w:bCs/>
                <w:sz w:val="24"/>
                <w:szCs w:val="24"/>
              </w:rPr>
            </w:pPr>
            <w:r>
              <w:rPr>
                <w:bCs/>
                <w:sz w:val="24"/>
                <w:szCs w:val="24"/>
              </w:rPr>
              <w:t>根据建设单位提供的中华人民共和国</w:t>
            </w:r>
            <w:r>
              <w:rPr>
                <w:rFonts w:hint="eastAsia"/>
                <w:bCs/>
                <w:sz w:val="24"/>
                <w:szCs w:val="24"/>
              </w:rPr>
              <w:t>建设用地规划许可证（抚城规地字第[2017]39号）</w:t>
            </w:r>
            <w:r>
              <w:rPr>
                <w:bCs/>
                <w:sz w:val="24"/>
                <w:szCs w:val="24"/>
              </w:rPr>
              <w:t>可知，本项目所在地规划为</w:t>
            </w:r>
            <w:r>
              <w:rPr>
                <w:rFonts w:hint="eastAsia"/>
                <w:bCs/>
                <w:sz w:val="24"/>
                <w:szCs w:val="24"/>
              </w:rPr>
              <w:t>公共管理与公共服务设施用地，</w:t>
            </w:r>
            <w:r>
              <w:rPr>
                <w:bCs/>
                <w:sz w:val="24"/>
                <w:szCs w:val="24"/>
              </w:rPr>
              <w:t>本项目建设完成后属于</w:t>
            </w:r>
            <w:r>
              <w:rPr>
                <w:rFonts w:hint="eastAsia"/>
                <w:bCs/>
                <w:sz w:val="24"/>
                <w:szCs w:val="24"/>
              </w:rPr>
              <w:t>景区旅游</w:t>
            </w:r>
            <w:r>
              <w:rPr>
                <w:bCs/>
                <w:sz w:val="24"/>
                <w:szCs w:val="24"/>
              </w:rPr>
              <w:t>服务，规划性质相符。</w:t>
            </w:r>
          </w:p>
          <w:p>
            <w:pPr>
              <w:tabs>
                <w:tab w:val="left" w:pos="0"/>
              </w:tabs>
              <w:spacing w:line="360" w:lineRule="auto"/>
              <w:ind w:firstLine="480" w:firstLineChars="200"/>
              <w:rPr>
                <w:kern w:val="21"/>
                <w:sz w:val="24"/>
              </w:rPr>
            </w:pPr>
            <w:r>
              <w:rPr>
                <w:rFonts w:hint="eastAsia"/>
                <w:kern w:val="21"/>
                <w:sz w:val="24"/>
              </w:rPr>
              <w:t>2</w:t>
            </w:r>
            <w:r>
              <w:rPr>
                <w:kern w:val="21"/>
                <w:sz w:val="24"/>
              </w:rPr>
              <w:t>、与区域规划相符性分析</w:t>
            </w:r>
          </w:p>
          <w:p>
            <w:pPr>
              <w:tabs>
                <w:tab w:val="left" w:pos="0"/>
              </w:tabs>
              <w:spacing w:line="360" w:lineRule="auto"/>
              <w:ind w:firstLine="480" w:firstLineChars="200"/>
              <w:rPr>
                <w:sz w:val="24"/>
              </w:rPr>
            </w:pPr>
            <w:r>
              <w:rPr>
                <w:sz w:val="24"/>
              </w:rPr>
              <w:t>项目已取得</w:t>
            </w:r>
            <w:r>
              <w:rPr>
                <w:rFonts w:hint="eastAsia"/>
                <w:sz w:val="24"/>
              </w:rPr>
              <w:t>抚州市发改委</w:t>
            </w:r>
            <w:r>
              <w:rPr>
                <w:sz w:val="24"/>
              </w:rPr>
              <w:t>立项批复，</w:t>
            </w:r>
            <w:r>
              <w:rPr>
                <w:rFonts w:hint="eastAsia"/>
                <w:sz w:val="24"/>
              </w:rPr>
              <w:t>项目</w:t>
            </w:r>
            <w:r>
              <w:rPr>
                <w:sz w:val="24"/>
              </w:rPr>
              <w:t>定位于户外实景演出</w:t>
            </w:r>
            <w:r>
              <w:rPr>
                <w:rFonts w:hint="eastAsia"/>
                <w:sz w:val="24"/>
              </w:rPr>
              <w:t>，</w:t>
            </w:r>
            <w:r>
              <w:rPr>
                <w:sz w:val="24"/>
              </w:rPr>
              <w:t>属旅游开发类项目</w:t>
            </w:r>
            <w:r>
              <w:rPr>
                <w:rFonts w:hint="eastAsia"/>
                <w:sz w:val="24"/>
              </w:rPr>
              <w:t>，</w:t>
            </w:r>
            <w:r>
              <w:rPr>
                <w:sz w:val="24"/>
              </w:rPr>
              <w:t>符合景区规划定位</w:t>
            </w:r>
            <w:r>
              <w:rPr>
                <w:rFonts w:hint="eastAsia"/>
                <w:sz w:val="24"/>
              </w:rPr>
              <w:t>，其选址符合城市发展定位</w:t>
            </w:r>
            <w:r>
              <w:rPr>
                <w:sz w:val="24"/>
              </w:rPr>
              <w:t>，说明项目符合</w:t>
            </w:r>
            <w:r>
              <w:rPr>
                <w:rFonts w:hint="eastAsia"/>
                <w:sz w:val="24"/>
              </w:rPr>
              <w:t>抚州市及临川区</w:t>
            </w:r>
            <w:r>
              <w:rPr>
                <w:sz w:val="24"/>
              </w:rPr>
              <w:t>城市整体发展规划，项目建设可行。</w:t>
            </w:r>
          </w:p>
          <w:p>
            <w:pPr>
              <w:tabs>
                <w:tab w:val="left" w:pos="0"/>
              </w:tabs>
              <w:spacing w:line="360" w:lineRule="auto"/>
              <w:ind w:firstLine="480" w:firstLineChars="200"/>
              <w:rPr>
                <w:sz w:val="24"/>
              </w:rPr>
            </w:pPr>
            <w:r>
              <w:rPr>
                <w:rFonts w:hint="eastAsia"/>
                <w:sz w:val="24"/>
              </w:rPr>
              <w:t>3</w:t>
            </w:r>
            <w:r>
              <w:rPr>
                <w:sz w:val="24"/>
              </w:rPr>
              <w:t>、周边环境兼容性分析</w:t>
            </w:r>
          </w:p>
          <w:p>
            <w:pPr>
              <w:tabs>
                <w:tab w:val="left" w:pos="0"/>
              </w:tabs>
              <w:spacing w:line="360" w:lineRule="auto"/>
              <w:ind w:firstLine="480" w:firstLineChars="200"/>
              <w:rPr>
                <w:sz w:val="24"/>
              </w:rPr>
            </w:pPr>
            <w:r>
              <w:rPr>
                <w:sz w:val="24"/>
              </w:rPr>
              <w:t>本项目为</w:t>
            </w:r>
            <w:r>
              <w:rPr>
                <w:rFonts w:hint="eastAsia"/>
                <w:sz w:val="24"/>
              </w:rPr>
              <w:t>旅游项目</w:t>
            </w:r>
            <w:r>
              <w:rPr>
                <w:sz w:val="24"/>
              </w:rPr>
              <w:t>的建设，属</w:t>
            </w:r>
            <w:r>
              <w:rPr>
                <w:rFonts w:hint="eastAsia"/>
                <w:sz w:val="24"/>
              </w:rPr>
              <w:t>休闲旅游</w:t>
            </w:r>
            <w:r>
              <w:rPr>
                <w:sz w:val="24"/>
              </w:rPr>
              <w:t>工程。项目建成后，增加了城市区域内的绿化率，改善区域内环境和景观，项目营运期产生污染</w:t>
            </w:r>
            <w:r>
              <w:rPr>
                <w:rFonts w:hint="eastAsia"/>
                <w:sz w:val="24"/>
              </w:rPr>
              <w:t>较小</w:t>
            </w:r>
            <w:r>
              <w:rPr>
                <w:sz w:val="24"/>
              </w:rPr>
              <w:t>，对周边环境无</w:t>
            </w:r>
            <w:r>
              <w:rPr>
                <w:rFonts w:hint="eastAsia"/>
                <w:sz w:val="24"/>
              </w:rPr>
              <w:t>明显</w:t>
            </w:r>
            <w:r>
              <w:rPr>
                <w:sz w:val="24"/>
              </w:rPr>
              <w:t>影响。</w:t>
            </w:r>
          </w:p>
          <w:p>
            <w:pPr>
              <w:tabs>
                <w:tab w:val="left" w:pos="0"/>
              </w:tabs>
              <w:spacing w:line="360" w:lineRule="auto"/>
              <w:ind w:firstLine="480" w:firstLineChars="200"/>
              <w:rPr>
                <w:sz w:val="24"/>
              </w:rPr>
            </w:pPr>
            <w:r>
              <w:rPr>
                <w:sz w:val="24"/>
              </w:rPr>
              <w:t>本项目周围分布为学校和居住区</w:t>
            </w:r>
            <w:r>
              <w:rPr>
                <w:rFonts w:hint="eastAsia"/>
                <w:sz w:val="24"/>
              </w:rPr>
              <w:t>、商业区</w:t>
            </w:r>
            <w:r>
              <w:rPr>
                <w:sz w:val="24"/>
              </w:rPr>
              <w:t>，项目建设完成后，可以为周边居民提供休闲场所，提高居住和生活品质，从环保角度及社会影响角度分析，本项目建设可行。</w:t>
            </w: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ind w:firstLine="480" w:firstLineChars="200"/>
              <w:rPr>
                <w:sz w:val="24"/>
              </w:rPr>
            </w:pPr>
          </w:p>
          <w:p>
            <w:pPr>
              <w:tabs>
                <w:tab w:val="left" w:pos="0"/>
              </w:tabs>
              <w:spacing w:line="360" w:lineRule="auto"/>
              <w:rPr>
                <w:rFonts w:hint="eastAsia"/>
                <w:kern w:val="21"/>
                <w:sz w:val="24"/>
              </w:rPr>
            </w:pPr>
          </w:p>
        </w:tc>
      </w:tr>
    </w:tbl>
    <w:p>
      <w:pPr>
        <w:sectPr>
          <w:headerReference w:type="default" r:id="rId39"/>
          <w:footerReference w:type="even" r:id="rId40"/>
          <w:footerReference w:type="default" r:id="rId41"/>
          <w:headerReference w:type="first" r:id="rId42"/>
          <w:footerReference w:type="first" r:id="rId43"/>
          <w:type w:val="nextPage"/>
          <w:pgSz w:w="11907" w:h="16840"/>
          <w:pgMar w:top="1418" w:right="1418" w:bottom="1418" w:left="1418" w:header="851" w:footer="992" w:gutter="113"/>
          <w:pgNumType w:start="8"/>
          <w:cols w:space="708"/>
          <w:titlePg w:val="0"/>
          <w:docGrid w:linePitch="286"/>
        </w:sectPr>
      </w:pPr>
    </w:p>
    <w:tbl>
      <w:tblPr>
        <w:tblStyle w:val="TableNormal"/>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9174"/>
      </w:tblGrid>
      <w:tr>
        <w:tblPrEx>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c>
          <w:tcPr>
            <w:tcW w:w="9174" w:type="dxa"/>
            <w:tcBorders>
              <w:top w:val="single" w:sz="4" w:space="0" w:color="auto"/>
              <w:bottom w:val="single" w:sz="12" w:space="0" w:color="auto"/>
            </w:tcBorders>
          </w:tcPr>
          <w:p>
            <w:pPr>
              <w:spacing w:line="360" w:lineRule="auto"/>
              <w:rPr>
                <w:kern w:val="21"/>
                <w:sz w:val="28"/>
              </w:rPr>
            </w:pPr>
            <w:r>
              <w:rPr>
                <w:b/>
                <w:kern w:val="21"/>
                <w:sz w:val="28"/>
              </w:rPr>
              <w:t>与本项目有关的原有污染情况及主要环境问题：</w:t>
            </w:r>
          </w:p>
          <w:p>
            <w:pPr>
              <w:spacing w:line="360" w:lineRule="auto"/>
              <w:ind w:firstLine="480" w:firstLineChars="200"/>
              <w:rPr>
                <w:sz w:val="24"/>
                <w:szCs w:val="24"/>
              </w:rPr>
            </w:pPr>
            <w:r>
              <w:rPr>
                <w:kern w:val="21"/>
                <w:sz w:val="24"/>
                <w:szCs w:val="24"/>
              </w:rPr>
              <w:t>本项目为改建</w:t>
            </w:r>
            <w:r>
              <w:rPr>
                <w:rFonts w:hint="eastAsia"/>
                <w:kern w:val="21"/>
                <w:sz w:val="24"/>
                <w:szCs w:val="24"/>
              </w:rPr>
              <w:t>项目，尚未投产使用。</w:t>
            </w:r>
            <w:r>
              <w:rPr>
                <w:kern w:val="21"/>
                <w:sz w:val="24"/>
                <w:szCs w:val="24"/>
              </w:rPr>
              <w:t>所在区域为仿古建筑，无人居住，施工期已基本结束，因此无原有污染问题</w:t>
            </w:r>
            <w:r>
              <w:rPr>
                <w:sz w:val="24"/>
                <w:szCs w:val="24"/>
              </w:rPr>
              <w:t>。</w:t>
            </w:r>
          </w:p>
          <w:p>
            <w:pPr>
              <w:pStyle w:val="Default1"/>
              <w:snapToGrid w:val="0"/>
              <w:spacing w:line="360" w:lineRule="auto"/>
              <w:ind w:firstLine="480" w:firstLineChars="200"/>
              <w:rPr>
                <w:rFonts w:ascii="Times New Roman" w:cs="Times New Roman"/>
                <w:color w:val="auto"/>
                <w:kern w:val="21"/>
              </w:rPr>
            </w:pPr>
            <w:r>
              <w:rPr>
                <w:rFonts w:ascii="Times New Roman" w:cs="Times New Roman"/>
                <w:color w:val="auto"/>
                <w:kern w:val="21"/>
              </w:rPr>
              <w:t>一、原有污染源情况</w:t>
            </w:r>
          </w:p>
          <w:p>
            <w:pPr>
              <w:pStyle w:val="Default1"/>
              <w:snapToGrid w:val="0"/>
              <w:spacing w:line="360" w:lineRule="auto"/>
              <w:ind w:firstLine="480" w:firstLineChars="200"/>
              <w:rPr>
                <w:rFonts w:ascii="Times New Roman" w:cs="Times New Roman"/>
                <w:color w:val="auto"/>
                <w:kern w:val="21"/>
              </w:rPr>
            </w:pPr>
            <w:r>
              <w:rPr>
                <w:rFonts w:ascii="Times New Roman" w:cs="Times New Roman"/>
                <w:color w:val="auto"/>
                <w:kern w:val="21"/>
              </w:rPr>
              <w:t>项目位于抚州市文昌里历史文化街区，目前所在区域建筑破旧，游客稀少，同时未设住宿、餐饮等设施，管理人员也不在景区内住宿；也未设有停车场、备用发电机等设施。景区目前产生的主要污染物主要为游客产生的生活污水和生活垃圾。</w:t>
            </w:r>
          </w:p>
          <w:p>
            <w:pPr>
              <w:pStyle w:val="Default1"/>
              <w:snapToGrid w:val="0"/>
              <w:spacing w:line="360" w:lineRule="auto"/>
              <w:ind w:firstLine="480" w:firstLineChars="200"/>
              <w:rPr>
                <w:rFonts w:ascii="Times New Roman" w:cs="Times New Roman"/>
                <w:color w:val="auto"/>
                <w:kern w:val="21"/>
              </w:rPr>
            </w:pPr>
            <w:r>
              <w:rPr>
                <w:rFonts w:ascii="Times New Roman" w:cs="Times New Roman"/>
                <w:color w:val="auto"/>
                <w:kern w:val="21"/>
              </w:rPr>
              <w:t>目前项目游客主要是散客，高峰时100人/d。产生的生活污水根据《江西省城市生活用水定额》（DB/T419-2011）中可知，按照20L/人·天计算，污水量为2m</w:t>
            </w:r>
            <w:r>
              <w:rPr>
                <w:rFonts w:ascii="Times New Roman" w:cs="Times New Roman"/>
                <w:color w:val="auto"/>
                <w:kern w:val="21"/>
                <w:vertAlign w:val="superscript"/>
              </w:rPr>
              <w:t>3</w:t>
            </w:r>
            <w:r>
              <w:rPr>
                <w:rFonts w:ascii="Times New Roman" w:cs="Times New Roman"/>
                <w:color w:val="auto"/>
                <w:kern w:val="21"/>
              </w:rPr>
              <w:t>/d；生活垃圾按0.5kg/人·天计算，产生生活垃圾量为0.05kg/d（16.5t/a），经统一收集后，交由当地环卫部门将生活垃圾清运至垃圾填埋场卫生填埋处理。</w:t>
            </w:r>
          </w:p>
          <w:p>
            <w:pPr>
              <w:pStyle w:val="Default1"/>
              <w:snapToGrid w:val="0"/>
              <w:spacing w:line="360" w:lineRule="auto"/>
              <w:ind w:firstLine="480" w:firstLineChars="200"/>
              <w:rPr>
                <w:rFonts w:ascii="Times New Roman" w:cs="Times New Roman"/>
                <w:color w:val="auto"/>
                <w:kern w:val="21"/>
              </w:rPr>
            </w:pPr>
            <w:r>
              <w:rPr>
                <w:rFonts w:ascii="Times New Roman" w:cs="Times New Roman"/>
                <w:color w:val="auto"/>
                <w:kern w:val="21"/>
              </w:rPr>
              <w:t>二、存在的主要问题</w:t>
            </w:r>
          </w:p>
          <w:p>
            <w:pPr>
              <w:pStyle w:val="Default1"/>
              <w:snapToGrid w:val="0"/>
              <w:spacing w:line="360" w:lineRule="auto"/>
              <w:ind w:firstLine="480" w:firstLineChars="200"/>
              <w:rPr>
                <w:rFonts w:ascii="Times New Roman" w:cs="Times New Roman"/>
                <w:color w:val="auto"/>
                <w:kern w:val="21"/>
              </w:rPr>
            </w:pPr>
            <w:r>
              <w:rPr>
                <w:rFonts w:ascii="Times New Roman" w:cs="Times New Roman"/>
                <w:color w:val="auto"/>
                <w:kern w:val="21"/>
              </w:rPr>
              <w:t>景区建设年代较早，基础设施建设较为落后，其存在的主要环保问题如下：</w:t>
            </w:r>
          </w:p>
          <w:p>
            <w:pPr>
              <w:pStyle w:val="Default1"/>
              <w:snapToGrid w:val="0"/>
              <w:spacing w:line="360" w:lineRule="auto"/>
              <w:ind w:firstLine="480" w:firstLineChars="200"/>
              <w:rPr>
                <w:rFonts w:ascii="Times New Roman" w:cs="Times New Roman"/>
                <w:color w:val="auto"/>
                <w:kern w:val="21"/>
              </w:rPr>
            </w:pPr>
            <w:r>
              <w:rPr>
                <w:rFonts w:ascii="Times New Roman" w:cs="Times New Roman"/>
                <w:color w:val="auto"/>
                <w:kern w:val="21"/>
              </w:rPr>
              <w:t>未设垃圾收集装置，生活垃圾未能统一收集处理。</w:t>
            </w:r>
          </w:p>
          <w:p>
            <w:pPr>
              <w:pStyle w:val="Default1"/>
              <w:snapToGrid w:val="0"/>
              <w:spacing w:line="360" w:lineRule="auto"/>
              <w:ind w:firstLine="480" w:firstLineChars="200"/>
              <w:rPr>
                <w:rFonts w:hint="eastAsia"/>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pStyle w:val="Default1"/>
              <w:snapToGrid w:val="0"/>
              <w:spacing w:line="360" w:lineRule="auto"/>
              <w:ind w:firstLine="480" w:firstLineChars="200"/>
              <w:rPr>
                <w:color w:val="auto"/>
                <w:kern w:val="21"/>
              </w:rPr>
            </w:pPr>
          </w:p>
          <w:p>
            <w:pPr>
              <w:spacing w:line="360" w:lineRule="auto"/>
              <w:ind w:firstLine="480" w:firstLineChars="200"/>
              <w:rPr>
                <w:kern w:val="21"/>
                <w:sz w:val="24"/>
              </w:rPr>
            </w:pPr>
          </w:p>
          <w:p>
            <w:pPr>
              <w:spacing w:line="360" w:lineRule="auto"/>
              <w:ind w:firstLine="480" w:firstLineChars="200"/>
              <w:rPr>
                <w:kern w:val="21"/>
                <w:sz w:val="24"/>
              </w:rPr>
            </w:pPr>
          </w:p>
          <w:p>
            <w:pPr>
              <w:spacing w:line="360" w:lineRule="auto"/>
              <w:rPr>
                <w:rFonts w:hint="eastAsia"/>
                <w:kern w:val="21"/>
                <w:sz w:val="24"/>
              </w:rPr>
            </w:pPr>
          </w:p>
          <w:p>
            <w:pPr>
              <w:spacing w:line="360" w:lineRule="auto"/>
              <w:rPr>
                <w:snapToGrid w:val="0"/>
                <w:kern w:val="18"/>
                <w:sz w:val="10"/>
                <w:szCs w:val="10"/>
              </w:rPr>
            </w:pPr>
          </w:p>
        </w:tc>
      </w:tr>
    </w:tbl>
    <w:p>
      <w:pPr>
        <w:spacing w:line="240" w:lineRule="auto"/>
        <w:rPr>
          <w:b/>
          <w:kern w:val="21"/>
          <w:sz w:val="30"/>
        </w:rPr>
      </w:pPr>
    </w:p>
    <w:p>
      <w:pPr>
        <w:spacing w:line="240" w:lineRule="auto"/>
        <w:outlineLvl w:val="0"/>
        <w:rPr>
          <w:b/>
          <w:kern w:val="21"/>
          <w:sz w:val="30"/>
        </w:rPr>
        <w:sectPr>
          <w:headerReference w:type="default" r:id="rId44"/>
          <w:footerReference w:type="even" r:id="rId45"/>
          <w:footerReference w:type="default" r:id="rId46"/>
          <w:headerReference w:type="first" r:id="rId47"/>
          <w:footerReference w:type="first" r:id="rId48"/>
          <w:type w:val="nextPage"/>
          <w:pgSz w:w="11907" w:h="16840"/>
          <w:pgMar w:top="1418" w:right="1418" w:bottom="1418" w:left="1418" w:header="851" w:footer="992" w:gutter="113"/>
          <w:pgNumType w:start="9"/>
          <w:cols w:space="708"/>
          <w:titlePg w:val="0"/>
          <w:docGrid w:linePitch="286"/>
        </w:sectPr>
      </w:pPr>
    </w:p>
    <w:p>
      <w:pPr>
        <w:spacing w:line="240" w:lineRule="auto"/>
        <w:outlineLvl w:val="0"/>
        <w:rPr>
          <w:kern w:val="21"/>
          <w:sz w:val="28"/>
        </w:rPr>
      </w:pPr>
      <w:r>
        <w:rPr>
          <w:b/>
          <w:kern w:val="21"/>
          <w:sz w:val="30"/>
        </w:rPr>
        <w:t>项目所在地自然环境社会环境简况</w:t>
      </w: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
      <w:tblGrid>
        <w:gridCol w:w="9160"/>
      </w:tblGrid>
      <w:tr>
        <w:tblPrEx>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Ex>
        <w:trPr>
          <w:trHeight w:val="1388"/>
        </w:trPr>
        <w:tc>
          <w:tcPr>
            <w:tcW w:w="9160" w:type="dxa"/>
            <w:tcBorders>
              <w:bottom w:val="single" w:sz="4" w:space="0" w:color="auto"/>
            </w:tcBorders>
          </w:tcPr>
          <w:p>
            <w:pPr>
              <w:spacing w:line="360" w:lineRule="auto"/>
              <w:rPr>
                <w:rFonts w:hint="eastAsia"/>
                <w:b/>
                <w:kern w:val="21"/>
                <w:sz w:val="28"/>
              </w:rPr>
            </w:pPr>
            <w:r>
              <w:rPr>
                <w:b/>
                <w:kern w:val="21"/>
                <w:sz w:val="28"/>
              </w:rPr>
              <w:t>自然环境简况（地形、地貌、地质、气候、气象、水文、植被、生物多样性）：</w:t>
            </w:r>
          </w:p>
          <w:p>
            <w:pPr>
              <w:spacing w:before="120" w:beforeLines="50" w:line="360" w:lineRule="auto"/>
              <w:ind w:left="51" w:firstLine="427" w:firstLineChars="178"/>
              <w:rPr>
                <w:b/>
                <w:sz w:val="24"/>
              </w:rPr>
            </w:pPr>
            <w:r>
              <w:rPr>
                <w:b/>
                <w:sz w:val="24"/>
              </w:rPr>
              <w:t xml:space="preserve">1. </w:t>
            </w:r>
            <w:r>
              <w:rPr>
                <w:rFonts w:hAnsi="宋体"/>
                <w:b/>
                <w:sz w:val="24"/>
              </w:rPr>
              <w:t>地理位置及交通</w:t>
            </w:r>
          </w:p>
          <w:p>
            <w:pPr>
              <w:tabs>
                <w:tab w:val="left" w:pos="4834"/>
              </w:tabs>
              <w:adjustRightInd/>
              <w:spacing w:line="360" w:lineRule="auto"/>
              <w:ind w:firstLine="480" w:firstLineChars="200"/>
              <w:textAlignment w:val="auto"/>
              <w:rPr>
                <w:rFonts w:ascii="宋体" w:hAnsi="宋体"/>
                <w:spacing w:val="4"/>
                <w:position w:val="6"/>
                <w:sz w:val="24"/>
              </w:rPr>
            </w:pPr>
            <w:r>
              <w:rPr>
                <w:rFonts w:ascii="宋体" w:hAnsi="宋体"/>
                <w:spacing w:val="4"/>
                <w:position w:val="6"/>
                <w:sz w:val="24"/>
              </w:rPr>
              <w:t>抚州市位于江西省东南部，抚河上中游，地处东经115º35′～117º18′，北纬26º29′～28º30′，东邻鹰潭市，西近京九铁路与吉安、宜春相接，北临鄱阳湖与鹰潭、南昌毗邻。南北长约222公里，东西宽约169公里，总面积约1.88万平方公里，其中耕地面积383万亩。辖10县1区和1个经济开发区，市政府设在临川区，距省会南昌市约101公里。</w:t>
            </w:r>
          </w:p>
          <w:p>
            <w:pPr>
              <w:spacing w:before="120" w:beforeLines="50" w:line="360" w:lineRule="auto"/>
              <w:ind w:left="51" w:firstLine="427" w:firstLineChars="178"/>
              <w:rPr>
                <w:rFonts w:hAnsi="宋体" w:hint="eastAsia"/>
                <w:position w:val="6"/>
                <w:sz w:val="24"/>
              </w:rPr>
            </w:pPr>
            <w:r>
              <w:rPr>
                <w:rFonts w:hAnsi="宋体"/>
                <w:position w:val="6"/>
                <w:sz w:val="24"/>
              </w:rPr>
              <w:t>本项目所在地抚州市</w:t>
            </w:r>
            <w:r>
              <w:rPr>
                <w:rFonts w:hAnsi="宋体" w:hint="eastAsia"/>
                <w:position w:val="6"/>
                <w:sz w:val="24"/>
              </w:rPr>
              <w:t>抚州市文昌里历史文化街区。</w:t>
            </w:r>
          </w:p>
          <w:p>
            <w:pPr>
              <w:spacing w:before="120" w:beforeLines="50" w:line="360" w:lineRule="auto"/>
              <w:ind w:left="51" w:firstLine="427" w:firstLineChars="178"/>
              <w:rPr>
                <w:b/>
                <w:sz w:val="24"/>
              </w:rPr>
            </w:pPr>
            <w:r>
              <w:rPr>
                <w:b/>
                <w:sz w:val="24"/>
              </w:rPr>
              <w:t xml:space="preserve">2. </w:t>
            </w:r>
            <w:r>
              <w:rPr>
                <w:rFonts w:hAnsi="宋体"/>
                <w:b/>
                <w:sz w:val="24"/>
              </w:rPr>
              <w:t>地震</w:t>
            </w:r>
          </w:p>
          <w:p>
            <w:pPr>
              <w:tabs>
                <w:tab w:val="left" w:pos="4834"/>
              </w:tabs>
              <w:adjustRightInd/>
              <w:spacing w:line="360" w:lineRule="auto"/>
              <w:ind w:firstLine="480" w:firstLineChars="200"/>
              <w:textAlignment w:val="auto"/>
              <w:rPr>
                <w:position w:val="6"/>
                <w:sz w:val="24"/>
              </w:rPr>
            </w:pPr>
            <w:r>
              <w:rPr>
                <w:rFonts w:hAnsi="宋体"/>
                <w:position w:val="6"/>
                <w:sz w:val="24"/>
              </w:rPr>
              <w:t>根据区域资料，本区位于构造单元的萍乡</w:t>
            </w:r>
            <w:r>
              <w:rPr>
                <w:position w:val="6"/>
                <w:sz w:val="24"/>
              </w:rPr>
              <w:t>-</w:t>
            </w:r>
            <w:r>
              <w:rPr>
                <w:rFonts w:hAnsi="宋体"/>
                <w:position w:val="6"/>
                <w:sz w:val="24"/>
              </w:rPr>
              <w:t>乐平台陷北缘，构造上主要受赣江大断裂控制，上部为第四系松散层所覆盖，厚约</w:t>
            </w:r>
            <w:r>
              <w:rPr>
                <w:position w:val="6"/>
                <w:sz w:val="24"/>
              </w:rPr>
              <w:t>20m</w:t>
            </w:r>
            <w:r>
              <w:rPr>
                <w:rFonts w:hAnsi="宋体"/>
                <w:position w:val="6"/>
                <w:sz w:val="24"/>
              </w:rPr>
              <w:t>，基底为巨厚的泻湖相沉积层。第四纪以来，新构造活动微弱，本区域稳定性较好。</w:t>
            </w:r>
          </w:p>
          <w:p>
            <w:pPr>
              <w:tabs>
                <w:tab w:val="left" w:pos="4834"/>
              </w:tabs>
              <w:adjustRightInd/>
              <w:spacing w:line="360" w:lineRule="auto"/>
              <w:ind w:firstLine="480" w:firstLineChars="200"/>
              <w:textAlignment w:val="auto"/>
              <w:rPr>
                <w:position w:val="6"/>
                <w:sz w:val="24"/>
              </w:rPr>
            </w:pPr>
            <w:r>
              <w:rPr>
                <w:rFonts w:hAnsi="宋体"/>
                <w:position w:val="6"/>
                <w:sz w:val="24"/>
              </w:rPr>
              <w:t>根据《建筑抗震设计规范》、《中国地震动参数区划图》划分，地区基本烈度等于</w:t>
            </w:r>
            <w:r>
              <w:rPr>
                <w:position w:val="6"/>
                <w:sz w:val="24"/>
              </w:rPr>
              <w:t xml:space="preserve">“ VI” </w:t>
            </w:r>
            <w:r>
              <w:rPr>
                <w:rFonts w:hAnsi="宋体"/>
                <w:position w:val="6"/>
                <w:sz w:val="24"/>
              </w:rPr>
              <w:t>度，属设计地震分组第一组，设计基本地震加速度值为</w:t>
            </w:r>
            <w:r>
              <w:rPr>
                <w:position w:val="6"/>
                <w:sz w:val="24"/>
              </w:rPr>
              <w:t>0.05g</w:t>
            </w:r>
            <w:r>
              <w:rPr>
                <w:rFonts w:hAnsi="宋体"/>
                <w:position w:val="6"/>
                <w:sz w:val="24"/>
              </w:rPr>
              <w:t>，设计地震特征周期值为</w:t>
            </w:r>
            <w:r>
              <w:rPr>
                <w:position w:val="6"/>
                <w:sz w:val="24"/>
              </w:rPr>
              <w:t>0.35s</w:t>
            </w:r>
            <w:r>
              <w:rPr>
                <w:rFonts w:hAnsi="宋体"/>
                <w:position w:val="6"/>
                <w:sz w:val="24"/>
              </w:rPr>
              <w:t>，拟建道路可不考虑地震液化的影响。道路沿线未发现不良地质现象，拟建场地类别为Ⅱ类，可进行建设的一般场地。本工程桥梁仅在构造措施上予以设防。</w:t>
            </w:r>
          </w:p>
          <w:p>
            <w:pPr>
              <w:spacing w:before="120" w:beforeLines="50" w:line="360" w:lineRule="auto"/>
              <w:ind w:left="51" w:firstLine="427" w:firstLineChars="178"/>
              <w:rPr>
                <w:b/>
                <w:sz w:val="24"/>
              </w:rPr>
            </w:pPr>
            <w:r>
              <w:rPr>
                <w:b/>
                <w:sz w:val="24"/>
              </w:rPr>
              <w:t>3.</w:t>
            </w:r>
            <w:r>
              <w:rPr>
                <w:rFonts w:hAnsi="宋体"/>
                <w:b/>
                <w:sz w:val="24"/>
              </w:rPr>
              <w:t>项目工程地质特征</w:t>
            </w:r>
          </w:p>
          <w:p>
            <w:pPr>
              <w:adjustRightInd/>
              <w:spacing w:line="360" w:lineRule="auto"/>
              <w:ind w:firstLine="480" w:firstLineChars="200"/>
              <w:textAlignment w:val="auto"/>
              <w:rPr>
                <w:kern w:val="2"/>
                <w:sz w:val="24"/>
                <w:szCs w:val="24"/>
              </w:rPr>
            </w:pPr>
            <w:r>
              <w:rPr>
                <w:rFonts w:hAnsi="宋体"/>
                <w:kern w:val="2"/>
                <w:sz w:val="24"/>
                <w:szCs w:val="24"/>
              </w:rPr>
              <w:t>经钻探揭露，勘探深度内，场地地层结构由第四系人工填土（</w:t>
            </w:r>
            <w:r>
              <w:rPr>
                <w:kern w:val="2"/>
                <w:sz w:val="24"/>
                <w:szCs w:val="24"/>
              </w:rPr>
              <w:t>Q</w:t>
            </w:r>
            <w:r>
              <w:rPr>
                <w:kern w:val="2"/>
                <w:sz w:val="24"/>
                <w:szCs w:val="24"/>
                <w:vertAlign w:val="superscript"/>
              </w:rPr>
              <w:t>ml</w:t>
            </w:r>
            <w:r>
              <w:rPr>
                <w:rFonts w:hAnsi="宋体"/>
                <w:kern w:val="2"/>
                <w:sz w:val="24"/>
                <w:szCs w:val="24"/>
              </w:rPr>
              <w:t>）、第四系全新统冲击层（</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）、第四系上更新统冲积层（</w:t>
            </w:r>
            <w:r>
              <w:rPr>
                <w:kern w:val="2"/>
                <w:sz w:val="24"/>
                <w:szCs w:val="24"/>
              </w:rPr>
              <w:t>Q</w:t>
            </w:r>
            <w:r>
              <w:rPr>
                <w:kern w:val="2"/>
                <w:sz w:val="24"/>
                <w:szCs w:val="24"/>
                <w:vertAlign w:val="subscript"/>
              </w:rPr>
              <w:t>3</w:t>
            </w:r>
            <w:r>
              <w:rPr>
                <w:kern w:val="2"/>
                <w:sz w:val="24"/>
                <w:szCs w:val="24"/>
                <w:vertAlign w:val="superscript"/>
              </w:rPr>
              <w:t>al</w:t>
            </w:r>
            <w:r>
              <w:rPr>
                <w:rFonts w:hAnsi="宋体"/>
                <w:kern w:val="2"/>
                <w:sz w:val="24"/>
                <w:szCs w:val="24"/>
              </w:rPr>
              <w:t>）、第四系中更新统残积层（</w:t>
            </w:r>
            <w:r>
              <w:rPr>
                <w:kern w:val="2"/>
                <w:sz w:val="24"/>
                <w:szCs w:val="24"/>
              </w:rPr>
              <w:t>Q</w:t>
            </w:r>
            <w:r>
              <w:rPr>
                <w:kern w:val="2"/>
                <w:sz w:val="24"/>
                <w:szCs w:val="24"/>
                <w:vertAlign w:val="subscript"/>
              </w:rPr>
              <w:t>2</w:t>
            </w:r>
            <w:r>
              <w:rPr>
                <w:kern w:val="2"/>
                <w:sz w:val="24"/>
                <w:szCs w:val="24"/>
                <w:vertAlign w:val="superscript"/>
              </w:rPr>
              <w:t>el</w:t>
            </w:r>
            <w:r>
              <w:rPr>
                <w:rFonts w:hAnsi="宋体"/>
                <w:kern w:val="2"/>
                <w:sz w:val="24"/>
                <w:szCs w:val="24"/>
              </w:rPr>
              <w:t>）及第三系新余群组成。按其岩性及工程特性，自上而下分别为：素填土、中液限粘质土（</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）、细砂土（</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）、有机质高液限粉质土（</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）、中液限粘质土（</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）、细砂土（</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）、砂砾土（</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）、中液限粘质土（</w:t>
            </w:r>
            <w:r>
              <w:rPr>
                <w:kern w:val="2"/>
                <w:sz w:val="24"/>
                <w:szCs w:val="24"/>
              </w:rPr>
              <w:t>Q</w:t>
            </w:r>
            <w:r>
              <w:rPr>
                <w:kern w:val="2"/>
                <w:sz w:val="24"/>
                <w:szCs w:val="24"/>
                <w:vertAlign w:val="subscript"/>
              </w:rPr>
              <w:t>3</w:t>
            </w:r>
            <w:r>
              <w:rPr>
                <w:kern w:val="2"/>
                <w:sz w:val="24"/>
                <w:szCs w:val="24"/>
                <w:vertAlign w:val="superscript"/>
              </w:rPr>
              <w:t>el</w:t>
            </w:r>
            <w:r>
              <w:rPr>
                <w:rFonts w:hAnsi="宋体"/>
                <w:kern w:val="2"/>
                <w:sz w:val="24"/>
                <w:szCs w:val="24"/>
              </w:rPr>
              <w:t>）、中液限粘质土（</w:t>
            </w:r>
            <w:r>
              <w:rPr>
                <w:kern w:val="2"/>
                <w:sz w:val="24"/>
                <w:szCs w:val="24"/>
              </w:rPr>
              <w:t>Q</w:t>
            </w:r>
            <w:r>
              <w:rPr>
                <w:kern w:val="2"/>
                <w:sz w:val="24"/>
                <w:szCs w:val="24"/>
                <w:vertAlign w:val="subscript"/>
              </w:rPr>
              <w:t>2</w:t>
            </w:r>
            <w:r>
              <w:rPr>
                <w:kern w:val="2"/>
                <w:sz w:val="24"/>
                <w:szCs w:val="24"/>
                <w:vertAlign w:val="superscript"/>
              </w:rPr>
              <w:t>el</w:t>
            </w:r>
            <w:r>
              <w:rPr>
                <w:rFonts w:hAnsi="宋体"/>
                <w:kern w:val="2"/>
                <w:sz w:val="24"/>
                <w:szCs w:val="24"/>
              </w:rPr>
              <w:t>）、泥质粉砂岩（</w:t>
            </w:r>
            <w:r>
              <w:rPr>
                <w:kern w:val="2"/>
                <w:sz w:val="24"/>
                <w:szCs w:val="24"/>
              </w:rPr>
              <w:t>Exn</w:t>
            </w:r>
            <w:r>
              <w:rPr>
                <w:rFonts w:hAnsi="宋体"/>
                <w:kern w:val="2"/>
                <w:sz w:val="24"/>
                <w:szCs w:val="24"/>
              </w:rPr>
              <w:t>）。现将各土层的性质分别描述如下：</w:t>
            </w:r>
          </w:p>
          <w:p>
            <w:pPr>
              <w:adjustRightInd/>
              <w:spacing w:line="360" w:lineRule="auto"/>
              <w:ind w:left="480"/>
              <w:textAlignment w:val="auto"/>
              <w:rPr>
                <w:kern w:val="2"/>
                <w:sz w:val="24"/>
                <w:szCs w:val="24"/>
              </w:rPr>
            </w:pPr>
            <w:r>
              <w:rPr>
                <w:kern w:val="2"/>
                <w:sz w:val="24"/>
                <w:szCs w:val="24"/>
              </w:rPr>
              <w:fldChar w:fldCharType="begin"/>
            </w:r>
            <w:r>
              <w:rPr>
                <w:kern w:val="2"/>
                <w:sz w:val="24"/>
                <w:szCs w:val="24"/>
              </w:rPr>
              <w:instrText xml:space="preserve"> = 1 \* GB2 </w:instrText>
            </w:r>
            <w:r>
              <w:rPr>
                <w:kern w:val="2"/>
                <w:sz w:val="24"/>
                <w:szCs w:val="24"/>
              </w:rPr>
              <w:fldChar w:fldCharType="separate"/>
            </w:r>
            <w:r>
              <w:rPr>
                <w:rFonts w:hAnsi="宋体"/>
                <w:kern w:val="2"/>
                <w:sz w:val="24"/>
                <w:szCs w:val="24"/>
              </w:rPr>
              <w:t>⑴</w:t>
            </w:r>
            <w:r>
              <w:rPr>
                <w:kern w:val="2"/>
                <w:sz w:val="24"/>
                <w:szCs w:val="24"/>
              </w:rPr>
              <w:fldChar w:fldCharType="end"/>
            </w:r>
            <w:r>
              <w:rPr>
                <w:rFonts w:hAnsi="宋体"/>
                <w:kern w:val="2"/>
                <w:sz w:val="24"/>
                <w:szCs w:val="24"/>
              </w:rPr>
              <w:t>第四系全新统冲积层（</w:t>
            </w:r>
            <w:r>
              <w:rPr>
                <w:kern w:val="2"/>
                <w:sz w:val="24"/>
                <w:szCs w:val="24"/>
              </w:rPr>
              <w:t>Q</w:t>
            </w:r>
            <w:r>
              <w:rPr>
                <w:kern w:val="2"/>
                <w:sz w:val="24"/>
                <w:szCs w:val="24"/>
                <w:vertAlign w:val="superscript"/>
              </w:rPr>
              <w:t>ml</w:t>
            </w:r>
            <w:r>
              <w:rPr>
                <w:rFonts w:hAnsi="宋体"/>
                <w:kern w:val="2"/>
                <w:sz w:val="24"/>
                <w:szCs w:val="24"/>
              </w:rPr>
              <w:t>）</w:t>
            </w:r>
          </w:p>
          <w:p>
            <w:pPr>
              <w:adjustRightInd/>
              <w:spacing w:line="360" w:lineRule="auto"/>
              <w:ind w:left="480"/>
              <w:textAlignment w:val="auto"/>
              <w:rPr>
                <w:kern w:val="2"/>
                <w:sz w:val="24"/>
                <w:szCs w:val="24"/>
              </w:rPr>
            </w:pPr>
            <w:r>
              <w:rPr>
                <w:rFonts w:hAnsi="宋体"/>
                <w:kern w:val="2"/>
                <w:sz w:val="24"/>
                <w:szCs w:val="24"/>
              </w:rPr>
              <w:t>素填土：浅红色、紫红色，成分中以中液限粘质土为主，次为强风化泥质粉砂岩，结构较密实。层顶标高</w:t>
            </w:r>
            <w:r>
              <w:rPr>
                <w:kern w:val="2"/>
                <w:sz w:val="24"/>
                <w:szCs w:val="24"/>
              </w:rPr>
              <w:t>38.73-39.00m</w:t>
            </w:r>
            <w:r>
              <w:rPr>
                <w:rFonts w:hAnsi="宋体"/>
                <w:kern w:val="2"/>
                <w:sz w:val="24"/>
                <w:szCs w:val="24"/>
              </w:rPr>
              <w:t>，揭露层厚</w:t>
            </w:r>
            <w:r>
              <w:rPr>
                <w:kern w:val="2"/>
                <w:sz w:val="24"/>
                <w:szCs w:val="24"/>
              </w:rPr>
              <w:t>3.9-6.9m</w:t>
            </w:r>
            <w:r>
              <w:rPr>
                <w:rFonts w:hAnsi="宋体"/>
                <w:kern w:val="2"/>
                <w:sz w:val="24"/>
                <w:szCs w:val="24"/>
              </w:rPr>
              <w:t>。</w:t>
            </w:r>
          </w:p>
        </w:tc>
      </w:tr>
    </w:tbl>
    <w:p>
      <w:pPr>
        <w:sectPr>
          <w:headerReference w:type="default" r:id="rId49"/>
          <w:footerReference w:type="even" r:id="rId50"/>
          <w:footerReference w:type="default" r:id="rId51"/>
          <w:headerReference w:type="first" r:id="rId52"/>
          <w:footerReference w:type="first" r:id="rId53"/>
          <w:pgSz w:w="11907" w:h="16840"/>
          <w:pgMar w:top="1418" w:right="1418" w:bottom="1418" w:left="1418" w:header="851" w:footer="992" w:gutter="113"/>
          <w:pgNumType w:start="10"/>
          <w:cols w:space="708"/>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
      <w:tblGrid>
        <w:gridCol w:w="9160"/>
      </w:tblGrid>
      <w:tr>
        <w:tblPrEx>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Ex>
        <w:trPr>
          <w:trHeight w:val="1388"/>
        </w:trPr>
        <w:tc>
          <w:tcPr>
            <w:tcW w:w="9160" w:type="dxa"/>
            <w:tcBorders>
              <w:bottom w:val="single" w:sz="4" w:space="0" w:color="auto"/>
            </w:tcBorders>
          </w:tcPr>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2 \* GB2 </w:instrText>
            </w:r>
            <w:r>
              <w:rPr>
                <w:kern w:val="2"/>
                <w:sz w:val="24"/>
                <w:szCs w:val="24"/>
              </w:rPr>
              <w:fldChar w:fldCharType="separate"/>
            </w:r>
            <w:r>
              <w:rPr>
                <w:rFonts w:hAnsi="宋体"/>
                <w:kern w:val="2"/>
                <w:sz w:val="24"/>
                <w:szCs w:val="24"/>
              </w:rPr>
              <w:t>⑵</w:t>
            </w:r>
            <w:r>
              <w:rPr>
                <w:kern w:val="2"/>
                <w:sz w:val="24"/>
                <w:szCs w:val="24"/>
              </w:rPr>
              <w:fldChar w:fldCharType="end"/>
            </w:r>
            <w:r>
              <w:rPr>
                <w:rFonts w:hAnsi="宋体"/>
                <w:kern w:val="2"/>
                <w:sz w:val="24"/>
                <w:szCs w:val="24"/>
              </w:rPr>
              <w:t>第四系全新统冲积层（</w:t>
            </w:r>
            <w:r>
              <w:rPr>
                <w:kern w:val="2"/>
                <w:sz w:val="24"/>
                <w:szCs w:val="24"/>
              </w:rPr>
              <w:t>Q</w:t>
            </w:r>
            <w:r>
              <w:rPr>
                <w:kern w:val="2"/>
                <w:sz w:val="24"/>
                <w:szCs w:val="24"/>
                <w:vertAlign w:val="subscript"/>
              </w:rPr>
              <w:t>4</w:t>
            </w:r>
            <w:r>
              <w:rPr>
                <w:kern w:val="2"/>
                <w:sz w:val="24"/>
                <w:szCs w:val="24"/>
                <w:vertAlign w:val="superscript"/>
              </w:rPr>
              <w:t>al</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1 \* GB3 </w:instrText>
            </w:r>
            <w:r>
              <w:rPr>
                <w:kern w:val="2"/>
                <w:sz w:val="24"/>
                <w:szCs w:val="24"/>
              </w:rPr>
              <w:fldChar w:fldCharType="separate"/>
            </w:r>
            <w:r>
              <w:rPr>
                <w:rFonts w:hAnsi="宋体"/>
                <w:kern w:val="2"/>
                <w:sz w:val="24"/>
                <w:szCs w:val="24"/>
              </w:rPr>
              <w:t>①</w:t>
            </w:r>
            <w:r>
              <w:rPr>
                <w:kern w:val="2"/>
                <w:sz w:val="24"/>
                <w:szCs w:val="24"/>
              </w:rPr>
              <w:fldChar w:fldCharType="end"/>
            </w:r>
            <w:r>
              <w:rPr>
                <w:rFonts w:hAnsi="宋体"/>
                <w:kern w:val="2"/>
                <w:sz w:val="24"/>
                <w:szCs w:val="24"/>
              </w:rPr>
              <w:t>中液限粘质土：黄褐色、灰黄色，可塑，刀切面较光滑，无摇震反应，中压缩性，干强度中，韧性中等。实测标贯锤击数为</w:t>
            </w:r>
            <w:r>
              <w:rPr>
                <w:kern w:val="2"/>
                <w:sz w:val="24"/>
                <w:szCs w:val="24"/>
              </w:rPr>
              <w:t>8-9</w:t>
            </w:r>
            <w:r>
              <w:rPr>
                <w:rFonts w:hAnsi="宋体"/>
                <w:kern w:val="2"/>
                <w:sz w:val="24"/>
                <w:szCs w:val="24"/>
              </w:rPr>
              <w:t>击，压缩系数为</w:t>
            </w:r>
            <w:r>
              <w:rPr>
                <w:kern w:val="2"/>
                <w:sz w:val="24"/>
                <w:szCs w:val="24"/>
              </w:rPr>
              <w:t>0.34mpa</w:t>
            </w:r>
            <w:r>
              <w:rPr>
                <w:kern w:val="2"/>
                <w:sz w:val="24"/>
                <w:szCs w:val="24"/>
                <w:vertAlign w:val="superscript"/>
              </w:rPr>
              <w:t>-1</w:t>
            </w:r>
            <w:r>
              <w:rPr>
                <w:rFonts w:hAnsi="宋体"/>
                <w:kern w:val="2"/>
                <w:sz w:val="24"/>
                <w:szCs w:val="24"/>
              </w:rPr>
              <w:t>，为中等压缩性。透水性差，揭露层厚</w:t>
            </w:r>
            <w:r>
              <w:rPr>
                <w:kern w:val="2"/>
                <w:sz w:val="24"/>
                <w:szCs w:val="24"/>
              </w:rPr>
              <w:t>2.1-6.5m</w:t>
            </w:r>
            <w:r>
              <w:rPr>
                <w:rFonts w:hAnsi="宋体"/>
                <w:kern w:val="2"/>
                <w:sz w:val="24"/>
                <w:szCs w:val="24"/>
              </w:rPr>
              <w:t>，层顶标高</w:t>
            </w:r>
            <w:r>
              <w:rPr>
                <w:kern w:val="2"/>
                <w:sz w:val="24"/>
                <w:szCs w:val="24"/>
              </w:rPr>
              <w:t>16.12-19.50m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2 \* GB3 </w:instrText>
            </w:r>
            <w:r>
              <w:rPr>
                <w:kern w:val="2"/>
                <w:sz w:val="24"/>
                <w:szCs w:val="24"/>
              </w:rPr>
              <w:fldChar w:fldCharType="separate"/>
            </w:r>
            <w:r>
              <w:rPr>
                <w:rFonts w:ascii="宋体" w:hAnsi="宋体"/>
                <w:kern w:val="2"/>
                <w:sz w:val="24"/>
                <w:szCs w:val="24"/>
              </w:rPr>
              <w:t>②</w:t>
            </w:r>
            <w:r>
              <w:rPr>
                <w:kern w:val="2"/>
                <w:sz w:val="24"/>
                <w:szCs w:val="24"/>
              </w:rPr>
              <w:fldChar w:fldCharType="end"/>
            </w:r>
            <w:r>
              <w:rPr>
                <w:rFonts w:hAnsi="宋体"/>
                <w:kern w:val="2"/>
                <w:sz w:val="24"/>
                <w:szCs w:val="24"/>
              </w:rPr>
              <w:t>细砂土：灰黄</w:t>
            </w:r>
            <w:r>
              <w:rPr>
                <w:kern w:val="2"/>
                <w:sz w:val="24"/>
                <w:szCs w:val="24"/>
              </w:rPr>
              <w:t>-</w:t>
            </w:r>
            <w:r>
              <w:rPr>
                <w:rFonts w:hAnsi="宋体"/>
                <w:kern w:val="2"/>
                <w:sz w:val="24"/>
                <w:szCs w:val="24"/>
              </w:rPr>
              <w:t>浅黄色，饱和，松散，组分以细砂粒为主，成分为石英、云母。实测标准贯入击数为</w:t>
            </w:r>
            <w:r>
              <w:rPr>
                <w:kern w:val="2"/>
                <w:sz w:val="24"/>
                <w:szCs w:val="24"/>
              </w:rPr>
              <w:t>7-8</w:t>
            </w:r>
            <w:r>
              <w:rPr>
                <w:rFonts w:hAnsi="宋体"/>
                <w:kern w:val="2"/>
                <w:sz w:val="24"/>
                <w:szCs w:val="24"/>
              </w:rPr>
              <w:t>击。该层仅分布于赣江</w:t>
            </w:r>
            <w:r>
              <w:rPr>
                <w:rFonts w:ascii="宋体" w:hAnsi="宋体"/>
                <w:kern w:val="2"/>
                <w:sz w:val="24"/>
                <w:szCs w:val="24"/>
              </w:rPr>
              <w:t>Ⅰ</w:t>
            </w:r>
            <w:r>
              <w:rPr>
                <w:rFonts w:hAnsi="宋体"/>
                <w:kern w:val="2"/>
                <w:sz w:val="24"/>
                <w:szCs w:val="24"/>
              </w:rPr>
              <w:t>级阶地，层厚</w:t>
            </w:r>
            <w:r>
              <w:rPr>
                <w:kern w:val="2"/>
                <w:sz w:val="24"/>
                <w:szCs w:val="24"/>
              </w:rPr>
              <w:t>1.50-2.50m</w:t>
            </w:r>
            <w:r>
              <w:rPr>
                <w:rFonts w:hAnsi="宋体"/>
                <w:kern w:val="2"/>
                <w:sz w:val="24"/>
                <w:szCs w:val="24"/>
              </w:rPr>
              <w:t>，层顶埋深</w:t>
            </w:r>
            <w:r>
              <w:rPr>
                <w:kern w:val="2"/>
                <w:sz w:val="24"/>
                <w:szCs w:val="24"/>
              </w:rPr>
              <w:t>2.60-3.40m</w:t>
            </w:r>
            <w:r>
              <w:rPr>
                <w:rFonts w:hAnsi="宋体"/>
                <w:kern w:val="2"/>
                <w:sz w:val="24"/>
                <w:szCs w:val="24"/>
              </w:rPr>
              <w:t>，层顶标高</w:t>
            </w:r>
            <w:r>
              <w:rPr>
                <w:kern w:val="2"/>
                <w:sz w:val="24"/>
                <w:szCs w:val="24"/>
              </w:rPr>
              <w:t>15.84-16.41m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3 \* GB3 </w:instrText>
            </w:r>
            <w:r>
              <w:rPr>
                <w:kern w:val="2"/>
                <w:sz w:val="24"/>
                <w:szCs w:val="24"/>
              </w:rPr>
              <w:fldChar w:fldCharType="separate"/>
            </w:r>
            <w:r>
              <w:rPr>
                <w:rFonts w:ascii="宋体" w:hAnsi="宋体"/>
                <w:kern w:val="2"/>
                <w:sz w:val="24"/>
                <w:szCs w:val="24"/>
              </w:rPr>
              <w:t>③</w:t>
            </w:r>
            <w:r>
              <w:rPr>
                <w:kern w:val="2"/>
                <w:sz w:val="24"/>
                <w:szCs w:val="24"/>
              </w:rPr>
              <w:fldChar w:fldCharType="end"/>
            </w:r>
            <w:r>
              <w:rPr>
                <w:rFonts w:hAnsi="宋体"/>
                <w:kern w:val="2"/>
                <w:sz w:val="24"/>
                <w:szCs w:val="24"/>
              </w:rPr>
              <w:t>有机质高液限粘质土：浅灰色、黑灰色，饱水，软</w:t>
            </w:r>
            <w:r>
              <w:rPr>
                <w:kern w:val="2"/>
                <w:sz w:val="24"/>
                <w:szCs w:val="24"/>
              </w:rPr>
              <w:t>-</w:t>
            </w:r>
            <w:r>
              <w:rPr>
                <w:rFonts w:hAnsi="宋体"/>
                <w:kern w:val="2"/>
                <w:sz w:val="24"/>
                <w:szCs w:val="24"/>
              </w:rPr>
              <w:t>流塑状。成分以粉粘粒为主，局部含腐植物及粉细砂。有摇震反应，稍有光滑，干强度高，压缩系数平均值为</w:t>
            </w:r>
            <w:r>
              <w:rPr>
                <w:kern w:val="2"/>
                <w:sz w:val="24"/>
                <w:szCs w:val="24"/>
              </w:rPr>
              <w:t>0.77mpa</w:t>
            </w:r>
            <w:r>
              <w:rPr>
                <w:kern w:val="2"/>
                <w:sz w:val="24"/>
                <w:szCs w:val="24"/>
                <w:vertAlign w:val="superscript"/>
              </w:rPr>
              <w:t>-1</w:t>
            </w:r>
            <w:r>
              <w:rPr>
                <w:rFonts w:hAnsi="宋体"/>
                <w:kern w:val="2"/>
                <w:sz w:val="24"/>
                <w:szCs w:val="24"/>
              </w:rPr>
              <w:t>，高压缩性，透水性差，该层仅见于临江段，揭露层厚</w:t>
            </w:r>
            <w:r>
              <w:rPr>
                <w:kern w:val="2"/>
                <w:sz w:val="24"/>
                <w:szCs w:val="24"/>
              </w:rPr>
              <w:t>0.7-3.7m</w:t>
            </w:r>
            <w:r>
              <w:rPr>
                <w:rFonts w:hAnsi="宋体"/>
                <w:kern w:val="2"/>
                <w:sz w:val="24"/>
                <w:szCs w:val="24"/>
              </w:rPr>
              <w:t>，层顶埋深</w:t>
            </w:r>
            <w:r>
              <w:rPr>
                <w:kern w:val="2"/>
                <w:sz w:val="24"/>
                <w:szCs w:val="24"/>
              </w:rPr>
              <w:t>2.10-4.90m</w:t>
            </w:r>
            <w:r>
              <w:rPr>
                <w:rFonts w:hAnsi="宋体"/>
                <w:kern w:val="2"/>
                <w:sz w:val="24"/>
                <w:szCs w:val="24"/>
              </w:rPr>
              <w:t>，层顶标高</w:t>
            </w:r>
            <w:r>
              <w:rPr>
                <w:kern w:val="2"/>
                <w:sz w:val="24"/>
                <w:szCs w:val="24"/>
              </w:rPr>
              <w:t>12.93-15.36m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4 \* GB3 </w:instrText>
            </w:r>
            <w:r>
              <w:rPr>
                <w:kern w:val="2"/>
                <w:sz w:val="24"/>
                <w:szCs w:val="24"/>
              </w:rPr>
              <w:fldChar w:fldCharType="separate"/>
            </w:r>
            <w:r>
              <w:rPr>
                <w:rFonts w:ascii="宋体" w:hAnsi="宋体"/>
                <w:kern w:val="2"/>
                <w:sz w:val="24"/>
                <w:szCs w:val="24"/>
              </w:rPr>
              <w:t>④</w:t>
            </w:r>
            <w:r>
              <w:rPr>
                <w:kern w:val="2"/>
                <w:sz w:val="24"/>
                <w:szCs w:val="24"/>
              </w:rPr>
              <w:fldChar w:fldCharType="end"/>
            </w:r>
            <w:r>
              <w:rPr>
                <w:rFonts w:hAnsi="宋体"/>
                <w:kern w:val="2"/>
                <w:sz w:val="24"/>
                <w:szCs w:val="24"/>
              </w:rPr>
              <w:t>中液限粘质土：黄褐色，可塑，以粉粘粒为主，含铁、锰质核，无摇震反应，刀切面较光滑，干强度高，韧性中等，压缩系数平均值为</w:t>
            </w:r>
            <w:r>
              <w:rPr>
                <w:kern w:val="2"/>
                <w:sz w:val="24"/>
                <w:szCs w:val="24"/>
              </w:rPr>
              <w:t>0.35mpa</w:t>
            </w:r>
            <w:r>
              <w:rPr>
                <w:kern w:val="2"/>
                <w:sz w:val="24"/>
                <w:szCs w:val="24"/>
                <w:vertAlign w:val="superscript"/>
              </w:rPr>
              <w:t>-1</w:t>
            </w:r>
            <w:r>
              <w:rPr>
                <w:rFonts w:hAnsi="宋体"/>
                <w:kern w:val="2"/>
                <w:sz w:val="24"/>
                <w:szCs w:val="24"/>
              </w:rPr>
              <w:t>，压缩性中，实测标准贯入击数</w:t>
            </w:r>
            <w:r>
              <w:rPr>
                <w:kern w:val="2"/>
                <w:sz w:val="24"/>
                <w:szCs w:val="24"/>
              </w:rPr>
              <w:t>7</w:t>
            </w:r>
            <w:r>
              <w:rPr>
                <w:rFonts w:hAnsi="宋体"/>
                <w:kern w:val="2"/>
                <w:sz w:val="24"/>
                <w:szCs w:val="24"/>
              </w:rPr>
              <w:t>击，该层见于</w:t>
            </w:r>
            <w:r>
              <w:rPr>
                <w:rFonts w:ascii="宋体" w:hAnsi="宋体"/>
                <w:kern w:val="2"/>
                <w:sz w:val="24"/>
                <w:szCs w:val="24"/>
              </w:rPr>
              <w:t>Ⅰ</w:t>
            </w:r>
            <w:r>
              <w:rPr>
                <w:rFonts w:hAnsi="宋体"/>
                <w:kern w:val="2"/>
                <w:sz w:val="24"/>
                <w:szCs w:val="24"/>
              </w:rPr>
              <w:t>级阶地，层厚</w:t>
            </w:r>
            <w:r>
              <w:rPr>
                <w:kern w:val="2"/>
                <w:sz w:val="24"/>
                <w:szCs w:val="24"/>
              </w:rPr>
              <w:t>2.90-5.20m</w:t>
            </w:r>
            <w:r>
              <w:rPr>
                <w:rFonts w:hAnsi="宋体"/>
                <w:kern w:val="2"/>
                <w:sz w:val="24"/>
                <w:szCs w:val="24"/>
              </w:rPr>
              <w:t>，层顶埋深</w:t>
            </w:r>
            <w:r>
              <w:rPr>
                <w:kern w:val="2"/>
                <w:sz w:val="24"/>
                <w:szCs w:val="24"/>
              </w:rPr>
              <w:t>4.30-6.00m</w:t>
            </w:r>
            <w:r>
              <w:rPr>
                <w:rFonts w:hAnsi="宋体"/>
                <w:kern w:val="2"/>
                <w:sz w:val="24"/>
                <w:szCs w:val="24"/>
              </w:rPr>
              <w:t>，层顶标高</w:t>
            </w:r>
            <w:r>
              <w:rPr>
                <w:kern w:val="2"/>
                <w:sz w:val="24"/>
                <w:szCs w:val="24"/>
              </w:rPr>
              <w:t>11.62-14.91m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5 \* GB3 </w:instrText>
            </w:r>
            <w:r>
              <w:rPr>
                <w:kern w:val="2"/>
                <w:sz w:val="24"/>
                <w:szCs w:val="24"/>
              </w:rPr>
              <w:fldChar w:fldCharType="separate"/>
            </w:r>
            <w:r>
              <w:rPr>
                <w:rFonts w:ascii="宋体" w:hAnsi="宋体"/>
                <w:kern w:val="2"/>
                <w:sz w:val="24"/>
                <w:szCs w:val="24"/>
              </w:rPr>
              <w:t>⑤</w:t>
            </w:r>
            <w:r>
              <w:rPr>
                <w:kern w:val="2"/>
                <w:sz w:val="24"/>
                <w:szCs w:val="24"/>
              </w:rPr>
              <w:fldChar w:fldCharType="end"/>
            </w:r>
            <w:r>
              <w:rPr>
                <w:rFonts w:hAnsi="宋体"/>
                <w:kern w:val="2"/>
                <w:sz w:val="24"/>
                <w:szCs w:val="24"/>
              </w:rPr>
              <w:t>细砂土：灰黄</w:t>
            </w:r>
            <w:r>
              <w:rPr>
                <w:kern w:val="2"/>
                <w:sz w:val="24"/>
                <w:szCs w:val="24"/>
              </w:rPr>
              <w:t>-</w:t>
            </w:r>
            <w:r>
              <w:rPr>
                <w:rFonts w:hAnsi="宋体"/>
                <w:kern w:val="2"/>
                <w:sz w:val="24"/>
                <w:szCs w:val="24"/>
              </w:rPr>
              <w:t>浅黄色，饱和，松散，组分以细砂粒为主，成分为石英、云母。实测标准贯入击数</w:t>
            </w:r>
            <w:r>
              <w:rPr>
                <w:kern w:val="2"/>
                <w:sz w:val="24"/>
                <w:szCs w:val="24"/>
              </w:rPr>
              <w:t>7-11</w:t>
            </w:r>
            <w:r>
              <w:rPr>
                <w:rFonts w:hAnsi="宋体"/>
                <w:kern w:val="2"/>
                <w:sz w:val="24"/>
                <w:szCs w:val="24"/>
              </w:rPr>
              <w:t>击，该层分布于赣江</w:t>
            </w:r>
            <w:r>
              <w:rPr>
                <w:rFonts w:ascii="宋体" w:hAnsi="宋体"/>
                <w:kern w:val="2"/>
                <w:sz w:val="24"/>
                <w:szCs w:val="24"/>
              </w:rPr>
              <w:t>Ⅰ</w:t>
            </w:r>
            <w:r>
              <w:rPr>
                <w:rFonts w:hAnsi="宋体"/>
                <w:kern w:val="2"/>
                <w:sz w:val="24"/>
                <w:szCs w:val="24"/>
              </w:rPr>
              <w:t>级阶地，层厚</w:t>
            </w:r>
            <w:r>
              <w:rPr>
                <w:kern w:val="2"/>
                <w:sz w:val="24"/>
                <w:szCs w:val="24"/>
              </w:rPr>
              <w:t>1.40-4.60m</w:t>
            </w:r>
            <w:r>
              <w:rPr>
                <w:rFonts w:hAnsi="宋体"/>
                <w:kern w:val="2"/>
                <w:sz w:val="24"/>
                <w:szCs w:val="24"/>
              </w:rPr>
              <w:t>，层顶埋深</w:t>
            </w:r>
            <w:r>
              <w:rPr>
                <w:kern w:val="2"/>
                <w:sz w:val="24"/>
                <w:szCs w:val="24"/>
              </w:rPr>
              <w:t>4.80-10.50m</w:t>
            </w:r>
            <w:r>
              <w:rPr>
                <w:rFonts w:hAnsi="宋体"/>
                <w:kern w:val="2"/>
                <w:sz w:val="24"/>
                <w:szCs w:val="24"/>
              </w:rPr>
              <w:t>，层顶标高</w:t>
            </w:r>
            <w:r>
              <w:rPr>
                <w:kern w:val="2"/>
                <w:sz w:val="24"/>
                <w:szCs w:val="24"/>
              </w:rPr>
              <w:t>7.23-12.30m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6 \* GB3 </w:instrText>
            </w:r>
            <w:r>
              <w:rPr>
                <w:kern w:val="2"/>
                <w:sz w:val="24"/>
                <w:szCs w:val="24"/>
              </w:rPr>
              <w:fldChar w:fldCharType="separate"/>
            </w:r>
            <w:r>
              <w:rPr>
                <w:rFonts w:ascii="宋体" w:hAnsi="宋体"/>
                <w:kern w:val="2"/>
                <w:sz w:val="24"/>
                <w:szCs w:val="24"/>
              </w:rPr>
              <w:t>⑥</w:t>
            </w:r>
            <w:r>
              <w:rPr>
                <w:kern w:val="2"/>
                <w:sz w:val="24"/>
                <w:szCs w:val="24"/>
              </w:rPr>
              <w:fldChar w:fldCharType="end"/>
            </w:r>
            <w:r>
              <w:rPr>
                <w:rFonts w:hAnsi="宋体"/>
                <w:kern w:val="2"/>
                <w:sz w:val="24"/>
                <w:szCs w:val="24"/>
              </w:rPr>
              <w:t>砾砂土：褐黄</w:t>
            </w:r>
            <w:r>
              <w:rPr>
                <w:kern w:val="2"/>
                <w:sz w:val="24"/>
                <w:szCs w:val="24"/>
              </w:rPr>
              <w:t>-</w:t>
            </w:r>
            <w:r>
              <w:rPr>
                <w:rFonts w:hAnsi="宋体"/>
                <w:kern w:val="2"/>
                <w:sz w:val="24"/>
                <w:szCs w:val="24"/>
              </w:rPr>
              <w:t>浅黄、灰黄色，饱和，稍密，组分以细砾粒为主，次为中粗砂粒褐黄色，成分为石英、云母，实测重击数为</w:t>
            </w:r>
            <w:r>
              <w:rPr>
                <w:kern w:val="2"/>
                <w:sz w:val="24"/>
                <w:szCs w:val="24"/>
              </w:rPr>
              <w:t>10-12</w:t>
            </w:r>
            <w:r>
              <w:rPr>
                <w:rFonts w:hAnsi="宋体"/>
                <w:kern w:val="2"/>
                <w:sz w:val="24"/>
                <w:szCs w:val="24"/>
              </w:rPr>
              <w:t>击，修正后击数</w:t>
            </w:r>
            <w:r>
              <w:rPr>
                <w:kern w:val="2"/>
                <w:sz w:val="24"/>
                <w:szCs w:val="24"/>
              </w:rPr>
              <w:t>8</w:t>
            </w:r>
            <w:r>
              <w:rPr>
                <w:rFonts w:hAnsi="宋体"/>
                <w:kern w:val="2"/>
                <w:sz w:val="24"/>
                <w:szCs w:val="24"/>
              </w:rPr>
              <w:t>击，分布于赣江</w:t>
            </w:r>
            <w:r>
              <w:rPr>
                <w:rFonts w:ascii="宋体" w:hAnsi="宋体"/>
                <w:kern w:val="2"/>
                <w:sz w:val="24"/>
                <w:szCs w:val="24"/>
              </w:rPr>
              <w:t>Ⅰ</w:t>
            </w:r>
            <w:r>
              <w:rPr>
                <w:rFonts w:hAnsi="宋体"/>
                <w:kern w:val="2"/>
                <w:sz w:val="24"/>
                <w:szCs w:val="24"/>
              </w:rPr>
              <w:t>级阶地，层厚</w:t>
            </w:r>
            <w:r>
              <w:rPr>
                <w:kern w:val="2"/>
                <w:sz w:val="24"/>
                <w:szCs w:val="24"/>
              </w:rPr>
              <w:t>0.30-4.40m</w:t>
            </w:r>
            <w:r>
              <w:rPr>
                <w:rFonts w:hAnsi="宋体"/>
                <w:kern w:val="2"/>
                <w:sz w:val="24"/>
                <w:szCs w:val="24"/>
              </w:rPr>
              <w:t>，顶层埋深</w:t>
            </w:r>
            <w:r>
              <w:rPr>
                <w:kern w:val="2"/>
                <w:sz w:val="24"/>
                <w:szCs w:val="24"/>
              </w:rPr>
              <w:t>10.20-13.70m</w:t>
            </w:r>
            <w:r>
              <w:rPr>
                <w:rFonts w:hAnsi="宋体"/>
                <w:kern w:val="2"/>
                <w:sz w:val="24"/>
                <w:szCs w:val="24"/>
              </w:rPr>
              <w:t>，顶层标高</w:t>
            </w:r>
            <w:r>
              <w:rPr>
                <w:kern w:val="2"/>
                <w:sz w:val="24"/>
                <w:szCs w:val="24"/>
              </w:rPr>
              <w:t>5.14-9.04m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3 \* GB2 </w:instrText>
            </w:r>
            <w:r>
              <w:rPr>
                <w:kern w:val="2"/>
                <w:sz w:val="24"/>
                <w:szCs w:val="24"/>
              </w:rPr>
              <w:fldChar w:fldCharType="separate"/>
            </w:r>
            <w:r>
              <w:rPr>
                <w:rFonts w:ascii="宋体" w:hAnsi="宋体"/>
                <w:kern w:val="2"/>
                <w:sz w:val="24"/>
                <w:szCs w:val="24"/>
              </w:rPr>
              <w:t>⑶</w:t>
            </w:r>
            <w:r>
              <w:rPr>
                <w:kern w:val="2"/>
                <w:sz w:val="24"/>
                <w:szCs w:val="24"/>
              </w:rPr>
              <w:fldChar w:fldCharType="end"/>
            </w:r>
            <w:r>
              <w:rPr>
                <w:rFonts w:hAnsi="宋体"/>
                <w:kern w:val="2"/>
                <w:sz w:val="24"/>
                <w:szCs w:val="24"/>
              </w:rPr>
              <w:t>第四系上更新统冲积层（</w:t>
            </w:r>
            <w:r>
              <w:rPr>
                <w:kern w:val="2"/>
                <w:sz w:val="24"/>
                <w:szCs w:val="24"/>
              </w:rPr>
              <w:t>Q</w:t>
            </w:r>
            <w:r>
              <w:rPr>
                <w:kern w:val="2"/>
                <w:sz w:val="24"/>
                <w:szCs w:val="24"/>
                <w:vertAlign w:val="subscript"/>
              </w:rPr>
              <w:t>3</w:t>
            </w:r>
            <w:r>
              <w:rPr>
                <w:kern w:val="2"/>
                <w:sz w:val="24"/>
                <w:szCs w:val="24"/>
                <w:vertAlign w:val="superscript"/>
              </w:rPr>
              <w:t>al</w:t>
            </w:r>
            <w:r>
              <w:rPr>
                <w:rFonts w:hAnsi="宋体"/>
                <w:kern w:val="2"/>
                <w:sz w:val="24"/>
                <w:szCs w:val="24"/>
              </w:rPr>
              <w:t>）</w:t>
            </w:r>
          </w:p>
          <w:p>
            <w:pPr>
              <w:adjustRightInd/>
              <w:spacing w:line="360" w:lineRule="auto"/>
              <w:ind w:firstLine="480" w:firstLineChars="200"/>
              <w:textAlignment w:val="auto"/>
              <w:rPr>
                <w:kern w:val="2"/>
                <w:sz w:val="24"/>
                <w:szCs w:val="24"/>
              </w:rPr>
            </w:pPr>
            <w:r>
              <w:rPr>
                <w:rFonts w:hAnsi="宋体"/>
                <w:kern w:val="2"/>
                <w:sz w:val="24"/>
                <w:szCs w:val="24"/>
              </w:rPr>
              <w:t>中液限粘质土：浅黄色、棕黄色，硬塑，以粉粘粒为主，含铁、锰质结核，无摇震反应，刀切面较光滑，干强度高，韧性中等。压缩系数平均值为</w:t>
            </w:r>
            <w:r>
              <w:rPr>
                <w:kern w:val="2"/>
                <w:sz w:val="24"/>
                <w:szCs w:val="24"/>
              </w:rPr>
              <w:t>0.36mpa</w:t>
            </w:r>
            <w:r>
              <w:rPr>
                <w:kern w:val="2"/>
                <w:sz w:val="24"/>
                <w:szCs w:val="24"/>
                <w:vertAlign w:val="superscript"/>
              </w:rPr>
              <w:t>-1</w:t>
            </w:r>
            <w:r>
              <w:rPr>
                <w:rFonts w:hAnsi="宋体"/>
                <w:kern w:val="2"/>
                <w:sz w:val="24"/>
                <w:szCs w:val="24"/>
              </w:rPr>
              <w:t>，压缩性中，实测标准贯入击数</w:t>
            </w:r>
            <w:r>
              <w:rPr>
                <w:kern w:val="2"/>
                <w:sz w:val="24"/>
                <w:szCs w:val="24"/>
              </w:rPr>
              <w:t>11-13</w:t>
            </w:r>
            <w:r>
              <w:rPr>
                <w:rFonts w:hAnsi="宋体"/>
                <w:kern w:val="2"/>
                <w:sz w:val="24"/>
                <w:szCs w:val="24"/>
              </w:rPr>
              <w:t>击，该层见于</w:t>
            </w:r>
            <w:r>
              <w:rPr>
                <w:rFonts w:ascii="宋体" w:hAnsi="宋体"/>
                <w:kern w:val="2"/>
                <w:sz w:val="24"/>
                <w:szCs w:val="24"/>
              </w:rPr>
              <w:t>Ⅱ</w:t>
            </w:r>
            <w:r>
              <w:rPr>
                <w:rFonts w:hAnsi="宋体"/>
                <w:kern w:val="2"/>
                <w:sz w:val="24"/>
                <w:szCs w:val="24"/>
              </w:rPr>
              <w:t>级阶地，直接露出地表，层厚</w:t>
            </w:r>
            <w:r>
              <w:rPr>
                <w:kern w:val="2"/>
                <w:sz w:val="24"/>
                <w:szCs w:val="24"/>
              </w:rPr>
              <w:t>2.80-5.80m</w:t>
            </w:r>
            <w:r>
              <w:rPr>
                <w:rFonts w:hAnsi="宋体"/>
                <w:kern w:val="2"/>
                <w:sz w:val="24"/>
                <w:szCs w:val="24"/>
              </w:rPr>
              <w:t>，层顶标高</w:t>
            </w:r>
            <w:r>
              <w:rPr>
                <w:kern w:val="2"/>
                <w:sz w:val="24"/>
                <w:szCs w:val="24"/>
              </w:rPr>
              <w:t>21.15-27.50m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4 \* GB2 </w:instrText>
            </w:r>
            <w:r>
              <w:rPr>
                <w:kern w:val="2"/>
                <w:sz w:val="24"/>
                <w:szCs w:val="24"/>
              </w:rPr>
              <w:fldChar w:fldCharType="separate"/>
            </w:r>
            <w:r>
              <w:rPr>
                <w:rFonts w:ascii="宋体" w:hAnsi="宋体"/>
                <w:kern w:val="2"/>
                <w:sz w:val="24"/>
                <w:szCs w:val="24"/>
              </w:rPr>
              <w:t>⑷</w:t>
            </w:r>
            <w:r>
              <w:rPr>
                <w:kern w:val="2"/>
                <w:sz w:val="24"/>
                <w:szCs w:val="24"/>
              </w:rPr>
              <w:fldChar w:fldCharType="end"/>
            </w:r>
            <w:r>
              <w:rPr>
                <w:rFonts w:hAnsi="宋体"/>
                <w:kern w:val="2"/>
                <w:sz w:val="24"/>
                <w:szCs w:val="24"/>
              </w:rPr>
              <w:t>第四系中更新统残积层（</w:t>
            </w:r>
            <w:r>
              <w:rPr>
                <w:kern w:val="2"/>
                <w:sz w:val="24"/>
                <w:szCs w:val="24"/>
              </w:rPr>
              <w:t>Q</w:t>
            </w:r>
            <w:r>
              <w:rPr>
                <w:kern w:val="2"/>
                <w:sz w:val="24"/>
                <w:szCs w:val="24"/>
                <w:vertAlign w:val="subscript"/>
              </w:rPr>
              <w:t>2</w:t>
            </w:r>
            <w:r>
              <w:rPr>
                <w:kern w:val="2"/>
                <w:sz w:val="24"/>
                <w:szCs w:val="24"/>
                <w:vertAlign w:val="superscript"/>
              </w:rPr>
              <w:t>el</w:t>
            </w:r>
            <w:r>
              <w:rPr>
                <w:rFonts w:hAnsi="宋体"/>
                <w:kern w:val="2"/>
                <w:sz w:val="24"/>
                <w:szCs w:val="24"/>
              </w:rPr>
              <w:t>）</w:t>
            </w:r>
          </w:p>
          <w:p>
            <w:pPr>
              <w:adjustRightInd/>
              <w:spacing w:after="0" w:line="360" w:lineRule="auto"/>
              <w:ind w:firstLine="480" w:firstLineChars="200"/>
              <w:textAlignment w:val="auto"/>
              <w:rPr>
                <w:kern w:val="2"/>
                <w:sz w:val="24"/>
                <w:szCs w:val="24"/>
              </w:rPr>
            </w:pPr>
            <w:r>
              <w:rPr>
                <w:rFonts w:hAnsi="宋体"/>
                <w:kern w:val="2"/>
                <w:sz w:val="24"/>
                <w:szCs w:val="24"/>
              </w:rPr>
              <w:t>中液限粘质土：棕红色、褐黄色，硬塑</w:t>
            </w:r>
            <w:r>
              <w:rPr>
                <w:kern w:val="2"/>
                <w:sz w:val="24"/>
                <w:szCs w:val="24"/>
              </w:rPr>
              <w:t>-</w:t>
            </w:r>
            <w:r>
              <w:rPr>
                <w:rFonts w:hAnsi="宋体"/>
                <w:kern w:val="2"/>
                <w:sz w:val="24"/>
                <w:szCs w:val="24"/>
              </w:rPr>
              <w:t>坚硬，以粉粘粒为主，含少量细粒，无摇震反应，刀切面较光滑，压缩性中，干强度高，韧性中等，压缩系数平均值为</w:t>
            </w:r>
          </w:p>
        </w:tc>
      </w:tr>
    </w:tbl>
    <w:p>
      <w:pPr>
        <w:sectPr>
          <w:headerReference w:type="default" r:id="rId54"/>
          <w:footerReference w:type="even" r:id="rId55"/>
          <w:footerReference w:type="default" r:id="rId56"/>
          <w:headerReference w:type="first" r:id="rId57"/>
          <w:footerReference w:type="first" r:id="rId58"/>
          <w:type w:val="nextPage"/>
          <w:pgSz w:w="11907" w:h="16840"/>
          <w:pgMar w:top="1418" w:right="1418" w:bottom="1418" w:left="1418" w:header="851" w:footer="992" w:gutter="113"/>
          <w:pgNumType w:start="11"/>
          <w:cols w:space="708"/>
          <w:titlePg w:val="0"/>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
      <w:tblGrid>
        <w:gridCol w:w="9160"/>
      </w:tblGrid>
      <w:tr>
        <w:tblPrEx>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Ex>
        <w:trPr>
          <w:trHeight w:val="1388"/>
        </w:trPr>
        <w:tc>
          <w:tcPr>
            <w:tcW w:w="9160" w:type="dxa"/>
            <w:tcBorders>
              <w:bottom w:val="single" w:sz="4" w:space="0" w:color="auto"/>
            </w:tcBorders>
          </w:tcPr>
          <w:p>
            <w:pPr>
              <w:adjustRightInd/>
              <w:spacing w:before="0" w:line="360" w:lineRule="auto"/>
              <w:ind w:firstLine="480" w:firstLineChars="200"/>
              <w:textAlignment w:val="auto"/>
              <w:rPr>
                <w:kern w:val="2"/>
                <w:sz w:val="24"/>
                <w:szCs w:val="24"/>
              </w:rPr>
            </w:pPr>
            <w:r>
              <w:rPr>
                <w:kern w:val="2"/>
                <w:sz w:val="24"/>
                <w:szCs w:val="24"/>
              </w:rPr>
              <w:t>0.21mpa</w:t>
            </w:r>
            <w:r>
              <w:rPr>
                <w:kern w:val="2"/>
                <w:sz w:val="24"/>
                <w:szCs w:val="24"/>
                <w:vertAlign w:val="superscript"/>
              </w:rPr>
              <w:t>-1</w:t>
            </w:r>
            <w:r>
              <w:rPr>
                <w:rFonts w:hAnsi="宋体"/>
                <w:kern w:val="2"/>
                <w:sz w:val="24"/>
                <w:szCs w:val="24"/>
              </w:rPr>
              <w:t>，压缩性中，实测标准贯入击数</w:t>
            </w:r>
            <w:r>
              <w:rPr>
                <w:kern w:val="2"/>
                <w:sz w:val="24"/>
                <w:szCs w:val="24"/>
              </w:rPr>
              <w:t>14-17</w:t>
            </w:r>
            <w:r>
              <w:rPr>
                <w:rFonts w:hAnsi="宋体"/>
                <w:kern w:val="2"/>
                <w:sz w:val="24"/>
                <w:szCs w:val="24"/>
              </w:rPr>
              <w:t>击，该层见于岗埠的大部分地段，层厚</w:t>
            </w:r>
            <w:r>
              <w:rPr>
                <w:kern w:val="2"/>
                <w:sz w:val="24"/>
                <w:szCs w:val="24"/>
              </w:rPr>
              <w:t>1.30-6.50m</w:t>
            </w:r>
            <w:r>
              <w:rPr>
                <w:rFonts w:hAnsi="宋体"/>
                <w:kern w:val="2"/>
                <w:sz w:val="24"/>
                <w:szCs w:val="24"/>
              </w:rPr>
              <w:t>，层顶标高</w:t>
            </w:r>
            <w:r>
              <w:rPr>
                <w:kern w:val="2"/>
                <w:sz w:val="24"/>
                <w:szCs w:val="24"/>
              </w:rPr>
              <w:t>27.55-46.40m</w:t>
            </w:r>
            <w:r>
              <w:rPr>
                <w:rFonts w:hAnsi="宋体"/>
                <w:kern w:val="2"/>
                <w:sz w:val="24"/>
                <w:szCs w:val="24"/>
              </w:rPr>
              <w:t>。</w:t>
            </w:r>
          </w:p>
          <w:p>
            <w:pPr>
              <w:adjustRightInd/>
              <w:spacing w:line="360" w:lineRule="auto"/>
              <w:ind w:firstLine="480" w:firstLineChars="200"/>
              <w:textAlignment w:val="auto"/>
              <w:rPr>
                <w:rFonts w:hint="eastAsia"/>
                <w:kern w:val="2"/>
                <w:sz w:val="24"/>
                <w:szCs w:val="24"/>
              </w:rPr>
            </w:pPr>
            <w:r>
              <w:rPr>
                <w:kern w:val="2"/>
                <w:sz w:val="24"/>
                <w:szCs w:val="24"/>
              </w:rPr>
              <w:fldChar w:fldCharType="begin"/>
            </w:r>
            <w:r>
              <w:rPr>
                <w:kern w:val="2"/>
                <w:sz w:val="24"/>
                <w:szCs w:val="24"/>
              </w:rPr>
              <w:instrText xml:space="preserve"> = 5 \* GB2 </w:instrText>
            </w:r>
            <w:r>
              <w:rPr>
                <w:kern w:val="2"/>
                <w:sz w:val="24"/>
                <w:szCs w:val="24"/>
              </w:rPr>
              <w:fldChar w:fldCharType="separate"/>
            </w:r>
            <w:r>
              <w:rPr>
                <w:rFonts w:ascii="宋体" w:hAnsi="宋体"/>
                <w:kern w:val="2"/>
                <w:sz w:val="24"/>
                <w:szCs w:val="24"/>
              </w:rPr>
              <w:t>⑸</w:t>
            </w:r>
            <w:r>
              <w:rPr>
                <w:kern w:val="2"/>
                <w:sz w:val="24"/>
                <w:szCs w:val="24"/>
              </w:rPr>
              <w:fldChar w:fldCharType="end"/>
            </w:r>
            <w:r>
              <w:rPr>
                <w:rFonts w:hAnsi="宋体"/>
                <w:kern w:val="2"/>
                <w:sz w:val="24"/>
                <w:szCs w:val="24"/>
              </w:rPr>
              <w:t>第三系新余群</w:t>
            </w:r>
          </w:p>
          <w:p>
            <w:pPr>
              <w:spacing w:line="360" w:lineRule="auto"/>
              <w:ind w:firstLine="480" w:firstLineChars="200"/>
              <w:rPr>
                <w:kern w:val="2"/>
                <w:sz w:val="24"/>
                <w:szCs w:val="24"/>
              </w:rPr>
            </w:pPr>
            <w:r>
              <w:rPr>
                <w:rFonts w:hAnsi="宋体"/>
                <w:kern w:val="2"/>
                <w:sz w:val="24"/>
                <w:szCs w:val="24"/>
              </w:rPr>
              <w:t>泥质粉砂岩：紫红色，泥质结构，厚层状构造，组分以泥质为主，泥质胶结，产状平缓，雨水易软化，干燥易崩解，遇水稳定性差，岩石较完整。按其风化程度的差异可分为强风化、弱风化、微风化及未风化四个亚层。</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1 \* GB3 </w:instrText>
            </w:r>
            <w:r>
              <w:rPr>
                <w:kern w:val="2"/>
                <w:sz w:val="24"/>
                <w:szCs w:val="24"/>
              </w:rPr>
              <w:fldChar w:fldCharType="separate"/>
            </w:r>
            <w:r>
              <w:rPr>
                <w:rFonts w:ascii="宋体" w:hAnsi="宋体"/>
                <w:kern w:val="2"/>
                <w:sz w:val="24"/>
                <w:szCs w:val="24"/>
              </w:rPr>
              <w:t>①</w:t>
            </w:r>
            <w:r>
              <w:rPr>
                <w:kern w:val="2"/>
                <w:sz w:val="24"/>
                <w:szCs w:val="24"/>
              </w:rPr>
              <w:fldChar w:fldCharType="end"/>
            </w:r>
            <w:r>
              <w:rPr>
                <w:rFonts w:hAnsi="宋体"/>
                <w:kern w:val="2"/>
                <w:sz w:val="24"/>
                <w:szCs w:val="24"/>
              </w:rPr>
              <w:t>强风化泥质粉砂岩：胶结性差，风化裂隙发育，岩石风化强烈，岩芯多呈泥状及碎块状，手捻易碎，岩质软，强度低，该层全场见及，钻孔揭穿深度范围内，层厚一般</w:t>
            </w:r>
            <w:r>
              <w:rPr>
                <w:kern w:val="2"/>
                <w:sz w:val="24"/>
                <w:szCs w:val="24"/>
              </w:rPr>
              <w:t>0.20-6.10m</w:t>
            </w:r>
            <w:r>
              <w:rPr>
                <w:rFonts w:hAnsi="宋体"/>
                <w:kern w:val="2"/>
                <w:sz w:val="24"/>
                <w:szCs w:val="24"/>
              </w:rPr>
              <w:t>，层顶埋深一般</w:t>
            </w:r>
            <w:r>
              <w:rPr>
                <w:kern w:val="2"/>
                <w:sz w:val="24"/>
                <w:szCs w:val="24"/>
              </w:rPr>
              <w:t>3.40-14.80m</w:t>
            </w:r>
            <w:r>
              <w:rPr>
                <w:rFonts w:hAnsi="宋体"/>
                <w:kern w:val="2"/>
                <w:sz w:val="24"/>
                <w:szCs w:val="24"/>
              </w:rPr>
              <w:t>，层顶标高</w:t>
            </w:r>
            <w:r>
              <w:rPr>
                <w:kern w:val="2"/>
                <w:sz w:val="24"/>
                <w:szCs w:val="24"/>
              </w:rPr>
              <w:t>4.54-42.20m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2 \* GB3 </w:instrText>
            </w:r>
            <w:r>
              <w:rPr>
                <w:kern w:val="2"/>
                <w:sz w:val="24"/>
                <w:szCs w:val="24"/>
              </w:rPr>
              <w:fldChar w:fldCharType="separate"/>
            </w:r>
            <w:r>
              <w:rPr>
                <w:rFonts w:ascii="宋体" w:hAnsi="宋体"/>
                <w:kern w:val="2"/>
                <w:sz w:val="24"/>
                <w:szCs w:val="24"/>
              </w:rPr>
              <w:t>②</w:t>
            </w:r>
            <w:r>
              <w:rPr>
                <w:kern w:val="2"/>
                <w:sz w:val="24"/>
                <w:szCs w:val="24"/>
              </w:rPr>
              <w:fldChar w:fldCharType="end"/>
            </w:r>
            <w:r>
              <w:rPr>
                <w:rFonts w:hAnsi="宋体"/>
                <w:kern w:val="2"/>
                <w:sz w:val="24"/>
                <w:szCs w:val="24"/>
              </w:rPr>
              <w:t>中风化泥质粉砂岩：岩芯多呈柱状，少量呈短柱状，锤击声易碎，节理裂隙较发育，岩芯较完整，岩石饱和单轴极限抗压强度标准值为</w:t>
            </w:r>
            <w:r>
              <w:rPr>
                <w:kern w:val="2"/>
                <w:sz w:val="24"/>
                <w:szCs w:val="24"/>
              </w:rPr>
              <w:t>7.0mpa</w:t>
            </w:r>
            <w:r>
              <w:rPr>
                <w:rFonts w:hAnsi="宋体"/>
                <w:kern w:val="2"/>
                <w:sz w:val="24"/>
                <w:szCs w:val="24"/>
              </w:rPr>
              <w:t>，软化系数平均值为</w:t>
            </w:r>
            <w:r>
              <w:rPr>
                <w:kern w:val="2"/>
                <w:sz w:val="24"/>
                <w:szCs w:val="24"/>
              </w:rPr>
              <w:t>0.30</w:t>
            </w:r>
            <w:r>
              <w:rPr>
                <w:rFonts w:hAnsi="宋体"/>
                <w:kern w:val="2"/>
                <w:sz w:val="24"/>
                <w:szCs w:val="24"/>
              </w:rPr>
              <w:t>，属软岩，岩体基本质量等级为</w:t>
            </w:r>
            <w:r>
              <w:rPr>
                <w:rFonts w:ascii="宋体" w:hAnsi="宋体"/>
                <w:kern w:val="2"/>
                <w:sz w:val="24"/>
                <w:szCs w:val="24"/>
              </w:rPr>
              <w:t>Ⅳ</w:t>
            </w:r>
            <w:r>
              <w:rPr>
                <w:rFonts w:hAnsi="宋体"/>
                <w:kern w:val="2"/>
                <w:sz w:val="24"/>
                <w:szCs w:val="24"/>
              </w:rPr>
              <w:t>级，钻孔揭穿深度范围内，层厚一般</w:t>
            </w:r>
            <w:r>
              <w:rPr>
                <w:kern w:val="2"/>
                <w:sz w:val="24"/>
                <w:szCs w:val="24"/>
              </w:rPr>
              <w:t>2.40-12.50m</w:t>
            </w:r>
            <w:r>
              <w:rPr>
                <w:rFonts w:hAnsi="宋体"/>
                <w:kern w:val="2"/>
                <w:sz w:val="24"/>
                <w:szCs w:val="24"/>
              </w:rPr>
              <w:t>，层顶埋深一般</w:t>
            </w:r>
            <w:r>
              <w:rPr>
                <w:kern w:val="2"/>
                <w:sz w:val="24"/>
                <w:szCs w:val="24"/>
              </w:rPr>
              <w:t>3.40-12.20m</w:t>
            </w:r>
            <w:r>
              <w:rPr>
                <w:rFonts w:hAnsi="宋体"/>
                <w:kern w:val="2"/>
                <w:sz w:val="24"/>
                <w:szCs w:val="24"/>
              </w:rPr>
              <w:t>，层顶标高</w:t>
            </w:r>
            <w:r>
              <w:rPr>
                <w:kern w:val="2"/>
                <w:sz w:val="24"/>
                <w:szCs w:val="24"/>
              </w:rPr>
              <w:t>15.40-36.60m</w:t>
            </w:r>
            <w:r>
              <w:rPr>
                <w:rFonts w:hAnsi="宋体"/>
                <w:kern w:val="2"/>
                <w:sz w:val="24"/>
                <w:szCs w:val="24"/>
              </w:rPr>
              <w:t>。</w:t>
            </w:r>
          </w:p>
          <w:p>
            <w:pPr>
              <w:adjustRightInd/>
              <w:spacing w:line="360" w:lineRule="auto"/>
              <w:ind w:firstLine="480" w:firstLineChars="200"/>
              <w:textAlignment w:val="auto"/>
              <w:rPr>
                <w:kern w:val="2"/>
                <w:sz w:val="24"/>
                <w:szCs w:val="24"/>
              </w:rPr>
            </w:pPr>
            <w:r>
              <w:rPr>
                <w:kern w:val="2"/>
                <w:sz w:val="24"/>
                <w:szCs w:val="24"/>
              </w:rPr>
              <w:fldChar w:fldCharType="begin"/>
            </w:r>
            <w:r>
              <w:rPr>
                <w:kern w:val="2"/>
                <w:sz w:val="24"/>
                <w:szCs w:val="24"/>
              </w:rPr>
              <w:instrText xml:space="preserve"> = 3 \* GB3 </w:instrText>
            </w:r>
            <w:r>
              <w:rPr>
                <w:kern w:val="2"/>
                <w:sz w:val="24"/>
                <w:szCs w:val="24"/>
              </w:rPr>
              <w:fldChar w:fldCharType="separate"/>
            </w:r>
            <w:r>
              <w:rPr>
                <w:rFonts w:ascii="宋体" w:hAnsi="宋体"/>
                <w:kern w:val="2"/>
                <w:sz w:val="24"/>
                <w:szCs w:val="24"/>
              </w:rPr>
              <w:t>③</w:t>
            </w:r>
            <w:r>
              <w:rPr>
                <w:kern w:val="2"/>
                <w:sz w:val="24"/>
                <w:szCs w:val="24"/>
              </w:rPr>
              <w:fldChar w:fldCharType="end"/>
            </w:r>
            <w:r>
              <w:rPr>
                <w:rFonts w:hAnsi="宋体"/>
                <w:kern w:val="2"/>
                <w:sz w:val="24"/>
                <w:szCs w:val="24"/>
              </w:rPr>
              <w:t>微风化泥质粉砂岩：岩芯多呈长柱状，少量呈柱状，锤击声响不易碎，节理裂隙不发育，岩芯完整，岩石饱和单轴极限抗压强度标准值为</w:t>
            </w:r>
            <w:r>
              <w:rPr>
                <w:kern w:val="2"/>
                <w:sz w:val="24"/>
                <w:szCs w:val="24"/>
              </w:rPr>
              <w:t>8.8mpa</w:t>
            </w:r>
            <w:r>
              <w:rPr>
                <w:rFonts w:hAnsi="宋体"/>
                <w:kern w:val="2"/>
                <w:sz w:val="24"/>
                <w:szCs w:val="24"/>
              </w:rPr>
              <w:t>，软化系数平均值为</w:t>
            </w:r>
            <w:r>
              <w:rPr>
                <w:kern w:val="2"/>
                <w:sz w:val="24"/>
                <w:szCs w:val="24"/>
              </w:rPr>
              <w:t>0.32</w:t>
            </w:r>
            <w:r>
              <w:rPr>
                <w:rFonts w:hAnsi="宋体"/>
                <w:kern w:val="2"/>
                <w:sz w:val="24"/>
                <w:szCs w:val="24"/>
              </w:rPr>
              <w:t>，属软岩，岩体基本质量等级为</w:t>
            </w:r>
            <w:r>
              <w:rPr>
                <w:rFonts w:ascii="宋体" w:hAnsi="宋体"/>
                <w:kern w:val="2"/>
                <w:sz w:val="24"/>
                <w:szCs w:val="24"/>
              </w:rPr>
              <w:t>Ⅳ</w:t>
            </w:r>
            <w:r>
              <w:rPr>
                <w:rFonts w:hAnsi="宋体"/>
                <w:kern w:val="2"/>
                <w:sz w:val="24"/>
                <w:szCs w:val="24"/>
              </w:rPr>
              <w:t>级，钻孔揭穿深度范围内，层厚一般</w:t>
            </w:r>
            <w:r>
              <w:rPr>
                <w:kern w:val="2"/>
                <w:sz w:val="24"/>
                <w:szCs w:val="24"/>
              </w:rPr>
              <w:t>5.20-7.10m</w:t>
            </w:r>
            <w:r>
              <w:rPr>
                <w:rFonts w:hAnsi="宋体"/>
                <w:kern w:val="2"/>
                <w:sz w:val="24"/>
                <w:szCs w:val="24"/>
              </w:rPr>
              <w:t>，层顶埋深一般</w:t>
            </w:r>
            <w:r>
              <w:rPr>
                <w:kern w:val="2"/>
                <w:sz w:val="24"/>
                <w:szCs w:val="24"/>
              </w:rPr>
              <w:t>11.10-16.30m</w:t>
            </w:r>
            <w:r>
              <w:rPr>
                <w:rFonts w:hAnsi="宋体"/>
                <w:kern w:val="2"/>
                <w:sz w:val="24"/>
                <w:szCs w:val="24"/>
              </w:rPr>
              <w:t>，层顶标高</w:t>
            </w:r>
            <w:r>
              <w:rPr>
                <w:kern w:val="2"/>
                <w:sz w:val="24"/>
                <w:szCs w:val="24"/>
              </w:rPr>
              <w:t>18.28-28.04m</w:t>
            </w:r>
            <w:r>
              <w:rPr>
                <w:rFonts w:hAnsi="宋体"/>
                <w:kern w:val="2"/>
                <w:sz w:val="24"/>
                <w:szCs w:val="24"/>
              </w:rPr>
              <w:t>。</w:t>
            </w:r>
          </w:p>
          <w:p>
            <w:pPr>
              <w:tabs>
                <w:tab w:val="left" w:pos="4834"/>
              </w:tabs>
              <w:adjustRightInd/>
              <w:spacing w:line="360" w:lineRule="auto"/>
              <w:ind w:firstLine="493"/>
              <w:textAlignment w:val="auto"/>
              <w:rPr>
                <w:kern w:val="18"/>
                <w:sz w:val="24"/>
                <w:szCs w:val="24"/>
              </w:rPr>
            </w:pPr>
            <w:r>
              <w:rPr>
                <w:spacing w:val="4"/>
                <w:kern w:val="18"/>
                <w:sz w:val="24"/>
                <w:szCs w:val="24"/>
              </w:rPr>
              <w:fldChar w:fldCharType="begin"/>
            </w:r>
            <w:r>
              <w:rPr>
                <w:spacing w:val="4"/>
                <w:kern w:val="18"/>
                <w:sz w:val="24"/>
                <w:szCs w:val="24"/>
              </w:rPr>
              <w:instrText xml:space="preserve"> = 4 \* GB3 </w:instrText>
            </w:r>
            <w:r>
              <w:rPr>
                <w:spacing w:val="4"/>
                <w:kern w:val="18"/>
                <w:sz w:val="24"/>
                <w:szCs w:val="24"/>
              </w:rPr>
              <w:fldChar w:fldCharType="separate"/>
            </w:r>
            <w:r>
              <w:rPr>
                <w:rFonts w:ascii="宋体" w:hAnsi="宋体"/>
                <w:spacing w:val="4"/>
                <w:kern w:val="18"/>
                <w:sz w:val="24"/>
                <w:szCs w:val="24"/>
              </w:rPr>
              <w:t>④</w:t>
            </w:r>
            <w:r>
              <w:rPr>
                <w:spacing w:val="4"/>
                <w:kern w:val="18"/>
                <w:sz w:val="24"/>
                <w:szCs w:val="24"/>
              </w:rPr>
              <w:fldChar w:fldCharType="end"/>
            </w:r>
            <w:r>
              <w:rPr>
                <w:rFonts w:hAnsi="宋体"/>
                <w:spacing w:val="4"/>
                <w:kern w:val="18"/>
                <w:sz w:val="24"/>
                <w:szCs w:val="24"/>
              </w:rPr>
              <w:t>未风化泥质粉砂岩：风化裂隙少见，岩芯呈长柱状，锤击声响不易，岩质新鲜，岩芯完整，揭露层厚</w:t>
            </w:r>
            <w:r>
              <w:rPr>
                <w:spacing w:val="4"/>
                <w:kern w:val="18"/>
                <w:sz w:val="24"/>
                <w:szCs w:val="24"/>
              </w:rPr>
              <w:t>2.50-6.00m</w:t>
            </w:r>
            <w:r>
              <w:rPr>
                <w:rFonts w:hAnsi="宋体"/>
                <w:spacing w:val="4"/>
                <w:kern w:val="18"/>
                <w:sz w:val="24"/>
                <w:szCs w:val="24"/>
              </w:rPr>
              <w:t>，层顶埋深一般</w:t>
            </w:r>
            <w:r>
              <w:rPr>
                <w:spacing w:val="4"/>
                <w:kern w:val="18"/>
                <w:sz w:val="24"/>
                <w:szCs w:val="24"/>
              </w:rPr>
              <w:t>17.50-23.00m</w:t>
            </w:r>
            <w:r>
              <w:rPr>
                <w:rFonts w:hAnsi="宋体"/>
                <w:spacing w:val="4"/>
                <w:kern w:val="18"/>
                <w:sz w:val="24"/>
                <w:szCs w:val="24"/>
              </w:rPr>
              <w:t>，层顶标高一般</w:t>
            </w:r>
            <w:r>
              <w:rPr>
                <w:spacing w:val="4"/>
                <w:kern w:val="18"/>
                <w:sz w:val="24"/>
                <w:szCs w:val="24"/>
              </w:rPr>
              <w:t>12.48-20.94m</w:t>
            </w:r>
            <w:r>
              <w:rPr>
                <w:rFonts w:hAnsi="宋体"/>
                <w:spacing w:val="4"/>
                <w:kern w:val="18"/>
                <w:sz w:val="24"/>
                <w:szCs w:val="24"/>
              </w:rPr>
              <w:t>。</w:t>
            </w:r>
          </w:p>
          <w:p>
            <w:pPr>
              <w:spacing w:before="120" w:beforeLines="50" w:line="360" w:lineRule="auto"/>
              <w:ind w:left="51" w:firstLine="427" w:firstLineChars="178"/>
              <w:rPr>
                <w:b/>
                <w:sz w:val="24"/>
              </w:rPr>
            </w:pPr>
            <w:r>
              <w:rPr>
                <w:b/>
                <w:sz w:val="24"/>
              </w:rPr>
              <w:t>4.</w:t>
            </w:r>
            <w:r>
              <w:rPr>
                <w:rFonts w:hAnsi="宋体"/>
                <w:b/>
                <w:sz w:val="24"/>
              </w:rPr>
              <w:t>气候、气象</w:t>
            </w:r>
          </w:p>
          <w:p>
            <w:pPr>
              <w:tabs>
                <w:tab w:val="left" w:pos="4834"/>
              </w:tabs>
              <w:adjustRightInd/>
              <w:spacing w:line="360" w:lineRule="auto"/>
              <w:ind w:firstLine="493"/>
              <w:textAlignment w:val="auto"/>
              <w:rPr>
                <w:rFonts w:ascii="宋体" w:hAnsi="宋体"/>
                <w:spacing w:val="4"/>
                <w:kern w:val="18"/>
                <w:sz w:val="24"/>
                <w:szCs w:val="24"/>
              </w:rPr>
            </w:pPr>
            <w:r>
              <w:rPr>
                <w:rFonts w:ascii="宋体" w:hAnsi="宋体"/>
                <w:spacing w:val="4"/>
                <w:kern w:val="18"/>
                <w:sz w:val="24"/>
                <w:szCs w:val="24"/>
              </w:rPr>
              <w:t>抚州市属亚热带湿润季风气候区，气候温和，四季分明，降水充沛，日照充足，无霜期长。多年平均气温17.8℃，最热月7月份平均气温29.6℃，最冷月1月份平均气温5.2℃，历年极端最高气温41℃，发生在1971年7月31日；右年极端最低气温-8.8℃，发生在1972年2月9日。多年平均相对湿度80%，多年平均无霜期275天。</w:t>
            </w:r>
          </w:p>
          <w:p>
            <w:pPr>
              <w:tabs>
                <w:tab w:val="left" w:pos="4834"/>
              </w:tabs>
              <w:adjustRightInd/>
              <w:spacing w:after="0" w:line="360" w:lineRule="auto"/>
              <w:ind w:firstLine="493"/>
              <w:textAlignment w:val="auto"/>
              <w:rPr>
                <w:rFonts w:ascii="宋体" w:hAnsi="宋体"/>
                <w:spacing w:val="4"/>
                <w:kern w:val="18"/>
                <w:sz w:val="24"/>
                <w:szCs w:val="24"/>
              </w:rPr>
            </w:pPr>
          </w:p>
        </w:tc>
      </w:tr>
    </w:tbl>
    <w:p>
      <w:pPr>
        <w:sectPr>
          <w:headerReference w:type="default" r:id="rId59"/>
          <w:footerReference w:type="even" r:id="rId60"/>
          <w:footerReference w:type="default" r:id="rId61"/>
          <w:headerReference w:type="first" r:id="rId62"/>
          <w:footerReference w:type="first" r:id="rId63"/>
          <w:type w:val="nextPage"/>
          <w:pgSz w:w="11907" w:h="16840"/>
          <w:pgMar w:top="1418" w:right="1418" w:bottom="1418" w:left="1418" w:header="851" w:footer="992" w:gutter="113"/>
          <w:pgNumType w:start="12"/>
          <w:cols w:space="708"/>
          <w:titlePg w:val="0"/>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
      <w:tblGrid>
        <w:gridCol w:w="9160"/>
      </w:tblGrid>
      <w:tr>
        <w:tblPrEx>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Ex>
        <w:trPr>
          <w:trHeight w:val="1388"/>
        </w:trPr>
        <w:tc>
          <w:tcPr>
            <w:tcW w:w="9160" w:type="dxa"/>
            <w:tcBorders>
              <w:bottom w:val="single" w:sz="4" w:space="0" w:color="auto"/>
            </w:tcBorders>
          </w:tcPr>
          <w:p>
            <w:pPr>
              <w:tabs>
                <w:tab w:val="left" w:pos="4834"/>
              </w:tabs>
              <w:adjustRightInd/>
              <w:spacing w:before="0" w:line="360" w:lineRule="auto"/>
              <w:ind w:firstLine="493"/>
              <w:textAlignment w:val="auto"/>
              <w:rPr>
                <w:rFonts w:ascii="宋体" w:hAnsi="宋体"/>
                <w:spacing w:val="4"/>
                <w:kern w:val="18"/>
                <w:sz w:val="24"/>
                <w:szCs w:val="24"/>
              </w:rPr>
            </w:pPr>
            <w:r>
              <w:rPr>
                <w:rFonts w:ascii="宋体" w:hAnsi="宋体"/>
                <w:spacing w:val="4"/>
                <w:kern w:val="18"/>
                <w:sz w:val="24"/>
                <w:szCs w:val="24"/>
              </w:rPr>
              <w:t>抚州市雨量充沛，多年平均降水量1668.4mm，历年最大降水量2480.5mm(1954年)，历年最小年降水量975.6mm(1986)，最大年降水量是最小年降水量的2.5倍。年内分配也极不均匀，降水主要集中在每年4～6月，4～6月的降水量占年总降水量的47.5%；10月～次年1月份降水量较少，仅占全年总量的14.7%；5月份降水量最大，占年降水量的17.3%；12月份降水量最小，占年降水量的4.2%。</w:t>
            </w:r>
          </w:p>
          <w:p>
            <w:pPr>
              <w:tabs>
                <w:tab w:val="left" w:pos="4834"/>
              </w:tabs>
              <w:adjustRightInd/>
              <w:spacing w:line="360" w:lineRule="auto"/>
              <w:ind w:firstLine="493"/>
              <w:textAlignment w:val="auto"/>
              <w:rPr>
                <w:rFonts w:ascii="宋体" w:hAnsi="宋体"/>
                <w:spacing w:val="4"/>
                <w:kern w:val="18"/>
                <w:sz w:val="24"/>
                <w:szCs w:val="24"/>
              </w:rPr>
            </w:pPr>
            <w:r>
              <w:rPr>
                <w:rFonts w:ascii="宋体" w:hAnsi="宋体"/>
                <w:spacing w:val="4"/>
                <w:kern w:val="18"/>
                <w:sz w:val="24"/>
                <w:szCs w:val="24"/>
              </w:rPr>
              <w:t>抚州市多年平均蒸发量1035.2mm。最大年蒸发量1426.9mm(1969年)，最小年蒸发量804.2mm(1975年)，最大年蒸发量是最小年蒸发量的1.8倍；7～9月份蒸发量最大，占全年蒸发量的45%，12月～次年2月份蒸发量最小，仅占全年的10%。市区多年平均风速2.3m/s，全年风向变化较大，全年主导风向为西北偏北。</w:t>
            </w:r>
          </w:p>
          <w:p>
            <w:pPr>
              <w:spacing w:before="120" w:beforeLines="50" w:line="360" w:lineRule="auto"/>
              <w:ind w:left="51" w:firstLine="427" w:firstLineChars="178"/>
              <w:rPr>
                <w:b/>
                <w:sz w:val="24"/>
              </w:rPr>
            </w:pPr>
            <w:r>
              <w:rPr>
                <w:b/>
                <w:sz w:val="24"/>
              </w:rPr>
              <w:t>5.</w:t>
            </w:r>
            <w:r>
              <w:rPr>
                <w:rFonts w:hAnsi="宋体"/>
                <w:b/>
                <w:sz w:val="24"/>
              </w:rPr>
              <w:t>水系</w:t>
            </w:r>
          </w:p>
          <w:p>
            <w:pPr>
              <w:tabs>
                <w:tab w:val="left" w:pos="4834"/>
              </w:tabs>
              <w:adjustRightInd/>
              <w:spacing w:line="360" w:lineRule="auto"/>
              <w:ind w:firstLine="480" w:firstLineChars="200"/>
              <w:textAlignment w:val="auto"/>
              <w:rPr>
                <w:rFonts w:hAnsi="宋体"/>
                <w:sz w:val="24"/>
                <w:szCs w:val="24"/>
              </w:rPr>
            </w:pPr>
            <w:r>
              <w:rPr>
                <w:rFonts w:hAnsi="宋体"/>
                <w:sz w:val="24"/>
                <w:szCs w:val="24"/>
              </w:rPr>
              <w:t>抚州市城区位于临水与抚河交汇处，东有抚河，西有宜黄水和临水。临水与抚河在城东相汇，城区处在东北西三面环水的平原区。风岗河和跳石岗河分别从新城区以南的黄坊和上顿渡以南的舍头村，自南向北蜿蜒曲折地流经老城区以西的城西和上顿渡镇，最后从黄桥和抚临闸(或抚临排涝站)入临水。</w:t>
            </w:r>
          </w:p>
          <w:p>
            <w:pPr>
              <w:tabs>
                <w:tab w:val="left" w:pos="4834"/>
              </w:tabs>
              <w:adjustRightInd/>
              <w:spacing w:line="360" w:lineRule="auto"/>
              <w:ind w:firstLine="480" w:firstLineChars="200"/>
              <w:textAlignment w:val="auto"/>
              <w:rPr>
                <w:rFonts w:hAnsi="宋体"/>
                <w:sz w:val="24"/>
                <w:szCs w:val="24"/>
              </w:rPr>
            </w:pPr>
            <w:r>
              <w:rPr>
                <w:rFonts w:hAnsi="宋体"/>
                <w:sz w:val="24"/>
                <w:szCs w:val="24"/>
              </w:rPr>
              <w:t>抚河：发源于赣闽边界武夷山西麓光昌县梨木庄。河流自南向北流经广昌、南丰、南城，右汇黎滩河经浒湾进入中游平原，至临川左纳抚河最大支液临水，西北向流经南昌县境，在荏港改道由青岚湖入鄱阳湖。干流全长349km，从河源到南城长158km，称盱江，为上游河段。南城到临川长77.4km，称中游河段，在南城县城附近汇入抚河第二大支流黎滩河后称抚河。抚河干流在抚州市以上集水面积8723km</w:t>
            </w:r>
            <w:r>
              <w:rPr>
                <w:rFonts w:hAnsi="宋体"/>
                <w:sz w:val="24"/>
                <w:szCs w:val="24"/>
                <w:vertAlign w:val="superscript"/>
              </w:rPr>
              <w:t>2</w:t>
            </w:r>
            <w:r>
              <w:rPr>
                <w:rFonts w:hAnsi="宋体"/>
                <w:sz w:val="24"/>
                <w:szCs w:val="24"/>
              </w:rPr>
              <w:t>(廖家湾站)。</w:t>
            </w:r>
          </w:p>
          <w:p>
            <w:pPr>
              <w:tabs>
                <w:tab w:val="left" w:pos="4834"/>
              </w:tabs>
              <w:adjustRightInd/>
              <w:spacing w:line="360" w:lineRule="auto"/>
              <w:ind w:firstLine="480" w:firstLineChars="200"/>
              <w:textAlignment w:val="auto"/>
              <w:rPr>
                <w:rFonts w:hAnsi="宋体"/>
                <w:sz w:val="24"/>
                <w:szCs w:val="24"/>
              </w:rPr>
            </w:pPr>
            <w:r>
              <w:rPr>
                <w:rFonts w:hAnsi="宋体"/>
                <w:sz w:val="24"/>
                <w:szCs w:val="24"/>
              </w:rPr>
              <w:t>临水：由崇仁水与宜黄水于上顿渡大桥下游约4km处汇合而成，全流域面积5140km</w:t>
            </w:r>
            <w:r>
              <w:rPr>
                <w:rFonts w:hAnsi="宋体"/>
                <w:sz w:val="24"/>
                <w:szCs w:val="24"/>
                <w:vertAlign w:val="superscript"/>
              </w:rPr>
              <w:t>2</w:t>
            </w:r>
            <w:r>
              <w:rPr>
                <w:rFonts w:hAnsi="宋体"/>
                <w:sz w:val="24"/>
                <w:szCs w:val="24"/>
              </w:rPr>
              <w:t>，主流全长160km，为抚河最大支流。崇仁水集水面积2601km</w:t>
            </w:r>
            <w:r>
              <w:rPr>
                <w:rFonts w:hAnsi="宋体"/>
                <w:sz w:val="24"/>
                <w:szCs w:val="24"/>
                <w:vertAlign w:val="superscript"/>
              </w:rPr>
              <w:t>2</w:t>
            </w:r>
            <w:r>
              <w:rPr>
                <w:rFonts w:hAnsi="宋体"/>
                <w:sz w:val="24"/>
                <w:szCs w:val="24"/>
              </w:rPr>
              <w:t>，由宝塘水与相水于崇仁县城上首桥头村汇合而成。宜黄水集水面积2360km</w:t>
            </w:r>
            <w:r>
              <w:rPr>
                <w:rFonts w:hAnsi="宋体"/>
                <w:sz w:val="24"/>
                <w:szCs w:val="24"/>
                <w:vertAlign w:val="superscript"/>
              </w:rPr>
              <w:t>2</w:t>
            </w:r>
            <w:r>
              <w:rPr>
                <w:rFonts w:hAnsi="宋体"/>
                <w:sz w:val="24"/>
                <w:szCs w:val="24"/>
              </w:rPr>
              <w:t>，由宜水与黄水于宜黄县城附近汇合后称宜黄水。过龙骨渡、上顿渡后与崇仁水汇合。</w:t>
            </w:r>
          </w:p>
          <w:p>
            <w:pPr>
              <w:spacing w:line="360" w:lineRule="auto"/>
              <w:rPr>
                <w:kern w:val="21"/>
                <w:sz w:val="24"/>
              </w:rPr>
            </w:pPr>
            <w:r>
              <w:rPr>
                <w:rFonts w:hAnsi="宋体"/>
                <w:sz w:val="24"/>
                <w:szCs w:val="24"/>
              </w:rPr>
              <w:t>凤岗河：集水面积119km</w:t>
            </w:r>
            <w:r>
              <w:rPr>
                <w:rFonts w:hAnsi="宋体"/>
                <w:sz w:val="24"/>
                <w:szCs w:val="24"/>
                <w:vertAlign w:val="superscript"/>
              </w:rPr>
              <w:t>2</w:t>
            </w:r>
            <w:r>
              <w:rPr>
                <w:rFonts w:hAnsi="宋体"/>
                <w:sz w:val="24"/>
                <w:szCs w:val="24"/>
              </w:rPr>
              <w:t>，主河长31.74km，发源于临川黄坊，自南向北，经长岗街、风岗、仙临山，穿过新城区的罗家岭张家、高桥，沿着老城区以西的禾尚桥、黄桥入临水。风岗河地势低洼，湖、塘、洼地众多，排水不畅，当外河水位高于36m后，内河受外河顶托和倒灌影响，易造成城区大面积涝水灾害。</w:t>
            </w:r>
          </w:p>
          <w:p>
            <w:pPr>
              <w:spacing w:line="360" w:lineRule="auto"/>
              <w:rPr>
                <w:kern w:val="21"/>
                <w:sz w:val="24"/>
              </w:rPr>
            </w:pPr>
          </w:p>
          <w:p>
            <w:pPr>
              <w:spacing w:line="360" w:lineRule="auto"/>
              <w:rPr>
                <w:kern w:val="21"/>
                <w:sz w:val="24"/>
              </w:rPr>
            </w:pPr>
          </w:p>
          <w:p>
            <w:pPr>
              <w:spacing w:line="360" w:lineRule="auto"/>
              <w:rPr>
                <w:kern w:val="21"/>
                <w:sz w:val="24"/>
              </w:rPr>
            </w:pPr>
          </w:p>
          <w:p>
            <w:pPr>
              <w:spacing w:line="360" w:lineRule="auto"/>
              <w:rPr>
                <w:kern w:val="21"/>
                <w:sz w:val="24"/>
              </w:rPr>
            </w:pPr>
          </w:p>
          <w:p>
            <w:pPr>
              <w:pStyle w:val="Default1"/>
              <w:rPr>
                <w:color w:val="auto"/>
              </w:rPr>
            </w:pPr>
          </w:p>
          <w:p>
            <w:pPr>
              <w:spacing w:line="360" w:lineRule="auto"/>
              <w:rPr>
                <w:rFonts w:hint="eastAsia"/>
                <w:kern w:val="21"/>
                <w:sz w:val="24"/>
              </w:rPr>
            </w:pPr>
          </w:p>
        </w:tc>
      </w:tr>
    </w:tbl>
    <w:p>
      <w:pPr>
        <w:sectPr>
          <w:headerReference w:type="default" r:id="rId64"/>
          <w:footerReference w:type="even" r:id="rId65"/>
          <w:footerReference w:type="default" r:id="rId66"/>
          <w:headerReference w:type="first" r:id="rId67"/>
          <w:footerReference w:type="first" r:id="rId68"/>
          <w:type w:val="nextPage"/>
          <w:pgSz w:w="11907" w:h="16840"/>
          <w:pgMar w:top="1418" w:right="1418" w:bottom="1418" w:left="1418" w:header="851" w:footer="992" w:gutter="113"/>
          <w:pgNumType w:start="13"/>
          <w:cols w:space="708"/>
          <w:titlePg w:val="0"/>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
      <w:tblGrid>
        <w:gridCol w:w="9160"/>
      </w:tblGrid>
      <w:tr>
        <w:tblPrEx>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Ex>
        <w:trPr>
          <w:trHeight w:val="140"/>
        </w:trPr>
        <w:tc>
          <w:tcPr>
            <w:tcW w:w="9160" w:type="dxa"/>
            <w:tcBorders>
              <w:top w:val="single" w:sz="4" w:space="0" w:color="auto"/>
              <w:bottom w:val="single" w:sz="4" w:space="0" w:color="auto"/>
            </w:tcBorders>
          </w:tcPr>
          <w:p>
            <w:pPr>
              <w:spacing w:line="360" w:lineRule="auto"/>
              <w:rPr>
                <w:sz w:val="24"/>
              </w:rPr>
            </w:pPr>
            <w:r>
              <w:rPr>
                <w:b/>
                <w:kern w:val="21"/>
                <w:sz w:val="28"/>
              </w:rPr>
              <w:t>社会环境简况（社会经济结构、教育、文化、文物保护等）：</w:t>
            </w:r>
          </w:p>
          <w:p>
            <w:pPr>
              <w:pStyle w:val="aa"/>
              <w:ind w:firstLine="480"/>
            </w:pPr>
            <w:r>
              <w:rPr>
                <w:rFonts w:hAnsi="宋体"/>
              </w:rPr>
              <w:t>抚州市地处长三角、珠三角和闽东南三角区腹地，处于</w:t>
            </w:r>
            <w:r>
              <w:t>“</w:t>
            </w:r>
            <w:r>
              <w:rPr>
                <w:rFonts w:hAnsi="宋体"/>
              </w:rPr>
              <w:t>南昌远郊、闽台近邻</w:t>
            </w:r>
            <w:r>
              <w:t>”</w:t>
            </w:r>
            <w:r>
              <w:rPr>
                <w:rFonts w:hAnsi="宋体"/>
              </w:rPr>
              <w:t>，承东启西、贯南通北，是江西对接长珠闽的前沿阵地、通往中国台湾和东南亚的</w:t>
            </w:r>
            <w:r>
              <w:t>“</w:t>
            </w:r>
            <w:r>
              <w:rPr>
                <w:rFonts w:hAnsi="宋体"/>
              </w:rPr>
              <w:t>桥头堡</w:t>
            </w:r>
            <w:r>
              <w:t>”</w:t>
            </w:r>
            <w:r>
              <w:rPr>
                <w:rFonts w:hAnsi="宋体"/>
              </w:rPr>
              <w:t>，是国务院确定的海西经济区</w:t>
            </w:r>
            <w:r>
              <w:t>20</w:t>
            </w:r>
            <w:r>
              <w:rPr>
                <w:rFonts w:hAnsi="宋体"/>
              </w:rPr>
              <w:t>个城市之一，是江西省第一个纳入国家战略区域发展规划的鄱阳湖生态经济</w:t>
            </w:r>
            <w:r>
              <w:t>9</w:t>
            </w:r>
            <w:r>
              <w:rPr>
                <w:rFonts w:hAnsi="宋体"/>
              </w:rPr>
              <w:t>个重要城市之一，是海西经济区和鄱阳湖生态经济区的重要组成部分。</w:t>
            </w:r>
          </w:p>
          <w:p>
            <w:pPr>
              <w:pStyle w:val="aa"/>
              <w:ind w:firstLine="482"/>
              <w:rPr>
                <w:b/>
              </w:rPr>
            </w:pPr>
            <w:r>
              <w:rPr>
                <w:b/>
              </w:rPr>
              <w:t>1</w:t>
            </w:r>
            <w:r>
              <w:rPr>
                <w:rFonts w:hAnsi="宋体"/>
                <w:b/>
              </w:rPr>
              <w:t>、经济</w:t>
            </w:r>
          </w:p>
          <w:p>
            <w:pPr>
              <w:pStyle w:val="aa"/>
              <w:ind w:firstLine="480"/>
              <w:rPr>
                <w:rFonts w:hAnsi="宋体"/>
              </w:rPr>
            </w:pPr>
            <w:r>
              <w:rPr>
                <w:rFonts w:hAnsi="宋体"/>
              </w:rPr>
              <w:t>2016年，全市实现生产总值1210.91亿元，比上年增长8.8%。其中，第一产业增加值197亿元，增长4.0%；第二产业增加值591.34亿元，增长8.9%；第三产业增加值422.57亿元，增长11.2%。三次产业比由上年的16.5:49.7:33.8调整为16.3:48.8:34.9。人均生产总值30259元，比上年增长9.0%。规模以上工业增加值完成394亿元，增长9.5%；外贸出口总额118.85亿元，增长16.2%；城镇化率46.65%，提高1.68个百分点。</w:t>
            </w:r>
          </w:p>
          <w:p>
            <w:pPr>
              <w:pStyle w:val="aa"/>
              <w:ind w:firstLine="480"/>
              <w:rPr>
                <w:rFonts w:hAnsi="宋体"/>
              </w:rPr>
            </w:pPr>
            <w:r>
              <w:rPr>
                <w:rFonts w:hAnsi="宋体"/>
              </w:rPr>
              <w:t>全年完成财政总收入171.62亿元，增长3.9%。其中，税收收入143.93亿元，增长1.7%；公共财政预算收入122.80亿元，下降3.2%。全年公共财政预算支出312.34亿元，增长6.0%。坚持公共财政向困难群众倾斜，向基层倾斜，向公共事业倾斜。其中：一般公共服务支出26.70亿元，增长14.3%；公共安全支出14.66亿元，增长13.4%；科学技术支出5.57亿元，增长10.4%；文化体育与传媒支出5.34亿元，增长15.9%；社会保障和就业支出41.61亿元，增长10.4%；教育支出57.14亿元，增长1.6%；交通运输支出8.93亿元，增长76.8%；医疗卫生支出33.89亿元，增长6.5%；农林水事务支出46.93亿元，增长5.9%；商业服务业等事务支出4.59亿元，增长32.3%。</w:t>
            </w:r>
          </w:p>
          <w:p>
            <w:pPr>
              <w:pStyle w:val="aa"/>
              <w:ind w:firstLine="482"/>
              <w:rPr>
                <w:b/>
              </w:rPr>
            </w:pPr>
            <w:r>
              <w:rPr>
                <w:b/>
              </w:rPr>
              <w:t>2</w:t>
            </w:r>
            <w:r>
              <w:rPr>
                <w:rFonts w:hAnsi="宋体"/>
                <w:b/>
              </w:rPr>
              <w:t>、交通</w:t>
            </w:r>
          </w:p>
          <w:p>
            <w:pPr>
              <w:pStyle w:val="aa"/>
              <w:ind w:firstLine="480"/>
            </w:pPr>
            <w:r>
              <w:rPr>
                <w:rFonts w:hAnsi="宋体"/>
              </w:rPr>
              <w:t>公路：境内通过的公路有高速公路京福高速（北京</w:t>
            </w:r>
            <w:r>
              <w:t>--</w:t>
            </w:r>
            <w:r>
              <w:rPr>
                <w:rFonts w:hAnsi="宋体"/>
              </w:rPr>
              <w:t>福州）、济广高速（济南</w:t>
            </w:r>
            <w:r>
              <w:t>--</w:t>
            </w:r>
            <w:r>
              <w:rPr>
                <w:rFonts w:hAnsi="宋体"/>
              </w:rPr>
              <w:t>广州）、沪昆高速（上海</w:t>
            </w:r>
            <w:r>
              <w:t>--</w:t>
            </w:r>
            <w:r>
              <w:rPr>
                <w:rFonts w:hAnsi="宋体"/>
              </w:rPr>
              <w:t>昆明）、福银高速（福州</w:t>
            </w:r>
            <w:r>
              <w:t>--</w:t>
            </w:r>
            <w:r>
              <w:rPr>
                <w:rFonts w:hAnsi="宋体"/>
              </w:rPr>
              <w:t>银川）、抚吉高速（抚州</w:t>
            </w:r>
            <w:r>
              <w:t>--</w:t>
            </w:r>
            <w:r>
              <w:rPr>
                <w:rFonts w:hAnsi="宋体"/>
              </w:rPr>
              <w:t>吉安）；国道</w:t>
            </w:r>
            <w:r>
              <w:t>G206</w:t>
            </w:r>
            <w:r>
              <w:rPr>
                <w:rFonts w:hAnsi="宋体"/>
              </w:rPr>
              <w:t>（烟台</w:t>
            </w:r>
            <w:r>
              <w:t>-</w:t>
            </w:r>
            <w:r>
              <w:rPr>
                <w:rFonts w:hAnsi="宋体"/>
              </w:rPr>
              <w:t>汕头）、</w:t>
            </w:r>
            <w:r>
              <w:t>G316</w:t>
            </w:r>
            <w:r>
              <w:rPr>
                <w:rFonts w:hAnsi="宋体"/>
              </w:rPr>
              <w:t>（福州</w:t>
            </w:r>
            <w:r>
              <w:t>-</w:t>
            </w:r>
            <w:r>
              <w:rPr>
                <w:rFonts w:hAnsi="宋体"/>
              </w:rPr>
              <w:t>兰州）、</w:t>
            </w:r>
            <w:r>
              <w:t>G320</w:t>
            </w:r>
            <w:r>
              <w:rPr>
                <w:rFonts w:hAnsi="宋体"/>
              </w:rPr>
              <w:t>（上海</w:t>
            </w:r>
            <w:r>
              <w:t>-</w:t>
            </w:r>
            <w:r>
              <w:rPr>
                <w:rFonts w:hAnsi="宋体"/>
              </w:rPr>
              <w:t>瑞丽）；省道昌厦公路、</w:t>
            </w:r>
            <w:r>
              <w:t>S213</w:t>
            </w:r>
            <w:r>
              <w:rPr>
                <w:rFonts w:hAnsi="宋体"/>
              </w:rPr>
              <w:t>抚东线、</w:t>
            </w:r>
            <w:r>
              <w:t>S214</w:t>
            </w:r>
            <w:r>
              <w:rPr>
                <w:rFonts w:hAnsi="宋体"/>
              </w:rPr>
              <w:t>抚城线、</w:t>
            </w:r>
            <w:r>
              <w:t>S327</w:t>
            </w:r>
            <w:r>
              <w:rPr>
                <w:rFonts w:hAnsi="宋体"/>
              </w:rPr>
              <w:t>黎城线、</w:t>
            </w:r>
            <w:r>
              <w:t>S205</w:t>
            </w:r>
            <w:r>
              <w:rPr>
                <w:rFonts w:hAnsi="宋体"/>
              </w:rPr>
              <w:t>资茶线、</w:t>
            </w:r>
            <w:r>
              <w:t>S332</w:t>
            </w:r>
            <w:r>
              <w:rPr>
                <w:rFonts w:hAnsi="宋体"/>
              </w:rPr>
              <w:t>杉丰线、</w:t>
            </w:r>
            <w:r>
              <w:t>S211</w:t>
            </w:r>
            <w:r>
              <w:rPr>
                <w:rFonts w:hAnsi="宋体"/>
              </w:rPr>
              <w:t>南建线、</w:t>
            </w:r>
            <w:r>
              <w:t>S329</w:t>
            </w:r>
            <w:r>
              <w:rPr>
                <w:rFonts w:hAnsi="宋体"/>
              </w:rPr>
              <w:t>抚八线、</w:t>
            </w:r>
            <w:r>
              <w:t>S330</w:t>
            </w:r>
            <w:r>
              <w:rPr>
                <w:rFonts w:hAnsi="宋体"/>
              </w:rPr>
              <w:t>黄石线、</w:t>
            </w:r>
            <w:r>
              <w:t>S328</w:t>
            </w:r>
            <w:r>
              <w:rPr>
                <w:rFonts w:hAnsi="宋体"/>
              </w:rPr>
              <w:t>临崇线、</w:t>
            </w:r>
            <w:r>
              <w:t>S218</w:t>
            </w:r>
            <w:r>
              <w:rPr>
                <w:rFonts w:hAnsi="宋体"/>
              </w:rPr>
              <w:t>临宁线；市到县、县到县全部开通二级以上公路；建成县乡村水泥</w:t>
            </w:r>
            <w:r>
              <w:t>(</w:t>
            </w:r>
            <w:r>
              <w:rPr>
                <w:rFonts w:hAnsi="宋体"/>
              </w:rPr>
              <w:t>油</w:t>
            </w:r>
            <w:r>
              <w:t>)</w:t>
            </w:r>
            <w:r>
              <w:rPr>
                <w:rFonts w:hAnsi="宋体"/>
              </w:rPr>
              <w:t>路面</w:t>
            </w:r>
            <w:r>
              <w:t>822</w:t>
            </w:r>
            <w:r>
              <w:rPr>
                <w:rFonts w:hAnsi="宋体"/>
              </w:rPr>
              <w:t>公里，新增</w:t>
            </w:r>
            <w:r>
              <w:t>131</w:t>
            </w:r>
            <w:r>
              <w:rPr>
                <w:rFonts w:hAnsi="宋体"/>
              </w:rPr>
              <w:t>个行政村通水泥</w:t>
            </w:r>
            <w:r>
              <w:t>(</w:t>
            </w:r>
            <w:r>
              <w:rPr>
                <w:rFonts w:hAnsi="宋体"/>
              </w:rPr>
              <w:t>油</w:t>
            </w:r>
            <w:r>
              <w:t>)</w:t>
            </w:r>
            <w:r>
              <w:rPr>
                <w:rFonts w:hAnsi="宋体"/>
              </w:rPr>
              <w:t>路，行政村通水泥</w:t>
            </w:r>
            <w:r>
              <w:t>(</w:t>
            </w:r>
            <w:r>
              <w:rPr>
                <w:rFonts w:hAnsi="宋体"/>
              </w:rPr>
              <w:t>油</w:t>
            </w:r>
            <w:r>
              <w:t>)</w:t>
            </w:r>
            <w:r>
              <w:rPr>
                <w:rFonts w:hAnsi="宋体"/>
              </w:rPr>
              <w:t>路通达率达</w:t>
            </w:r>
            <w:r>
              <w:t>56.0%</w:t>
            </w:r>
            <w:r>
              <w:rPr>
                <w:rFonts w:hAnsi="宋体"/>
              </w:rPr>
              <w:t>。</w:t>
            </w:r>
          </w:p>
        </w:tc>
      </w:tr>
    </w:tbl>
    <w:p>
      <w:pPr>
        <w:sectPr>
          <w:headerReference w:type="default" r:id="rId69"/>
          <w:footerReference w:type="even" r:id="rId70"/>
          <w:footerReference w:type="default" r:id="rId71"/>
          <w:headerReference w:type="first" r:id="rId72"/>
          <w:footerReference w:type="first" r:id="rId73"/>
          <w:type w:val="nextPage"/>
          <w:pgSz w:w="11907" w:h="16840"/>
          <w:pgMar w:top="1418" w:right="1418" w:bottom="1418" w:left="1418" w:header="851" w:footer="992" w:gutter="113"/>
          <w:pgNumType w:start="14"/>
          <w:cols w:space="708"/>
          <w:titlePg w:val="0"/>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
      <w:tblGrid>
        <w:gridCol w:w="9160"/>
      </w:tblGrid>
      <w:tr>
        <w:tblPrEx>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Ex>
        <w:trPr>
          <w:trHeight w:val="140"/>
        </w:trPr>
        <w:tc>
          <w:tcPr>
            <w:tcW w:w="9160" w:type="dxa"/>
            <w:tcBorders>
              <w:top w:val="single" w:sz="4" w:space="0" w:color="auto"/>
              <w:bottom w:val="single" w:sz="4" w:space="0" w:color="auto"/>
            </w:tcBorders>
          </w:tcPr>
          <w:p>
            <w:pPr>
              <w:pStyle w:val="aa"/>
              <w:ind w:firstLine="480"/>
            </w:pPr>
            <w:r>
              <w:rPr>
                <w:rFonts w:hAnsi="宋体"/>
              </w:rPr>
              <w:t>铁路：境内通过的铁路有向莆铁路、向乐铁路、沪昆高铁、浙赣铁路、鹰厦铁路、可通往江西、上海、福建、浙江、湖南、江苏、北京、河南、安徽、湖北、重庆、陕西、四川等各省市。</w:t>
            </w:r>
          </w:p>
          <w:p>
            <w:pPr>
              <w:pStyle w:val="aa"/>
              <w:ind w:firstLine="480"/>
            </w:pPr>
            <w:r>
              <w:rPr>
                <w:rFonts w:hAnsi="宋体"/>
              </w:rPr>
              <w:t>航空：距离昌北国际机场</w:t>
            </w:r>
            <w:r>
              <w:t>96</w:t>
            </w:r>
            <w:r>
              <w:rPr>
                <w:rFonts w:hAnsi="宋体"/>
              </w:rPr>
              <w:t>公里，有抚州市区到昌北机场巴士快线，单程</w:t>
            </w:r>
            <w:r>
              <w:t>110</w:t>
            </w:r>
            <w:r>
              <w:rPr>
                <w:rFonts w:hAnsi="宋体"/>
              </w:rPr>
              <w:t>分钟可到达。可至香港、深圳、广州、厦门、上海、宁波、北京等各大城市。拟选址在金溪县建设抚州机场。</w:t>
            </w:r>
          </w:p>
          <w:p>
            <w:pPr>
              <w:pStyle w:val="aa"/>
              <w:ind w:firstLine="482"/>
              <w:rPr>
                <w:b/>
              </w:rPr>
            </w:pPr>
            <w:r>
              <w:rPr>
                <w:b/>
              </w:rPr>
              <w:t>3</w:t>
            </w:r>
            <w:r>
              <w:rPr>
                <w:rFonts w:hAnsi="宋体"/>
                <w:b/>
              </w:rPr>
              <w:t>、教育</w:t>
            </w:r>
          </w:p>
          <w:p>
            <w:pPr>
              <w:pStyle w:val="aa"/>
              <w:ind w:firstLine="480"/>
            </w:pPr>
            <w:r>
              <w:rPr>
                <w:rFonts w:hAnsi="宋体"/>
              </w:rPr>
              <w:t>教育质量和水平进一步提升。</w:t>
            </w:r>
            <w:r>
              <w:t>“</w:t>
            </w:r>
            <w:r>
              <w:rPr>
                <w:rFonts w:hAnsi="宋体"/>
              </w:rPr>
              <w:t>以县为主</w:t>
            </w:r>
            <w:r>
              <w:t>”</w:t>
            </w:r>
            <w:r>
              <w:rPr>
                <w:rFonts w:hAnsi="宋体"/>
              </w:rPr>
              <w:t>的农村义务教育管理体制和中小学素质教育管理体制已经建立，高考录取率连续八年居全省第一。全市共有小学</w:t>
            </w:r>
            <w:r>
              <w:t>1662</w:t>
            </w:r>
            <w:r>
              <w:rPr>
                <w:rFonts w:hAnsi="宋体"/>
              </w:rPr>
              <w:t>所，在校学生</w:t>
            </w:r>
            <w:r>
              <w:t>37.13</w:t>
            </w:r>
            <w:r>
              <w:rPr>
                <w:rFonts w:hAnsi="宋体"/>
              </w:rPr>
              <w:t>万人，比上年增长</w:t>
            </w:r>
            <w:r>
              <w:t>6.5%</w:t>
            </w:r>
            <w:r>
              <w:rPr>
                <w:rFonts w:hAnsi="宋体"/>
              </w:rPr>
              <w:t>；普通中学</w:t>
            </w:r>
            <w:r>
              <w:t>227</w:t>
            </w:r>
            <w:r>
              <w:rPr>
                <w:rFonts w:hAnsi="宋体"/>
              </w:rPr>
              <w:t>所，比上年增加</w:t>
            </w:r>
            <w:r>
              <w:t>7</w:t>
            </w:r>
            <w:r>
              <w:rPr>
                <w:rFonts w:hAnsi="宋体"/>
              </w:rPr>
              <w:t>所。普通中学在校学生</w:t>
            </w:r>
            <w:r>
              <w:t>23.57</w:t>
            </w:r>
            <w:r>
              <w:rPr>
                <w:rFonts w:hAnsi="宋体"/>
              </w:rPr>
              <w:t>万人，比上年下降</w:t>
            </w:r>
            <w:r>
              <w:t>4.1%</w:t>
            </w:r>
            <w:r>
              <w:rPr>
                <w:rFonts w:hAnsi="宋体"/>
              </w:rPr>
              <w:t>，其中普通初中在校学生</w:t>
            </w:r>
            <w:r>
              <w:t>14.97</w:t>
            </w:r>
            <w:r>
              <w:rPr>
                <w:rFonts w:hAnsi="宋体"/>
              </w:rPr>
              <w:t>万人，比上年下降</w:t>
            </w:r>
            <w:r>
              <w:t>5.3%</w:t>
            </w:r>
            <w:r>
              <w:rPr>
                <w:rFonts w:hAnsi="宋体"/>
              </w:rPr>
              <w:t>；普通高中在校学生</w:t>
            </w:r>
            <w:r>
              <w:t>8.6</w:t>
            </w:r>
            <w:r>
              <w:rPr>
                <w:rFonts w:hAnsi="宋体"/>
              </w:rPr>
              <w:t>万人，比上年下降</w:t>
            </w:r>
            <w:r>
              <w:t>1%</w:t>
            </w:r>
            <w:r>
              <w:rPr>
                <w:rFonts w:hAnsi="宋体"/>
              </w:rPr>
              <w:t>。职业高中学校</w:t>
            </w:r>
            <w:r>
              <w:t>38</w:t>
            </w:r>
            <w:r>
              <w:rPr>
                <w:rFonts w:hAnsi="宋体"/>
              </w:rPr>
              <w:t>所，在校学生</w:t>
            </w:r>
            <w:r>
              <w:t>2.49</w:t>
            </w:r>
            <w:r>
              <w:rPr>
                <w:rFonts w:hAnsi="宋体"/>
              </w:rPr>
              <w:t>万人，比上年增长</w:t>
            </w:r>
            <w:r>
              <w:t>31.7%</w:t>
            </w:r>
            <w:r>
              <w:rPr>
                <w:rFonts w:hAnsi="宋体"/>
              </w:rPr>
              <w:t>。小学学龄儿童入学率达</w:t>
            </w:r>
            <w:r>
              <w:t>100%</w:t>
            </w:r>
            <w:r>
              <w:rPr>
                <w:rFonts w:hAnsi="宋体"/>
              </w:rPr>
              <w:t>，初中阶段入学率达</w:t>
            </w:r>
            <w:r>
              <w:t>97.7%</w:t>
            </w:r>
            <w:r>
              <w:rPr>
                <w:rFonts w:hAnsi="宋体"/>
              </w:rPr>
              <w:t>。</w:t>
            </w:r>
          </w:p>
          <w:p>
            <w:pPr>
              <w:pStyle w:val="aa"/>
              <w:ind w:firstLine="482"/>
              <w:rPr>
                <w:b/>
              </w:rPr>
            </w:pPr>
            <w:r>
              <w:rPr>
                <w:b/>
              </w:rPr>
              <w:t>4</w:t>
            </w:r>
            <w:r>
              <w:rPr>
                <w:rFonts w:hAnsi="宋体"/>
                <w:b/>
              </w:rPr>
              <w:t>、广播电视</w:t>
            </w:r>
          </w:p>
          <w:p>
            <w:pPr>
              <w:pStyle w:val="aa"/>
              <w:ind w:firstLine="480"/>
            </w:pPr>
            <w:r>
              <w:rPr>
                <w:rFonts w:hAnsi="宋体"/>
              </w:rPr>
              <w:t>广播电视事业快速发展。全市通广播电视的行政村</w:t>
            </w:r>
            <w:r>
              <w:t>1844</w:t>
            </w:r>
            <w:r>
              <w:rPr>
                <w:rFonts w:hAnsi="宋体"/>
              </w:rPr>
              <w:t>个，覆盖率达</w:t>
            </w:r>
            <w:r>
              <w:t>96%</w:t>
            </w:r>
            <w:r>
              <w:rPr>
                <w:rFonts w:hAnsi="宋体"/>
              </w:rPr>
              <w:t>。全市有乡镇广播电视机构</w:t>
            </w:r>
            <w:r>
              <w:t>151</w:t>
            </w:r>
            <w:r>
              <w:rPr>
                <w:rFonts w:hAnsi="宋体"/>
              </w:rPr>
              <w:t>个，广播综合人口覆盖率达</w:t>
            </w:r>
            <w:r>
              <w:t>90.3%</w:t>
            </w:r>
            <w:r>
              <w:rPr>
                <w:rFonts w:hAnsi="宋体"/>
              </w:rPr>
              <w:t>，电视综合人口覆盖率达</w:t>
            </w:r>
            <w:r>
              <w:t>94.8%</w:t>
            </w:r>
            <w:r>
              <w:rPr>
                <w:rFonts w:hAnsi="宋体"/>
              </w:rPr>
              <w:t>。</w:t>
            </w:r>
          </w:p>
          <w:p>
            <w:pPr>
              <w:pStyle w:val="aa"/>
              <w:ind w:firstLine="482"/>
              <w:rPr>
                <w:b/>
              </w:rPr>
            </w:pPr>
            <w:r>
              <w:rPr>
                <w:b/>
              </w:rPr>
              <w:t>5</w:t>
            </w:r>
            <w:r>
              <w:rPr>
                <w:rFonts w:hAnsi="宋体"/>
                <w:b/>
              </w:rPr>
              <w:t>、卫生</w:t>
            </w:r>
          </w:p>
          <w:p>
            <w:pPr>
              <w:pStyle w:val="aa"/>
              <w:ind w:firstLine="480"/>
            </w:pPr>
            <w:r>
              <w:rPr>
                <w:rFonts w:hAnsi="宋体"/>
              </w:rPr>
              <w:t>卫生事业不断进步。全市各类医疗卫生机构</w:t>
            </w:r>
            <w:r>
              <w:t>279</w:t>
            </w:r>
            <w:r>
              <w:rPr>
                <w:rFonts w:hAnsi="宋体"/>
              </w:rPr>
              <w:t>个，比上年增加</w:t>
            </w:r>
            <w:r>
              <w:t>25</w:t>
            </w:r>
            <w:r>
              <w:rPr>
                <w:rFonts w:hAnsi="宋体"/>
              </w:rPr>
              <w:t>个。其中医院</w:t>
            </w:r>
            <w:r>
              <w:t>44</w:t>
            </w:r>
            <w:r>
              <w:rPr>
                <w:rFonts w:hAnsi="宋体"/>
              </w:rPr>
              <w:t>个，卫生院</w:t>
            </w:r>
            <w:r>
              <w:t>166</w:t>
            </w:r>
            <w:r>
              <w:rPr>
                <w:rFonts w:hAnsi="宋体"/>
              </w:rPr>
              <w:t>个，妇幼保健院</w:t>
            </w:r>
            <w:r>
              <w:t>12</w:t>
            </w:r>
            <w:r>
              <w:rPr>
                <w:rFonts w:hAnsi="宋体"/>
              </w:rPr>
              <w:t>个，专科疾病防治院</w:t>
            </w:r>
            <w:r>
              <w:t>7</w:t>
            </w:r>
            <w:r>
              <w:rPr>
                <w:rFonts w:hAnsi="宋体"/>
              </w:rPr>
              <w:t>个，疾病预防控制中心</w:t>
            </w:r>
            <w:r>
              <w:t>14</w:t>
            </w:r>
            <w:r>
              <w:rPr>
                <w:rFonts w:hAnsi="宋体"/>
              </w:rPr>
              <w:t>个，卫生监督所</w:t>
            </w:r>
            <w:r>
              <w:t>12</w:t>
            </w:r>
            <w:r>
              <w:rPr>
                <w:rFonts w:hAnsi="宋体"/>
              </w:rPr>
              <w:t>个。全市卫生技术人员</w:t>
            </w:r>
            <w:r>
              <w:t>8912</w:t>
            </w:r>
            <w:r>
              <w:rPr>
                <w:rFonts w:hAnsi="宋体"/>
              </w:rPr>
              <w:t>人，比上年增加</w:t>
            </w:r>
            <w:r>
              <w:t>325</w:t>
            </w:r>
            <w:r>
              <w:rPr>
                <w:rFonts w:hAnsi="宋体"/>
              </w:rPr>
              <w:t>人，其中执业医师</w:t>
            </w:r>
            <w:r>
              <w:t>3207</w:t>
            </w:r>
            <w:r>
              <w:rPr>
                <w:rFonts w:hAnsi="宋体"/>
              </w:rPr>
              <w:t>人，执业助理医师</w:t>
            </w:r>
            <w:r>
              <w:t>588</w:t>
            </w:r>
            <w:r>
              <w:rPr>
                <w:rFonts w:hAnsi="宋体"/>
              </w:rPr>
              <w:t>人，注册护士</w:t>
            </w:r>
            <w:r>
              <w:t>3083</w:t>
            </w:r>
            <w:r>
              <w:rPr>
                <w:rFonts w:hAnsi="宋体"/>
              </w:rPr>
              <w:t>人，药剂人员</w:t>
            </w:r>
            <w:r>
              <w:t>925</w:t>
            </w:r>
            <w:r>
              <w:rPr>
                <w:rFonts w:hAnsi="宋体"/>
              </w:rPr>
              <w:t>人，检验人员</w:t>
            </w:r>
            <w:r>
              <w:t>510</w:t>
            </w:r>
            <w:r>
              <w:rPr>
                <w:rFonts w:hAnsi="宋体"/>
              </w:rPr>
              <w:t>人，其他</w:t>
            </w:r>
            <w:r>
              <w:t>599</w:t>
            </w:r>
            <w:r>
              <w:rPr>
                <w:rFonts w:hAnsi="宋体"/>
              </w:rPr>
              <w:t>人。医院、卫生院床位数</w:t>
            </w:r>
            <w:r>
              <w:t>6322</w:t>
            </w:r>
            <w:r>
              <w:rPr>
                <w:rFonts w:hAnsi="宋体"/>
              </w:rPr>
              <w:t>张，比上年增加</w:t>
            </w:r>
            <w:r>
              <w:t>294</w:t>
            </w:r>
            <w:r>
              <w:rPr>
                <w:rFonts w:hAnsi="宋体"/>
              </w:rPr>
              <w:t>张。</w:t>
            </w:r>
          </w:p>
          <w:p>
            <w:pPr>
              <w:pStyle w:val="aa"/>
              <w:ind w:firstLine="482"/>
              <w:rPr>
                <w:b/>
              </w:rPr>
            </w:pPr>
            <w:r>
              <w:rPr>
                <w:b/>
              </w:rPr>
              <w:t>6</w:t>
            </w:r>
            <w:r>
              <w:rPr>
                <w:rFonts w:hAnsi="宋体"/>
                <w:b/>
              </w:rPr>
              <w:t>、人口</w:t>
            </w:r>
          </w:p>
          <w:p>
            <w:pPr>
              <w:pStyle w:val="aa"/>
              <w:ind w:firstLine="480"/>
            </w:pPr>
            <w:r>
              <w:rPr>
                <w:rFonts w:hAnsi="宋体"/>
              </w:rPr>
              <w:t>人口增长得到有效控制。全市总人口为</w:t>
            </w:r>
            <w:r>
              <w:t>400</w:t>
            </w:r>
            <w:r>
              <w:rPr>
                <w:rFonts w:hAnsi="宋体"/>
              </w:rPr>
              <w:t>万人，出生率为</w:t>
            </w:r>
            <w:r>
              <w:t>13.83‰</w:t>
            </w:r>
            <w:r>
              <w:rPr>
                <w:rFonts w:hAnsi="宋体"/>
              </w:rPr>
              <w:t>，死亡率为</w:t>
            </w:r>
            <w:r>
              <w:t>5.98‰</w:t>
            </w:r>
            <w:r>
              <w:rPr>
                <w:rFonts w:hAnsi="宋体"/>
              </w:rPr>
              <w:t>，自然增长率为</w:t>
            </w:r>
            <w:r>
              <w:t>7.85‰</w:t>
            </w:r>
            <w:r>
              <w:rPr>
                <w:rFonts w:hAnsi="宋体"/>
              </w:rPr>
              <w:t>。</w:t>
            </w:r>
          </w:p>
          <w:p>
            <w:pPr>
              <w:pStyle w:val="aa"/>
              <w:ind w:firstLine="482"/>
              <w:rPr>
                <w:b/>
              </w:rPr>
            </w:pPr>
            <w:r>
              <w:rPr>
                <w:b/>
              </w:rPr>
              <w:t>7</w:t>
            </w:r>
            <w:r>
              <w:rPr>
                <w:rFonts w:hAnsi="宋体"/>
                <w:b/>
              </w:rPr>
              <w:t>、投资环境</w:t>
            </w:r>
          </w:p>
          <w:p>
            <w:pPr>
              <w:pStyle w:val="aa"/>
              <w:spacing w:after="0"/>
              <w:ind w:firstLine="480"/>
            </w:pPr>
            <w:r>
              <w:rPr>
                <w:rFonts w:hAnsi="宋体"/>
              </w:rPr>
              <w:t>投资环境明显改善，对外开放迅猛发展。市内交通优越，县县铺设油路，所属</w:t>
            </w:r>
            <w:r>
              <w:t>200</w:t>
            </w:r>
          </w:p>
        </w:tc>
      </w:tr>
    </w:tbl>
    <w:p>
      <w:pPr>
        <w:sectPr>
          <w:headerReference w:type="default" r:id="rId74"/>
          <w:footerReference w:type="even" r:id="rId75"/>
          <w:footerReference w:type="default" r:id="rId76"/>
          <w:headerReference w:type="first" r:id="rId77"/>
          <w:footerReference w:type="first" r:id="rId78"/>
          <w:type w:val="nextPage"/>
          <w:pgSz w:w="11907" w:h="16840"/>
          <w:pgMar w:top="1418" w:right="1418" w:bottom="1418" w:left="1418" w:header="851" w:footer="992" w:gutter="113"/>
          <w:pgNumType w:start="15"/>
          <w:cols w:space="708"/>
          <w:titlePg w:val="0"/>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
      <w:tblGrid>
        <w:gridCol w:w="9160"/>
      </w:tblGrid>
      <w:tr>
        <w:tblPrEx>
          <w:tblW w:w="0" w:type="auto"/>
          <w:tblInd w:w="124" w:type="dxa"/>
          <w:tblBorders>
            <w:top w:val="single" w:sz="12" w:space="0" w:color="auto"/>
            <w:left w:val="single" w:sz="12" w:space="0" w:color="auto"/>
            <w:bottom w:val="single" w:sz="12" w:space="0" w:color="auto"/>
            <w:right w:val="single" w:sz="12" w:space="0" w:color="auto"/>
            <w:insideH w:val="single" w:sz="12" w:space="0" w:color="auto"/>
            <w:insideV w:val="single" w:sz="6" w:space="0" w:color="auto"/>
          </w:tblBorders>
          <w:tblLayout w:type="fixed"/>
          <w:tblCellMar>
            <w:top w:w="0" w:type="dxa"/>
            <w:left w:w="108" w:type="dxa"/>
            <w:bottom w:w="0" w:type="dxa"/>
            <w:right w:w="108" w:type="dxa"/>
          </w:tblCellMar>
          <w:tblLook w:val="0000"/>
        </w:tblPrEx>
        <w:trPr>
          <w:trHeight w:val="140"/>
        </w:trPr>
        <w:tc>
          <w:tcPr>
            <w:tcW w:w="9160" w:type="dxa"/>
            <w:tcBorders>
              <w:top w:val="single" w:sz="4" w:space="0" w:color="auto"/>
              <w:bottom w:val="single" w:sz="4" w:space="0" w:color="auto"/>
            </w:tcBorders>
          </w:tcPr>
          <w:p>
            <w:pPr>
              <w:pStyle w:val="aa"/>
              <w:spacing w:before="0"/>
              <w:ind w:firstLine="480"/>
            </w:pPr>
            <w:r>
              <w:rPr>
                <w:rFonts w:hAnsi="宋体"/>
              </w:rPr>
              <w:t>多个乡镇全部可通客货车，建成了一个以国道为主架、以临川为中心、以县道为支脉，四面八方延伸贯通的庞大公路运输网。全市邮电业务总量比</w:t>
            </w:r>
            <w:r>
              <w:t>1978</w:t>
            </w:r>
            <w:r>
              <w:rPr>
                <w:rFonts w:hAnsi="宋体"/>
              </w:rPr>
              <w:t>年增长</w:t>
            </w:r>
            <w:r>
              <w:t>37</w:t>
            </w:r>
            <w:r>
              <w:rPr>
                <w:rFonts w:hAnsi="宋体"/>
              </w:rPr>
              <w:t>倍。目前，以程控交换、移动通讯、数字微波、光缆传输为主，设备、技术先进的现代化电信网和邮政网已经形成。由于电力基础设施日趋完善，全市电力紧张矛盾已全面缓解，整个招商引资环境大为改观。</w:t>
            </w: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rFonts w:hint="eastAsia"/>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b/>
                <w:kern w:val="21"/>
                <w:sz w:val="28"/>
              </w:rPr>
            </w:pPr>
          </w:p>
          <w:p>
            <w:pPr>
              <w:spacing w:line="360" w:lineRule="auto"/>
              <w:rPr>
                <w:rFonts w:hint="eastAsia"/>
                <w:b/>
                <w:kern w:val="21"/>
                <w:sz w:val="28"/>
              </w:rPr>
            </w:pPr>
          </w:p>
        </w:tc>
      </w:tr>
    </w:tbl>
    <w:p>
      <w:pPr>
        <w:spacing w:line="240" w:lineRule="auto"/>
        <w:outlineLvl w:val="0"/>
        <w:rPr>
          <w:b/>
          <w:kern w:val="21"/>
          <w:sz w:val="30"/>
        </w:rPr>
        <w:sectPr>
          <w:headerReference w:type="default" r:id="rId79"/>
          <w:footerReference w:type="even" r:id="rId80"/>
          <w:footerReference w:type="default" r:id="rId81"/>
          <w:headerReference w:type="first" r:id="rId82"/>
          <w:footerReference w:type="first" r:id="rId83"/>
          <w:type w:val="nextPage"/>
          <w:pgSz w:w="11907" w:h="16840"/>
          <w:pgMar w:top="1418" w:right="1418" w:bottom="1418" w:left="1418" w:header="851" w:footer="992" w:gutter="113"/>
          <w:pgNumType w:start="16"/>
          <w:cols w:space="708"/>
          <w:titlePg w:val="0"/>
          <w:docGrid w:linePitch="286"/>
        </w:sectPr>
      </w:pPr>
    </w:p>
    <w:p>
      <w:pPr>
        <w:spacing w:line="240" w:lineRule="auto"/>
        <w:outlineLvl w:val="0"/>
        <w:rPr>
          <w:kern w:val="21"/>
          <w:sz w:val="28"/>
        </w:rPr>
      </w:pPr>
      <w:r>
        <w:rPr>
          <w:b/>
          <w:kern w:val="21"/>
          <w:sz w:val="30"/>
        </w:rPr>
        <w:t>环境质量状况</w:t>
      </w: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910"/>
      </w:tblGrid>
      <w:tr>
        <w:tblPrEx>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050"/>
        </w:trPr>
        <w:tc>
          <w:tcPr>
            <w:tcW w:w="8910" w:type="dxa"/>
            <w:tcBorders>
              <w:top w:val="single" w:sz="12" w:space="0" w:color="auto"/>
              <w:bottom w:val="single" w:sz="12" w:space="0" w:color="auto"/>
            </w:tcBorders>
          </w:tcPr>
          <w:p>
            <w:pPr>
              <w:spacing w:line="360" w:lineRule="auto"/>
              <w:rPr>
                <w:b/>
                <w:kern w:val="21"/>
                <w:sz w:val="28"/>
              </w:rPr>
            </w:pPr>
            <w:r>
              <w:rPr>
                <w:b/>
                <w:kern w:val="21"/>
                <w:sz w:val="28"/>
              </w:rPr>
              <w:t>项目所在地区域环境质量现状及主要环境问题（环境空气、地面水、地下水、声环境、生态环境等）：</w:t>
            </w:r>
          </w:p>
          <w:p>
            <w:pPr>
              <w:snapToGrid w:val="0"/>
              <w:spacing w:line="360" w:lineRule="auto"/>
              <w:ind w:firstLine="480" w:firstLineChars="200"/>
              <w:rPr>
                <w:rFonts w:hint="eastAsia"/>
                <w:sz w:val="24"/>
              </w:rPr>
            </w:pPr>
            <w:r>
              <w:rPr>
                <w:rFonts w:hint="eastAsia"/>
                <w:sz w:val="24"/>
              </w:rPr>
              <w:t>根据现场勘察以及抚州市环保局网站上发布的空气质量日报资料，项目所在地区环境质量现状及主要环境问题如下：</w:t>
            </w:r>
          </w:p>
          <w:p>
            <w:pPr>
              <w:snapToGrid w:val="0"/>
              <w:spacing w:line="360" w:lineRule="auto"/>
              <w:ind w:firstLine="480" w:firstLineChars="200"/>
              <w:rPr>
                <w:rFonts w:hint="eastAsia"/>
                <w:b/>
                <w:sz w:val="24"/>
              </w:rPr>
            </w:pPr>
            <w:r>
              <w:rPr>
                <w:rFonts w:hint="eastAsia"/>
                <w:b/>
                <w:sz w:val="24"/>
              </w:rPr>
              <w:t>一、环境空气质量现状</w:t>
            </w:r>
          </w:p>
          <w:p>
            <w:pPr>
              <w:snapToGrid w:val="0"/>
              <w:spacing w:line="360" w:lineRule="auto"/>
              <w:ind w:firstLine="480" w:firstLineChars="200"/>
              <w:rPr>
                <w:sz w:val="24"/>
              </w:rPr>
            </w:pPr>
            <w:r>
              <w:rPr>
                <w:sz w:val="24"/>
              </w:rPr>
              <w:t>根据抚州市环保部门的监测数据，抚州市城区环境空气质量达到《环境空气质量标准》（GB3095-2012）二级标准，</w:t>
            </w:r>
            <w:r>
              <w:rPr>
                <w:rFonts w:hint="eastAsia"/>
                <w:sz w:val="24"/>
              </w:rPr>
              <w:t>项目</w:t>
            </w:r>
            <w:r>
              <w:rPr>
                <w:sz w:val="24"/>
              </w:rPr>
              <w:t>所在地环境空气质量良好。</w:t>
            </w:r>
          </w:p>
          <w:p>
            <w:pPr>
              <w:snapToGrid w:val="0"/>
              <w:spacing w:line="240" w:lineRule="auto"/>
              <w:jc w:val="center"/>
              <w:rPr>
                <w:b/>
                <w:bCs/>
                <w:sz w:val="24"/>
              </w:rPr>
            </w:pPr>
            <w:r>
              <w:rPr>
                <w:b/>
                <w:bCs/>
                <w:sz w:val="24"/>
              </w:rPr>
              <w:t>表</w:t>
            </w:r>
            <w:r>
              <w:rPr>
                <w:rFonts w:hint="eastAsia"/>
                <w:b/>
                <w:bCs/>
                <w:sz w:val="24"/>
              </w:rPr>
              <w:t>3</w:t>
            </w:r>
            <w:r>
              <w:rPr>
                <w:b/>
                <w:bCs/>
                <w:sz w:val="24"/>
              </w:rPr>
              <w:t xml:space="preserve">      环境空气质量现状监测结果    单位 mg/Nm</w:t>
            </w:r>
            <w:r>
              <w:rPr>
                <w:b/>
                <w:bCs/>
                <w:sz w:val="24"/>
                <w:vertAlign w:val="superscript"/>
              </w:rPr>
              <w:t>3</w:t>
            </w:r>
          </w:p>
          <w:p>
            <w:pPr>
              <w:spacing w:before="4" w:line="40" w:lineRule="exact"/>
              <w:jc w:val="left"/>
              <w:rPr>
                <w:rFonts w:ascii="Microsoft JhengHei" w:eastAsia="Microsoft JhengHei" w:hAnsi="Microsoft JhengHei"/>
                <w:sz w:val="4"/>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2801"/>
              <w:gridCol w:w="1546"/>
              <w:gridCol w:w="2174"/>
              <w:gridCol w:w="2173"/>
            </w:tblGrid>
            <w:tr>
              <w:tblPrEx>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trHeight w:hRule="exact" w:val="332"/>
              </w:trPr>
              <w:tc>
                <w:tcPr>
                  <w:tcW w:w="2801" w:type="dxa"/>
                  <w:vAlign w:val="center"/>
                </w:tcPr>
                <w:p>
                  <w:pPr>
                    <w:pStyle w:val="21"/>
                    <w:snapToGrid w:val="0"/>
                    <w:rPr>
                      <w:kern w:val="0"/>
                      <w:sz w:val="21"/>
                      <w:szCs w:val="21"/>
                    </w:rPr>
                  </w:pPr>
                  <w:r>
                    <w:rPr>
                      <w:kern w:val="0"/>
                      <w:sz w:val="21"/>
                      <w:szCs w:val="21"/>
                    </w:rPr>
                    <w:t>监测项目</w:t>
                  </w:r>
                </w:p>
              </w:tc>
              <w:tc>
                <w:tcPr>
                  <w:tcW w:w="1546" w:type="dxa"/>
                  <w:vAlign w:val="center"/>
                </w:tcPr>
                <w:p>
                  <w:pPr>
                    <w:pStyle w:val="21"/>
                    <w:snapToGrid w:val="0"/>
                    <w:rPr>
                      <w:kern w:val="0"/>
                      <w:sz w:val="21"/>
                      <w:szCs w:val="21"/>
                    </w:rPr>
                  </w:pPr>
                  <w:r>
                    <w:rPr>
                      <w:kern w:val="0"/>
                      <w:sz w:val="21"/>
                      <w:szCs w:val="21"/>
                    </w:rPr>
                    <w:t>SO</w:t>
                  </w:r>
                  <w:r>
                    <w:rPr>
                      <w:kern w:val="0"/>
                      <w:sz w:val="21"/>
                      <w:szCs w:val="21"/>
                      <w:vertAlign w:val="subscript"/>
                    </w:rPr>
                    <w:t>2</w:t>
                  </w:r>
                </w:p>
              </w:tc>
              <w:tc>
                <w:tcPr>
                  <w:tcW w:w="2174" w:type="dxa"/>
                  <w:vAlign w:val="center"/>
                </w:tcPr>
                <w:p>
                  <w:pPr>
                    <w:pStyle w:val="21"/>
                    <w:snapToGrid w:val="0"/>
                    <w:rPr>
                      <w:kern w:val="0"/>
                      <w:sz w:val="21"/>
                      <w:szCs w:val="21"/>
                    </w:rPr>
                  </w:pPr>
                  <w:r>
                    <w:rPr>
                      <w:kern w:val="0"/>
                      <w:sz w:val="21"/>
                      <w:szCs w:val="21"/>
                    </w:rPr>
                    <w:t>TSP</w:t>
                  </w:r>
                </w:p>
              </w:tc>
              <w:tc>
                <w:tcPr>
                  <w:tcW w:w="2173" w:type="dxa"/>
                  <w:vAlign w:val="center"/>
                </w:tcPr>
                <w:p>
                  <w:pPr>
                    <w:pStyle w:val="21"/>
                    <w:snapToGrid w:val="0"/>
                    <w:rPr>
                      <w:kern w:val="0"/>
                      <w:sz w:val="21"/>
                      <w:szCs w:val="21"/>
                    </w:rPr>
                  </w:pPr>
                  <w:r>
                    <w:rPr>
                      <w:kern w:val="0"/>
                      <w:sz w:val="21"/>
                      <w:szCs w:val="21"/>
                    </w:rPr>
                    <w:t>PM</w:t>
                  </w:r>
                  <w:r>
                    <w:rPr>
                      <w:kern w:val="0"/>
                      <w:sz w:val="21"/>
                      <w:szCs w:val="21"/>
                      <w:vertAlign w:val="subscript"/>
                    </w:rPr>
                    <w:t>10</w:t>
                  </w:r>
                </w:p>
              </w:tc>
            </w:tr>
            <w:tr>
              <w:tblPrEx>
                <w:tblW w:w="0" w:type="auto"/>
                <w:tblInd w:w="113" w:type="dxa"/>
                <w:tblLayout w:type="fixed"/>
                <w:tblCellMar>
                  <w:top w:w="0" w:type="dxa"/>
                  <w:left w:w="108" w:type="dxa"/>
                  <w:bottom w:w="0" w:type="dxa"/>
                  <w:right w:w="108" w:type="dxa"/>
                </w:tblCellMar>
                <w:tblLook w:val="0000"/>
              </w:tblPrEx>
              <w:trPr>
                <w:trHeight w:hRule="exact" w:val="322"/>
              </w:trPr>
              <w:tc>
                <w:tcPr>
                  <w:tcW w:w="2801" w:type="dxa"/>
                  <w:vAlign w:val="center"/>
                </w:tcPr>
                <w:p>
                  <w:pPr>
                    <w:pStyle w:val="21"/>
                    <w:snapToGrid w:val="0"/>
                    <w:rPr>
                      <w:kern w:val="0"/>
                      <w:sz w:val="21"/>
                      <w:szCs w:val="21"/>
                    </w:rPr>
                  </w:pPr>
                  <w:r>
                    <w:rPr>
                      <w:kern w:val="0"/>
                      <w:sz w:val="21"/>
                      <w:szCs w:val="21"/>
                    </w:rPr>
                    <w:t>评价标准值（日均值）</w:t>
                  </w:r>
                </w:p>
              </w:tc>
              <w:tc>
                <w:tcPr>
                  <w:tcW w:w="1546" w:type="dxa"/>
                  <w:vAlign w:val="center"/>
                </w:tcPr>
                <w:p>
                  <w:pPr>
                    <w:pStyle w:val="21"/>
                    <w:snapToGrid w:val="0"/>
                    <w:rPr>
                      <w:kern w:val="0"/>
                      <w:sz w:val="21"/>
                      <w:szCs w:val="21"/>
                    </w:rPr>
                  </w:pPr>
                  <w:r>
                    <w:rPr>
                      <w:kern w:val="0"/>
                      <w:sz w:val="21"/>
                      <w:szCs w:val="21"/>
                    </w:rPr>
                    <w:t>0.15</w:t>
                  </w:r>
                </w:p>
              </w:tc>
              <w:tc>
                <w:tcPr>
                  <w:tcW w:w="2174" w:type="dxa"/>
                  <w:vAlign w:val="center"/>
                </w:tcPr>
                <w:p>
                  <w:pPr>
                    <w:pStyle w:val="21"/>
                    <w:snapToGrid w:val="0"/>
                    <w:rPr>
                      <w:kern w:val="0"/>
                      <w:sz w:val="21"/>
                      <w:szCs w:val="21"/>
                    </w:rPr>
                  </w:pPr>
                  <w:r>
                    <w:rPr>
                      <w:kern w:val="0"/>
                      <w:sz w:val="21"/>
                      <w:szCs w:val="21"/>
                    </w:rPr>
                    <w:t>0.30</w:t>
                  </w:r>
                </w:p>
              </w:tc>
              <w:tc>
                <w:tcPr>
                  <w:tcW w:w="2173" w:type="dxa"/>
                  <w:vAlign w:val="center"/>
                </w:tcPr>
                <w:p>
                  <w:pPr>
                    <w:pStyle w:val="21"/>
                    <w:snapToGrid w:val="0"/>
                    <w:rPr>
                      <w:kern w:val="0"/>
                      <w:sz w:val="21"/>
                      <w:szCs w:val="21"/>
                    </w:rPr>
                  </w:pPr>
                  <w:r>
                    <w:rPr>
                      <w:kern w:val="0"/>
                      <w:sz w:val="21"/>
                      <w:szCs w:val="21"/>
                    </w:rPr>
                    <w:t>0.15</w:t>
                  </w:r>
                </w:p>
              </w:tc>
            </w:tr>
            <w:tr>
              <w:tblPrEx>
                <w:tblW w:w="0" w:type="auto"/>
                <w:tblInd w:w="113" w:type="dxa"/>
                <w:tblLayout w:type="fixed"/>
                <w:tblCellMar>
                  <w:top w:w="0" w:type="dxa"/>
                  <w:left w:w="108" w:type="dxa"/>
                  <w:bottom w:w="0" w:type="dxa"/>
                  <w:right w:w="108" w:type="dxa"/>
                </w:tblCellMar>
                <w:tblLook w:val="0000"/>
              </w:tblPrEx>
              <w:trPr>
                <w:trHeight w:hRule="exact" w:val="322"/>
              </w:trPr>
              <w:tc>
                <w:tcPr>
                  <w:tcW w:w="2801" w:type="dxa"/>
                  <w:vAlign w:val="center"/>
                </w:tcPr>
                <w:p>
                  <w:pPr>
                    <w:pStyle w:val="21"/>
                    <w:snapToGrid w:val="0"/>
                    <w:rPr>
                      <w:kern w:val="0"/>
                      <w:sz w:val="21"/>
                      <w:szCs w:val="21"/>
                    </w:rPr>
                  </w:pPr>
                  <w:r>
                    <w:rPr>
                      <w:kern w:val="0"/>
                      <w:sz w:val="21"/>
                      <w:szCs w:val="21"/>
                    </w:rPr>
                    <w:t>实测日均值</w:t>
                  </w:r>
                </w:p>
              </w:tc>
              <w:tc>
                <w:tcPr>
                  <w:tcW w:w="1546" w:type="dxa"/>
                  <w:vAlign w:val="center"/>
                </w:tcPr>
                <w:p>
                  <w:pPr>
                    <w:pStyle w:val="21"/>
                    <w:snapToGrid w:val="0"/>
                    <w:rPr>
                      <w:kern w:val="0"/>
                      <w:sz w:val="21"/>
                      <w:szCs w:val="21"/>
                    </w:rPr>
                  </w:pPr>
                  <w:r>
                    <w:rPr>
                      <w:kern w:val="0"/>
                      <w:sz w:val="21"/>
                      <w:szCs w:val="21"/>
                    </w:rPr>
                    <w:t>0.016-0.049</w:t>
                  </w:r>
                </w:p>
              </w:tc>
              <w:tc>
                <w:tcPr>
                  <w:tcW w:w="2174" w:type="dxa"/>
                  <w:vAlign w:val="center"/>
                </w:tcPr>
                <w:p>
                  <w:pPr>
                    <w:pStyle w:val="21"/>
                    <w:snapToGrid w:val="0"/>
                    <w:rPr>
                      <w:kern w:val="0"/>
                      <w:sz w:val="21"/>
                      <w:szCs w:val="21"/>
                    </w:rPr>
                  </w:pPr>
                  <w:r>
                    <w:rPr>
                      <w:kern w:val="0"/>
                      <w:sz w:val="21"/>
                      <w:szCs w:val="21"/>
                    </w:rPr>
                    <w:t>0.123-0.130</w:t>
                  </w:r>
                </w:p>
              </w:tc>
              <w:tc>
                <w:tcPr>
                  <w:tcW w:w="2173" w:type="dxa"/>
                  <w:vAlign w:val="center"/>
                </w:tcPr>
                <w:p>
                  <w:pPr>
                    <w:pStyle w:val="21"/>
                    <w:snapToGrid w:val="0"/>
                    <w:rPr>
                      <w:kern w:val="0"/>
                      <w:sz w:val="21"/>
                      <w:szCs w:val="21"/>
                    </w:rPr>
                  </w:pPr>
                  <w:r>
                    <w:rPr>
                      <w:kern w:val="0"/>
                      <w:sz w:val="21"/>
                      <w:szCs w:val="21"/>
                    </w:rPr>
                    <w:t>0.066-0.073</w:t>
                  </w:r>
                </w:p>
              </w:tc>
            </w:tr>
            <w:tr>
              <w:tblPrEx>
                <w:tblW w:w="0" w:type="auto"/>
                <w:tblInd w:w="113" w:type="dxa"/>
                <w:tblLayout w:type="fixed"/>
                <w:tblCellMar>
                  <w:top w:w="0" w:type="dxa"/>
                  <w:left w:w="108" w:type="dxa"/>
                  <w:bottom w:w="0" w:type="dxa"/>
                  <w:right w:w="108" w:type="dxa"/>
                </w:tblCellMar>
                <w:tblLook w:val="0000"/>
              </w:tblPrEx>
              <w:trPr>
                <w:trHeight w:hRule="exact" w:val="332"/>
              </w:trPr>
              <w:tc>
                <w:tcPr>
                  <w:tcW w:w="2801" w:type="dxa"/>
                  <w:vAlign w:val="center"/>
                </w:tcPr>
                <w:p>
                  <w:pPr>
                    <w:pStyle w:val="21"/>
                    <w:snapToGrid w:val="0"/>
                    <w:rPr>
                      <w:kern w:val="0"/>
                      <w:sz w:val="21"/>
                      <w:szCs w:val="21"/>
                    </w:rPr>
                  </w:pPr>
                  <w:r>
                    <w:rPr>
                      <w:kern w:val="0"/>
                      <w:sz w:val="21"/>
                      <w:szCs w:val="21"/>
                    </w:rPr>
                    <w:t>评价标准指数</w:t>
                  </w:r>
                </w:p>
              </w:tc>
              <w:tc>
                <w:tcPr>
                  <w:tcW w:w="1546" w:type="dxa"/>
                  <w:vAlign w:val="center"/>
                </w:tcPr>
                <w:p>
                  <w:pPr>
                    <w:pStyle w:val="21"/>
                    <w:snapToGrid w:val="0"/>
                    <w:rPr>
                      <w:kern w:val="0"/>
                      <w:sz w:val="21"/>
                      <w:szCs w:val="21"/>
                    </w:rPr>
                  </w:pPr>
                  <w:r>
                    <w:rPr>
                      <w:kern w:val="0"/>
                      <w:sz w:val="21"/>
                      <w:szCs w:val="21"/>
                    </w:rPr>
                    <w:t>0.107-0.327</w:t>
                  </w:r>
                </w:p>
              </w:tc>
              <w:tc>
                <w:tcPr>
                  <w:tcW w:w="2174" w:type="dxa"/>
                  <w:vAlign w:val="center"/>
                </w:tcPr>
                <w:p>
                  <w:pPr>
                    <w:pStyle w:val="21"/>
                    <w:snapToGrid w:val="0"/>
                    <w:rPr>
                      <w:kern w:val="0"/>
                      <w:sz w:val="21"/>
                      <w:szCs w:val="21"/>
                    </w:rPr>
                  </w:pPr>
                  <w:r>
                    <w:rPr>
                      <w:kern w:val="0"/>
                      <w:sz w:val="21"/>
                      <w:szCs w:val="21"/>
                    </w:rPr>
                    <w:t>0.410-0.433</w:t>
                  </w:r>
                </w:p>
              </w:tc>
              <w:tc>
                <w:tcPr>
                  <w:tcW w:w="2173" w:type="dxa"/>
                  <w:vAlign w:val="center"/>
                </w:tcPr>
                <w:p>
                  <w:pPr>
                    <w:pStyle w:val="21"/>
                    <w:snapToGrid w:val="0"/>
                    <w:rPr>
                      <w:kern w:val="0"/>
                      <w:sz w:val="21"/>
                      <w:szCs w:val="21"/>
                    </w:rPr>
                  </w:pPr>
                  <w:r>
                    <w:rPr>
                      <w:kern w:val="0"/>
                      <w:sz w:val="21"/>
                      <w:szCs w:val="21"/>
                    </w:rPr>
                    <w:t>0.440-0.487</w:t>
                  </w:r>
                </w:p>
              </w:tc>
            </w:tr>
          </w:tbl>
          <w:p>
            <w:pPr>
              <w:snapToGrid w:val="0"/>
              <w:spacing w:line="360" w:lineRule="auto"/>
              <w:ind w:firstLine="420" w:firstLineChars="200"/>
            </w:pPr>
          </w:p>
          <w:p>
            <w:pPr>
              <w:snapToGrid w:val="0"/>
              <w:spacing w:line="360" w:lineRule="auto"/>
              <w:ind w:firstLine="480" w:firstLineChars="200"/>
              <w:rPr>
                <w:rFonts w:hint="eastAsia"/>
                <w:b/>
                <w:sz w:val="24"/>
              </w:rPr>
            </w:pPr>
            <w:r>
              <w:rPr>
                <w:rFonts w:hint="eastAsia"/>
                <w:b/>
                <w:sz w:val="24"/>
              </w:rPr>
              <w:t>二、水环境质量现状</w:t>
            </w:r>
          </w:p>
          <w:p>
            <w:pPr>
              <w:snapToGrid w:val="0"/>
              <w:spacing w:line="360" w:lineRule="auto"/>
              <w:ind w:firstLine="480" w:firstLineChars="200"/>
              <w:rPr>
                <w:sz w:val="24"/>
              </w:rPr>
            </w:pPr>
            <w:r>
              <w:rPr>
                <w:sz w:val="24"/>
              </w:rPr>
              <w:t>本项目涉及和影响的主要地表水体为抚河，根据抚州市环保部门的监测数据该河流水环境质量达到《地表水环境质量标准》（GB3838-2002）Ⅲ类标准，水环 境质量良好。监测数据如下表。</w:t>
            </w:r>
          </w:p>
          <w:p>
            <w:pPr>
              <w:snapToGrid w:val="0"/>
              <w:spacing w:line="240" w:lineRule="auto"/>
              <w:ind w:firstLine="480" w:firstLineChars="200"/>
              <w:rPr>
                <w:b/>
                <w:bCs/>
                <w:sz w:val="24"/>
              </w:rPr>
            </w:pPr>
            <w:r>
              <w:rPr>
                <w:b/>
                <w:bCs/>
                <w:sz w:val="24"/>
              </w:rPr>
              <w:t>表</w:t>
            </w:r>
            <w:r>
              <w:rPr>
                <w:rFonts w:hint="eastAsia"/>
                <w:b/>
                <w:bCs/>
                <w:sz w:val="24"/>
              </w:rPr>
              <w:t>4</w:t>
            </w:r>
            <w:r>
              <w:rPr>
                <w:b/>
                <w:bCs/>
                <w:sz w:val="24"/>
              </w:rPr>
              <w:t xml:space="preserve">     地表水环境质量现状监测结果    单位 mg/L（PH 无量纲）</w:t>
            </w:r>
          </w:p>
          <w:p>
            <w:pPr>
              <w:spacing w:before="6" w:line="80" w:lineRule="exact"/>
              <w:jc w:val="left"/>
              <w:rPr>
                <w:rFonts w:ascii="Microsoft JhengHei" w:eastAsia="Microsoft JhengHei" w:hAnsi="Microsoft JhengHei"/>
                <w:sz w:val="8"/>
              </w:rPr>
            </w:pPr>
          </w:p>
          <w:tbl>
            <w:tblPr>
              <w:tblStyle w:val="TableNormal"/>
              <w:tblW w:w="0" w:type="auto"/>
              <w:tblInd w:w="108" w:type="dxa"/>
              <w:tblLayout w:type="fixed"/>
              <w:tblCellMar>
                <w:top w:w="0" w:type="dxa"/>
                <w:left w:w="108" w:type="dxa"/>
                <w:bottom w:w="0" w:type="dxa"/>
                <w:right w:w="108" w:type="dxa"/>
              </w:tblCellMar>
              <w:tblLook w:val="0000"/>
            </w:tblPr>
            <w:tblGrid>
              <w:gridCol w:w="2515"/>
              <w:gridCol w:w="1490"/>
              <w:gridCol w:w="1480"/>
              <w:gridCol w:w="1736"/>
              <w:gridCol w:w="1463"/>
            </w:tblGrid>
            <w:tr>
              <w:tblPrEx>
                <w:tblW w:w="0" w:type="auto"/>
                <w:tblInd w:w="108" w:type="dxa"/>
                <w:tblLayout w:type="fixed"/>
                <w:tblCellMar>
                  <w:top w:w="0" w:type="dxa"/>
                  <w:left w:w="108" w:type="dxa"/>
                  <w:bottom w:w="0" w:type="dxa"/>
                  <w:right w:w="108" w:type="dxa"/>
                </w:tblCellMar>
                <w:tblLook w:val="0000"/>
              </w:tblPrEx>
              <w:trPr>
                <w:trHeight w:hRule="exact" w:val="332"/>
              </w:trPr>
              <w:tc>
                <w:tcPr>
                  <w:tcW w:w="2515" w:type="dxa"/>
                  <w:vMerge w:val="restart"/>
                  <w:tcBorders>
                    <w:top w:val="single" w:sz="8" w:space="0" w:color="000000"/>
                    <w:left w:val="single" w:sz="0" w:space="0" w:color="auto"/>
                    <w:bottom w:val="single" w:sz="8" w:space="0" w:color="000000"/>
                    <w:right w:val="single" w:sz="4" w:space="0" w:color="000000"/>
                  </w:tcBorders>
                  <w:vAlign w:val="center"/>
                </w:tcPr>
                <w:p>
                  <w:pPr>
                    <w:pStyle w:val="21"/>
                    <w:snapToGrid w:val="0"/>
                    <w:rPr>
                      <w:kern w:val="0"/>
                      <w:sz w:val="21"/>
                      <w:szCs w:val="21"/>
                    </w:rPr>
                  </w:pPr>
                  <w:r>
                    <w:rPr>
                      <w:kern w:val="0"/>
                      <w:sz w:val="21"/>
                      <w:szCs w:val="21"/>
                    </w:rPr>
                    <w:t>水域</w:t>
                  </w:r>
                </w:p>
              </w:tc>
              <w:tc>
                <w:tcPr>
                  <w:tcW w:w="6169" w:type="dxa"/>
                  <w:gridSpan w:val="4"/>
                  <w:tcBorders>
                    <w:top w:val="single" w:sz="8" w:space="0" w:color="000000"/>
                    <w:left w:val="single" w:sz="4" w:space="0" w:color="000000"/>
                    <w:bottom w:val="single" w:sz="8" w:space="0" w:color="000000"/>
                    <w:right w:val="single" w:sz="8" w:space="0" w:color="000000"/>
                  </w:tcBorders>
                  <w:vAlign w:val="center"/>
                </w:tcPr>
                <w:p>
                  <w:pPr>
                    <w:pStyle w:val="21"/>
                    <w:snapToGrid w:val="0"/>
                    <w:rPr>
                      <w:kern w:val="0"/>
                      <w:sz w:val="21"/>
                      <w:szCs w:val="21"/>
                    </w:rPr>
                  </w:pPr>
                  <w:r>
                    <w:rPr>
                      <w:kern w:val="0"/>
                      <w:sz w:val="21"/>
                      <w:szCs w:val="21"/>
                    </w:rPr>
                    <w:t>现状监测值范围</w:t>
                  </w:r>
                </w:p>
              </w:tc>
            </w:tr>
            <w:tr>
              <w:tblPrEx>
                <w:tblW w:w="0" w:type="auto"/>
                <w:tblInd w:w="108" w:type="dxa"/>
                <w:tblLayout w:type="fixed"/>
                <w:tblCellMar>
                  <w:top w:w="0" w:type="dxa"/>
                  <w:left w:w="108" w:type="dxa"/>
                  <w:bottom w:w="0" w:type="dxa"/>
                  <w:right w:w="108" w:type="dxa"/>
                </w:tblCellMar>
                <w:tblLook w:val="0000"/>
              </w:tblPrEx>
              <w:trPr>
                <w:trHeight w:hRule="exact" w:val="322"/>
              </w:trPr>
              <w:tc>
                <w:tcPr>
                  <w:tcW w:w="2515" w:type="dxa"/>
                  <w:vMerge/>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p>
              </w:tc>
              <w:tc>
                <w:tcPr>
                  <w:tcW w:w="149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PH</w:t>
                  </w:r>
                </w:p>
              </w:tc>
              <w:tc>
                <w:tcPr>
                  <w:tcW w:w="148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CODcr</w:t>
                  </w:r>
                </w:p>
              </w:tc>
              <w:tc>
                <w:tcPr>
                  <w:tcW w:w="1736"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BOD5</w:t>
                  </w:r>
                </w:p>
              </w:tc>
              <w:tc>
                <w:tcPr>
                  <w:tcW w:w="1463" w:type="dxa"/>
                  <w:tcBorders>
                    <w:top w:val="single" w:sz="8" w:space="0" w:color="000000"/>
                    <w:left w:val="single" w:sz="4" w:space="0" w:color="000000"/>
                    <w:bottom w:val="single" w:sz="8" w:space="0" w:color="000000"/>
                    <w:right w:val="single" w:sz="8" w:space="0" w:color="000000"/>
                  </w:tcBorders>
                  <w:vAlign w:val="center"/>
                </w:tcPr>
                <w:p>
                  <w:pPr>
                    <w:pStyle w:val="21"/>
                    <w:snapToGrid w:val="0"/>
                    <w:rPr>
                      <w:kern w:val="0"/>
                      <w:sz w:val="21"/>
                      <w:szCs w:val="21"/>
                    </w:rPr>
                  </w:pPr>
                  <w:r>
                    <w:rPr>
                      <w:kern w:val="0"/>
                      <w:sz w:val="21"/>
                      <w:szCs w:val="21"/>
                    </w:rPr>
                    <w:t>NH3-N</w:t>
                  </w:r>
                </w:p>
              </w:tc>
            </w:tr>
            <w:tr>
              <w:tblPrEx>
                <w:tblW w:w="0" w:type="auto"/>
                <w:tblInd w:w="108" w:type="dxa"/>
                <w:tblLayout w:type="fixed"/>
                <w:tblCellMar>
                  <w:top w:w="0" w:type="dxa"/>
                  <w:left w:w="108" w:type="dxa"/>
                  <w:bottom w:w="0" w:type="dxa"/>
                  <w:right w:w="108" w:type="dxa"/>
                </w:tblCellMar>
                <w:tblLook w:val="0000"/>
              </w:tblPrEx>
              <w:trPr>
                <w:trHeight w:hRule="exact" w:val="322"/>
              </w:trPr>
              <w:tc>
                <w:tcPr>
                  <w:tcW w:w="2515"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实测日均值</w:t>
                  </w:r>
                </w:p>
              </w:tc>
              <w:tc>
                <w:tcPr>
                  <w:tcW w:w="149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6.88-7.12</w:t>
                  </w:r>
                </w:p>
              </w:tc>
              <w:tc>
                <w:tcPr>
                  <w:tcW w:w="148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8.3-10.9</w:t>
                  </w:r>
                </w:p>
              </w:tc>
              <w:tc>
                <w:tcPr>
                  <w:tcW w:w="1736"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1.2-1.4</w:t>
                  </w:r>
                </w:p>
              </w:tc>
              <w:tc>
                <w:tcPr>
                  <w:tcW w:w="1463" w:type="dxa"/>
                  <w:tcBorders>
                    <w:top w:val="single" w:sz="8" w:space="0" w:color="000000"/>
                    <w:left w:val="single" w:sz="4" w:space="0" w:color="000000"/>
                    <w:bottom w:val="single" w:sz="8" w:space="0" w:color="000000"/>
                    <w:right w:val="single" w:sz="8" w:space="0" w:color="000000"/>
                  </w:tcBorders>
                  <w:vAlign w:val="center"/>
                </w:tcPr>
                <w:p>
                  <w:pPr>
                    <w:pStyle w:val="21"/>
                    <w:snapToGrid w:val="0"/>
                    <w:rPr>
                      <w:kern w:val="0"/>
                      <w:sz w:val="21"/>
                      <w:szCs w:val="21"/>
                    </w:rPr>
                  </w:pPr>
                  <w:r>
                    <w:rPr>
                      <w:kern w:val="0"/>
                      <w:sz w:val="21"/>
                      <w:szCs w:val="21"/>
                    </w:rPr>
                    <w:t>0.413-0.525</w:t>
                  </w:r>
                </w:p>
              </w:tc>
            </w:tr>
            <w:tr>
              <w:tblPrEx>
                <w:tblW w:w="0" w:type="auto"/>
                <w:tblInd w:w="108" w:type="dxa"/>
                <w:tblLayout w:type="fixed"/>
                <w:tblCellMar>
                  <w:top w:w="0" w:type="dxa"/>
                  <w:left w:w="108" w:type="dxa"/>
                  <w:bottom w:w="0" w:type="dxa"/>
                  <w:right w:w="108" w:type="dxa"/>
                </w:tblCellMar>
                <w:tblLook w:val="0000"/>
              </w:tblPrEx>
              <w:trPr>
                <w:trHeight w:hRule="exact" w:val="322"/>
              </w:trPr>
              <w:tc>
                <w:tcPr>
                  <w:tcW w:w="2515"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评价标准值（日均值）</w:t>
                  </w:r>
                </w:p>
              </w:tc>
              <w:tc>
                <w:tcPr>
                  <w:tcW w:w="149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6-9</w:t>
                  </w:r>
                </w:p>
              </w:tc>
              <w:tc>
                <w:tcPr>
                  <w:tcW w:w="148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≦20</w:t>
                  </w:r>
                </w:p>
              </w:tc>
              <w:tc>
                <w:tcPr>
                  <w:tcW w:w="1736"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≦4</w:t>
                  </w:r>
                </w:p>
              </w:tc>
              <w:tc>
                <w:tcPr>
                  <w:tcW w:w="1463" w:type="dxa"/>
                  <w:tcBorders>
                    <w:top w:val="single" w:sz="8" w:space="0" w:color="000000"/>
                    <w:left w:val="single" w:sz="4" w:space="0" w:color="000000"/>
                    <w:bottom w:val="single" w:sz="8" w:space="0" w:color="000000"/>
                    <w:right w:val="single" w:sz="8" w:space="0" w:color="000000"/>
                  </w:tcBorders>
                  <w:vAlign w:val="center"/>
                </w:tcPr>
                <w:p>
                  <w:pPr>
                    <w:pStyle w:val="21"/>
                    <w:snapToGrid w:val="0"/>
                    <w:rPr>
                      <w:kern w:val="0"/>
                      <w:sz w:val="21"/>
                      <w:szCs w:val="21"/>
                    </w:rPr>
                  </w:pPr>
                  <w:r>
                    <w:rPr>
                      <w:kern w:val="0"/>
                      <w:sz w:val="21"/>
                      <w:szCs w:val="21"/>
                    </w:rPr>
                    <w:t>≦1.0</w:t>
                  </w:r>
                </w:p>
              </w:tc>
            </w:tr>
            <w:tr>
              <w:tblPrEx>
                <w:tblW w:w="0" w:type="auto"/>
                <w:tblInd w:w="108" w:type="dxa"/>
                <w:tblLayout w:type="fixed"/>
                <w:tblCellMar>
                  <w:top w:w="0" w:type="dxa"/>
                  <w:left w:w="108" w:type="dxa"/>
                  <w:bottom w:w="0" w:type="dxa"/>
                  <w:right w:w="108" w:type="dxa"/>
                </w:tblCellMar>
                <w:tblLook w:val="0000"/>
              </w:tblPrEx>
              <w:trPr>
                <w:trHeight w:hRule="exact" w:val="332"/>
              </w:trPr>
              <w:tc>
                <w:tcPr>
                  <w:tcW w:w="2515"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评价标准指数</w:t>
                  </w:r>
                </w:p>
              </w:tc>
              <w:tc>
                <w:tcPr>
                  <w:tcW w:w="149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0.013-0.02</w:t>
                  </w:r>
                </w:p>
              </w:tc>
              <w:tc>
                <w:tcPr>
                  <w:tcW w:w="1480"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0.415-0.545</w:t>
                  </w:r>
                </w:p>
              </w:tc>
              <w:tc>
                <w:tcPr>
                  <w:tcW w:w="1736" w:type="dxa"/>
                  <w:tcBorders>
                    <w:top w:val="single" w:sz="8" w:space="0" w:color="000000"/>
                    <w:left w:val="single" w:sz="4" w:space="0" w:color="000000"/>
                    <w:bottom w:val="single" w:sz="8" w:space="0" w:color="000000"/>
                    <w:right w:val="single" w:sz="4" w:space="0" w:color="000000"/>
                  </w:tcBorders>
                  <w:vAlign w:val="center"/>
                </w:tcPr>
                <w:p>
                  <w:pPr>
                    <w:pStyle w:val="21"/>
                    <w:snapToGrid w:val="0"/>
                    <w:rPr>
                      <w:kern w:val="0"/>
                      <w:sz w:val="21"/>
                      <w:szCs w:val="21"/>
                    </w:rPr>
                  </w:pPr>
                  <w:r>
                    <w:rPr>
                      <w:kern w:val="0"/>
                      <w:sz w:val="21"/>
                      <w:szCs w:val="21"/>
                    </w:rPr>
                    <w:t>0.3-0.35</w:t>
                  </w:r>
                </w:p>
              </w:tc>
              <w:tc>
                <w:tcPr>
                  <w:tcW w:w="1463" w:type="dxa"/>
                  <w:tcBorders>
                    <w:top w:val="single" w:sz="8" w:space="0" w:color="000000"/>
                    <w:left w:val="single" w:sz="4" w:space="0" w:color="000000"/>
                    <w:bottom w:val="single" w:sz="8" w:space="0" w:color="000000"/>
                    <w:right w:val="single" w:sz="8" w:space="0" w:color="000000"/>
                  </w:tcBorders>
                  <w:vAlign w:val="center"/>
                </w:tcPr>
                <w:p>
                  <w:pPr>
                    <w:pStyle w:val="21"/>
                    <w:snapToGrid w:val="0"/>
                    <w:rPr>
                      <w:kern w:val="0"/>
                      <w:sz w:val="21"/>
                      <w:szCs w:val="21"/>
                    </w:rPr>
                  </w:pPr>
                  <w:r>
                    <w:rPr>
                      <w:kern w:val="0"/>
                      <w:sz w:val="21"/>
                      <w:szCs w:val="21"/>
                    </w:rPr>
                    <w:t>0.413-0.525</w:t>
                  </w:r>
                </w:p>
              </w:tc>
            </w:tr>
          </w:tbl>
          <w:p>
            <w:pPr>
              <w:snapToGrid w:val="0"/>
              <w:spacing w:line="360" w:lineRule="auto"/>
              <w:ind w:firstLine="480" w:firstLineChars="200"/>
              <w:rPr>
                <w:rFonts w:hint="eastAsia"/>
                <w:sz w:val="24"/>
              </w:rPr>
            </w:pPr>
          </w:p>
          <w:p>
            <w:pPr>
              <w:snapToGrid w:val="0"/>
              <w:spacing w:line="360" w:lineRule="auto"/>
              <w:ind w:firstLine="480" w:firstLineChars="200"/>
              <w:rPr>
                <w:rFonts w:hint="eastAsia"/>
                <w:b/>
                <w:sz w:val="24"/>
              </w:rPr>
            </w:pPr>
            <w:r>
              <w:rPr>
                <w:rFonts w:hint="eastAsia"/>
                <w:b/>
                <w:sz w:val="24"/>
              </w:rPr>
              <w:t>三、声环境质量现状</w:t>
            </w:r>
          </w:p>
          <w:p>
            <w:pPr>
              <w:snapToGrid w:val="0"/>
              <w:spacing w:line="360" w:lineRule="auto"/>
              <w:ind w:firstLine="480" w:firstLineChars="200"/>
              <w:rPr>
                <w:rFonts w:hint="eastAsia"/>
                <w:sz w:val="24"/>
              </w:rPr>
            </w:pPr>
            <w:r>
              <w:rPr>
                <w:rFonts w:hint="eastAsia"/>
                <w:sz w:val="24"/>
              </w:rPr>
              <w:t>通过对项目实地勘察，项目所在地区域的声环境质量现状能达到《声环境质量标准》(GB3096－2008)2类区标准的要求。</w:t>
            </w:r>
          </w:p>
          <w:p>
            <w:pPr>
              <w:snapToGrid w:val="0"/>
              <w:spacing w:line="360" w:lineRule="auto"/>
              <w:ind w:firstLine="480" w:firstLineChars="200"/>
              <w:rPr>
                <w:rFonts w:hint="eastAsia"/>
                <w:b/>
                <w:sz w:val="24"/>
              </w:rPr>
            </w:pPr>
            <w:r>
              <w:rPr>
                <w:rFonts w:hint="eastAsia"/>
                <w:b/>
                <w:sz w:val="24"/>
              </w:rPr>
              <w:t>四、生态环境质量现状</w:t>
            </w:r>
          </w:p>
          <w:p>
            <w:pPr>
              <w:snapToGrid w:val="0"/>
              <w:spacing w:line="360" w:lineRule="auto"/>
              <w:ind w:firstLine="480" w:firstLineChars="200"/>
              <w:rPr>
                <w:sz w:val="24"/>
              </w:rPr>
            </w:pPr>
            <w:r>
              <w:rPr>
                <w:sz w:val="24"/>
              </w:rPr>
              <w:t>项目位于抚州市文昌社区，所属历史文化街区内，项目所在区域经多年的城市发建设，区域内原生植被较少，现有植物多为人工景观种植</w:t>
            </w:r>
            <w:r>
              <w:rPr>
                <w:rFonts w:hint="eastAsia"/>
                <w:sz w:val="24"/>
              </w:rPr>
              <w:t>。</w:t>
            </w:r>
          </w:p>
          <w:p>
            <w:pPr>
              <w:spacing w:line="360" w:lineRule="auto"/>
              <w:ind w:firstLine="480" w:firstLineChars="200"/>
              <w:rPr>
                <w:sz w:val="24"/>
              </w:rPr>
            </w:pPr>
            <w:r>
              <w:rPr>
                <w:rFonts w:hint="eastAsia"/>
                <w:sz w:val="24"/>
              </w:rPr>
              <w:t>（1）</w:t>
            </w:r>
            <w:r>
              <w:rPr>
                <w:sz w:val="24"/>
              </w:rPr>
              <w:t>植物现状调查</w:t>
            </w:r>
          </w:p>
          <w:p>
            <w:pPr>
              <w:spacing w:after="0" w:line="360" w:lineRule="auto"/>
              <w:ind w:firstLine="480" w:firstLineChars="200"/>
              <w:rPr>
                <w:sz w:val="24"/>
              </w:rPr>
            </w:pPr>
          </w:p>
        </w:tc>
      </w:tr>
    </w:tbl>
    <w:p>
      <w:pPr>
        <w:sectPr>
          <w:headerReference w:type="default" r:id="rId84"/>
          <w:footerReference w:type="even" r:id="rId85"/>
          <w:footerReference w:type="default" r:id="rId86"/>
          <w:headerReference w:type="first" r:id="rId87"/>
          <w:footerReference w:type="first" r:id="rId88"/>
          <w:pgSz w:w="11907" w:h="16840"/>
          <w:pgMar w:top="1418" w:right="1418" w:bottom="1418" w:left="1418" w:header="851" w:footer="992" w:gutter="113"/>
          <w:pgNumType w:start="17"/>
          <w:cols w:space="708"/>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910"/>
      </w:tblGrid>
      <w:tr>
        <w:tblPrEx>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050"/>
        </w:trPr>
        <w:tc>
          <w:tcPr>
            <w:tcW w:w="8910" w:type="dxa"/>
            <w:tcBorders>
              <w:top w:val="single" w:sz="12" w:space="0" w:color="auto"/>
              <w:bottom w:val="single" w:sz="12" w:space="0" w:color="auto"/>
            </w:tcBorders>
          </w:tcPr>
          <w:p>
            <w:pPr>
              <w:spacing w:before="0" w:line="360" w:lineRule="auto"/>
              <w:ind w:firstLine="480" w:firstLineChars="200"/>
              <w:rPr>
                <w:sz w:val="24"/>
              </w:rPr>
            </w:pPr>
            <w:r>
              <w:rPr>
                <w:sz w:val="24"/>
              </w:rPr>
              <w:t>本项目区域主要为城市人工生态系统，周边土地利用现状以灌木林地、荒草地、耕地、居民宅基地为主，地表植被以人工植被及农作物为主。目前项目区部分地块作为建筑垃圾堆放场，部分地面植被被清除，项目区内主要植被为人工种植的香樟、石楠、冬青及一些杂草，未发现珍稀名贵树种，也未发现古树。</w:t>
            </w:r>
          </w:p>
          <w:p>
            <w:pPr>
              <w:spacing w:line="360" w:lineRule="auto"/>
              <w:ind w:firstLine="480" w:firstLineChars="200"/>
              <w:rPr>
                <w:sz w:val="24"/>
              </w:rPr>
            </w:pPr>
            <w:r>
              <w:rPr>
                <w:rFonts w:hint="eastAsia"/>
                <w:sz w:val="24"/>
              </w:rPr>
              <w:t>（2）</w:t>
            </w:r>
            <w:r>
              <w:rPr>
                <w:sz w:val="24"/>
              </w:rPr>
              <w:t>野生动物现状调查</w:t>
            </w:r>
          </w:p>
          <w:p>
            <w:pPr>
              <w:spacing w:line="360" w:lineRule="auto"/>
              <w:ind w:firstLine="480" w:firstLineChars="200"/>
              <w:rPr>
                <w:sz w:val="24"/>
              </w:rPr>
            </w:pPr>
            <w:r>
              <w:rPr>
                <w:sz w:val="24"/>
              </w:rPr>
              <w:t>项目区人为活动频繁，项目区动物以山地溪沟地区常见动物为主，据现场调查和咨询当地居民，项目区动物以</w:t>
            </w:r>
            <w:r>
              <w:rPr>
                <w:rFonts w:hint="eastAsia"/>
                <w:sz w:val="24"/>
              </w:rPr>
              <w:t>丘陵</w:t>
            </w:r>
            <w:r>
              <w:rPr>
                <w:sz w:val="24"/>
              </w:rPr>
              <w:t>溪沟地区常见动物为主，类型为爬行动物、哺乳动物鼠类常见的鸟类麻雀等，主要为常见的蛇、鼠、麻雀、青蛙、斑鸠等；家庭蓄养的主要有猪、鸡、牛、羊、鸭等；经核实</w:t>
            </w:r>
            <w:r>
              <w:rPr>
                <w:rFonts w:hint="eastAsia"/>
                <w:sz w:val="24"/>
              </w:rPr>
              <w:t>项目</w:t>
            </w:r>
            <w:r>
              <w:rPr>
                <w:sz w:val="24"/>
              </w:rPr>
              <w:t>用地范围内无珍稀濒危野生动物，不属于自然保护区范围。</w:t>
            </w:r>
          </w:p>
          <w:p>
            <w:pPr>
              <w:spacing w:line="360" w:lineRule="auto"/>
              <w:ind w:firstLine="480" w:firstLineChars="200"/>
              <w:rPr>
                <w:rFonts w:hint="eastAsia"/>
                <w:sz w:val="24"/>
              </w:rPr>
            </w:pPr>
            <w:r>
              <w:rPr>
                <w:rFonts w:hint="eastAsia"/>
                <w:sz w:val="24"/>
              </w:rPr>
              <w:t>（3）水生生态现状调查</w:t>
            </w:r>
          </w:p>
          <w:p>
            <w:pPr>
              <w:spacing w:line="360" w:lineRule="auto"/>
              <w:ind w:firstLine="480" w:firstLineChars="200"/>
              <w:rPr>
                <w:sz w:val="24"/>
              </w:rPr>
            </w:pPr>
            <w:r>
              <w:rPr>
                <w:sz w:val="24"/>
              </w:rPr>
              <w:t>水生鱼类有草鱼、鲢鱼、鲫鱼等，据调查未发现珍稀动物物种。</w:t>
            </w:r>
          </w:p>
          <w:p>
            <w:pPr>
              <w:spacing w:line="360" w:lineRule="auto"/>
              <w:ind w:firstLine="480" w:firstLineChars="200"/>
              <w:rPr>
                <w:sz w:val="24"/>
              </w:rPr>
            </w:pPr>
            <w:r>
              <w:rPr>
                <w:sz w:val="24"/>
              </w:rPr>
              <w:t>项目</w:t>
            </w:r>
            <w:r>
              <w:rPr>
                <w:rFonts w:hint="eastAsia"/>
                <w:sz w:val="24"/>
              </w:rPr>
              <w:t>区域</w:t>
            </w:r>
            <w:r>
              <w:rPr>
                <w:sz w:val="24"/>
              </w:rPr>
              <w:t>分布的鱼类以四大家鱼为主，主要有草鱼、鲢鱼、鲫鱼等，项目</w:t>
            </w:r>
            <w:r>
              <w:rPr>
                <w:rFonts w:hint="eastAsia"/>
                <w:sz w:val="24"/>
              </w:rPr>
              <w:t>水域</w:t>
            </w:r>
            <w:r>
              <w:rPr>
                <w:sz w:val="24"/>
              </w:rPr>
              <w:t>无鱼类产卵场、索饵场、越冬场分布。</w:t>
            </w:r>
          </w:p>
          <w:p>
            <w:pPr>
              <w:spacing w:line="360" w:lineRule="auto"/>
              <w:ind w:firstLine="480" w:firstLineChars="200"/>
              <w:rPr>
                <w:rFonts w:hint="eastAsia"/>
                <w:sz w:val="24"/>
              </w:rPr>
            </w:pPr>
            <w:r>
              <w:rPr>
                <w:rFonts w:hint="eastAsia"/>
                <w:sz w:val="24"/>
              </w:rPr>
              <w:t>（4）景观现状</w:t>
            </w:r>
          </w:p>
          <w:p>
            <w:pPr>
              <w:spacing w:line="360" w:lineRule="auto"/>
              <w:ind w:firstLine="480" w:firstLineChars="200"/>
              <w:rPr>
                <w:rFonts w:hint="eastAsia"/>
                <w:sz w:val="24"/>
              </w:rPr>
            </w:pPr>
            <w:r>
              <w:rPr>
                <w:rFonts w:hint="eastAsia"/>
                <w:sz w:val="24"/>
              </w:rPr>
              <w:t>项目利用低洼地开挖的人工塘。池塘岸基本保留了软质岸线，沿岸水生植物和湿生植物相对简单，其他大部分河段已建成硬质岸线。</w:t>
            </w: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tc>
      </w:tr>
    </w:tbl>
    <w:p>
      <w:pPr>
        <w:sectPr>
          <w:headerReference w:type="default" r:id="rId89"/>
          <w:footerReference w:type="even" r:id="rId90"/>
          <w:footerReference w:type="default" r:id="rId91"/>
          <w:headerReference w:type="first" r:id="rId92"/>
          <w:footerReference w:type="first" r:id="rId93"/>
          <w:type w:val="nextPage"/>
          <w:pgSz w:w="11907" w:h="16840"/>
          <w:pgMar w:top="1418" w:right="1418" w:bottom="1418" w:left="1418" w:header="851" w:footer="992" w:gutter="113"/>
          <w:pgNumType w:start="18"/>
          <w:cols w:space="708"/>
          <w:titlePg w:val="0"/>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910"/>
      </w:tblGrid>
      <w:tr>
        <w:tblPrEx>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050"/>
        </w:trPr>
        <w:tc>
          <w:tcPr>
            <w:tcW w:w="8910" w:type="dxa"/>
            <w:tcBorders>
              <w:top w:val="single" w:sz="12" w:space="0" w:color="auto"/>
              <w:bottom w:val="single" w:sz="12" w:space="0" w:color="auto"/>
            </w:tcBorders>
          </w:tcPr>
          <w:p>
            <w:pPr>
              <w:spacing w:line="360" w:lineRule="auto"/>
              <w:rPr>
                <w:b/>
                <w:kern w:val="21"/>
                <w:sz w:val="28"/>
              </w:rPr>
            </w:pPr>
            <w:r>
              <w:rPr>
                <w:b/>
                <w:kern w:val="21"/>
                <w:sz w:val="28"/>
              </w:rPr>
              <w:t>主要环境保护目标（列出名单及保护级别）：</w:t>
            </w:r>
          </w:p>
          <w:p>
            <w:pPr>
              <w:spacing w:line="360" w:lineRule="auto"/>
              <w:ind w:firstLine="480" w:firstLineChars="200"/>
              <w:rPr>
                <w:sz w:val="24"/>
              </w:rPr>
            </w:pPr>
            <w:r>
              <w:rPr>
                <w:sz w:val="24"/>
              </w:rPr>
              <w:t>据现场踏勘，项目所在地的主要环境保护目标情况见表6。</w:t>
            </w:r>
          </w:p>
          <w:p>
            <w:pPr>
              <w:tabs>
                <w:tab w:val="left" w:pos="0"/>
              </w:tabs>
              <w:spacing w:line="240" w:lineRule="auto"/>
              <w:jc w:val="center"/>
              <w:rPr>
                <w:kern w:val="21"/>
                <w:sz w:val="24"/>
              </w:rPr>
            </w:pPr>
            <w:r>
              <w:rPr>
                <w:kern w:val="21"/>
                <w:sz w:val="24"/>
              </w:rPr>
              <w:t>表6   环境保护目标</w:t>
            </w:r>
          </w:p>
          <w:tbl>
            <w:tblPr>
              <w:tblStyle w:val="TableNormal"/>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
            <w:tblGrid>
              <w:gridCol w:w="1042"/>
              <w:gridCol w:w="690"/>
              <w:gridCol w:w="1708"/>
              <w:gridCol w:w="673"/>
              <w:gridCol w:w="1163"/>
              <w:gridCol w:w="1125"/>
              <w:gridCol w:w="2293"/>
            </w:tblGrid>
            <w:tr>
              <w:tblPrEx>
                <w:tblW w:w="0" w:type="auto"/>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tcBorders>
                    <w:top w:val="single" w:sz="12" w:space="0" w:color="auto"/>
                    <w:left w:val="nil"/>
                    <w:bottom w:val="double" w:sz="4" w:space="0" w:color="auto"/>
                  </w:tcBorders>
                  <w:shd w:val="clear" w:color="auto" w:fill="FFFFFF"/>
                  <w:vAlign w:val="center"/>
                </w:tcPr>
                <w:p>
                  <w:pPr>
                    <w:pStyle w:val="21"/>
                    <w:snapToGrid w:val="0"/>
                    <w:rPr>
                      <w:kern w:val="0"/>
                      <w:sz w:val="21"/>
                      <w:szCs w:val="21"/>
                    </w:rPr>
                  </w:pPr>
                  <w:r>
                    <w:rPr>
                      <w:kern w:val="0"/>
                      <w:sz w:val="21"/>
                      <w:szCs w:val="21"/>
                    </w:rPr>
                    <w:t>环境要素</w:t>
                  </w:r>
                </w:p>
              </w:tc>
              <w:tc>
                <w:tcPr>
                  <w:tcW w:w="690" w:type="dxa"/>
                  <w:tcBorders>
                    <w:top w:val="single" w:sz="12" w:space="0" w:color="auto"/>
                    <w:bottom w:val="double" w:sz="4"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序号</w:t>
                  </w:r>
                </w:p>
              </w:tc>
              <w:tc>
                <w:tcPr>
                  <w:tcW w:w="1708" w:type="dxa"/>
                  <w:tcBorders>
                    <w:top w:val="single" w:sz="12" w:space="0" w:color="auto"/>
                    <w:bottom w:val="double" w:sz="4" w:space="0" w:color="auto"/>
                  </w:tcBorders>
                  <w:shd w:val="clear" w:color="auto" w:fill="FFFFFF"/>
                  <w:vAlign w:val="center"/>
                </w:tcPr>
                <w:p>
                  <w:pPr>
                    <w:pStyle w:val="21"/>
                    <w:snapToGrid w:val="0"/>
                    <w:rPr>
                      <w:kern w:val="0"/>
                      <w:sz w:val="21"/>
                      <w:szCs w:val="21"/>
                    </w:rPr>
                  </w:pPr>
                  <w:r>
                    <w:rPr>
                      <w:kern w:val="0"/>
                      <w:sz w:val="21"/>
                      <w:szCs w:val="21"/>
                    </w:rPr>
                    <w:t>环境保护对象名称</w:t>
                  </w:r>
                </w:p>
              </w:tc>
              <w:tc>
                <w:tcPr>
                  <w:tcW w:w="673" w:type="dxa"/>
                  <w:tcBorders>
                    <w:top w:val="single" w:sz="12" w:space="0" w:color="auto"/>
                    <w:bottom w:val="double" w:sz="4" w:space="0" w:color="auto"/>
                  </w:tcBorders>
                  <w:shd w:val="clear" w:color="auto" w:fill="FFFFFF"/>
                  <w:vAlign w:val="center"/>
                </w:tcPr>
                <w:p>
                  <w:pPr>
                    <w:pStyle w:val="21"/>
                    <w:snapToGrid w:val="0"/>
                    <w:rPr>
                      <w:kern w:val="0"/>
                      <w:sz w:val="21"/>
                      <w:szCs w:val="21"/>
                    </w:rPr>
                  </w:pPr>
                  <w:r>
                    <w:rPr>
                      <w:kern w:val="0"/>
                      <w:sz w:val="21"/>
                      <w:szCs w:val="21"/>
                    </w:rPr>
                    <w:t>方位</w:t>
                  </w:r>
                </w:p>
              </w:tc>
              <w:tc>
                <w:tcPr>
                  <w:tcW w:w="1163" w:type="dxa"/>
                  <w:tcBorders>
                    <w:top w:val="single" w:sz="12" w:space="0" w:color="auto"/>
                    <w:bottom w:val="double" w:sz="4" w:space="0" w:color="auto"/>
                  </w:tcBorders>
                  <w:shd w:val="clear" w:color="auto" w:fill="FFFFFF"/>
                  <w:vAlign w:val="center"/>
                </w:tcPr>
                <w:p>
                  <w:pPr>
                    <w:pStyle w:val="21"/>
                    <w:snapToGrid w:val="0"/>
                    <w:rPr>
                      <w:kern w:val="0"/>
                      <w:sz w:val="21"/>
                      <w:szCs w:val="21"/>
                    </w:rPr>
                  </w:pPr>
                  <w:r>
                    <w:rPr>
                      <w:kern w:val="0"/>
                      <w:sz w:val="21"/>
                      <w:szCs w:val="21"/>
                    </w:rPr>
                    <w:t>距离（m）</w:t>
                  </w:r>
                </w:p>
              </w:tc>
              <w:tc>
                <w:tcPr>
                  <w:tcW w:w="1125" w:type="dxa"/>
                  <w:tcBorders>
                    <w:top w:val="single" w:sz="12" w:space="0" w:color="auto"/>
                    <w:bottom w:val="double" w:sz="4" w:space="0" w:color="auto"/>
                  </w:tcBorders>
                  <w:shd w:val="clear" w:color="auto" w:fill="FFFFFF"/>
                  <w:vAlign w:val="center"/>
                </w:tcPr>
                <w:p>
                  <w:pPr>
                    <w:pStyle w:val="21"/>
                    <w:snapToGrid w:val="0"/>
                    <w:rPr>
                      <w:kern w:val="0"/>
                      <w:sz w:val="21"/>
                      <w:szCs w:val="21"/>
                    </w:rPr>
                  </w:pPr>
                  <w:r>
                    <w:rPr>
                      <w:kern w:val="0"/>
                      <w:sz w:val="21"/>
                      <w:szCs w:val="21"/>
                    </w:rPr>
                    <w:t>规模</w:t>
                  </w:r>
                </w:p>
              </w:tc>
              <w:tc>
                <w:tcPr>
                  <w:tcW w:w="2293" w:type="dxa"/>
                  <w:tcBorders>
                    <w:top w:val="single" w:sz="12" w:space="0" w:color="auto"/>
                    <w:bottom w:val="double" w:sz="4" w:space="0" w:color="auto"/>
                    <w:right w:val="nil"/>
                  </w:tcBorders>
                  <w:shd w:val="clear" w:color="auto" w:fill="FFFFFF"/>
                  <w:vAlign w:val="center"/>
                </w:tcPr>
                <w:p>
                  <w:pPr>
                    <w:pStyle w:val="21"/>
                    <w:snapToGrid w:val="0"/>
                    <w:rPr>
                      <w:kern w:val="0"/>
                      <w:sz w:val="21"/>
                      <w:szCs w:val="21"/>
                    </w:rPr>
                  </w:pPr>
                  <w:r>
                    <w:rPr>
                      <w:kern w:val="0"/>
                      <w:sz w:val="21"/>
                      <w:szCs w:val="21"/>
                    </w:rPr>
                    <w:t>环境功能</w:t>
                  </w: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val="restart"/>
                  <w:tcBorders>
                    <w:left w:val="nil"/>
                  </w:tcBorders>
                  <w:shd w:val="clear" w:color="auto" w:fill="FFFFFF"/>
                  <w:vAlign w:val="center"/>
                </w:tcPr>
                <w:p>
                  <w:pPr>
                    <w:pStyle w:val="21"/>
                    <w:snapToGrid w:val="0"/>
                    <w:rPr>
                      <w:kern w:val="0"/>
                      <w:sz w:val="21"/>
                      <w:szCs w:val="21"/>
                    </w:rPr>
                  </w:pPr>
                  <w:r>
                    <w:rPr>
                      <w:kern w:val="0"/>
                      <w:sz w:val="21"/>
                      <w:szCs w:val="21"/>
                    </w:rPr>
                    <w:t>大气环境</w:t>
                  </w: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1</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临川区桥东村</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南</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20</w:t>
                  </w:r>
                </w:p>
              </w:tc>
              <w:tc>
                <w:tcPr>
                  <w:tcW w:w="1125" w:type="dxa"/>
                  <w:tcBorders>
                    <w:top w:val="single" w:sz="2" w:space="0" w:color="auto"/>
                  </w:tcBorders>
                  <w:shd w:val="clear" w:color="auto" w:fill="FFFFFF"/>
                  <w:vAlign w:val="center"/>
                </w:tcPr>
                <w:p>
                  <w:pPr>
                    <w:pStyle w:val="21"/>
                    <w:snapToGrid w:val="0"/>
                    <w:rPr>
                      <w:kern w:val="0"/>
                      <w:sz w:val="21"/>
                      <w:szCs w:val="21"/>
                    </w:rPr>
                  </w:pPr>
                  <w:r>
                    <w:rPr>
                      <w:rFonts w:hint="eastAsia"/>
                      <w:kern w:val="0"/>
                      <w:sz w:val="21"/>
                      <w:szCs w:val="21"/>
                    </w:rPr>
                    <w:t>约</w:t>
                  </w:r>
                  <w:r>
                    <w:rPr>
                      <w:kern w:val="0"/>
                      <w:sz w:val="21"/>
                      <w:szCs w:val="21"/>
                    </w:rPr>
                    <w:t>2000人</w:t>
                  </w:r>
                </w:p>
              </w:tc>
              <w:tc>
                <w:tcPr>
                  <w:tcW w:w="2293" w:type="dxa"/>
                  <w:vMerge w:val="restart"/>
                  <w:tcBorders>
                    <w:right w:val="nil"/>
                  </w:tcBorders>
                  <w:shd w:val="clear" w:color="auto" w:fill="FFFFFF"/>
                  <w:vAlign w:val="center"/>
                </w:tcPr>
                <w:p>
                  <w:pPr>
                    <w:pStyle w:val="21"/>
                    <w:snapToGrid w:val="0"/>
                    <w:rPr>
                      <w:kern w:val="0"/>
                      <w:sz w:val="21"/>
                      <w:szCs w:val="21"/>
                    </w:rPr>
                  </w:pPr>
                  <w:r>
                    <w:rPr>
                      <w:kern w:val="0"/>
                      <w:sz w:val="21"/>
                      <w:szCs w:val="21"/>
                    </w:rPr>
                    <w:t>《环境空气质量标准》（GB3095-2012）中二类</w:t>
                  </w: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2</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前进村</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16</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约1500人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3</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正觉古寺</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东南</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64</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约200人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4</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临川第六小学</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东南</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163</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约400人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5</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新世纪河滨花园</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南面</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378</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约1500人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6</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抚州市中医院</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东面</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410</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约3000人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7</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勤光村</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东面</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538</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约800人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8</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孝桥小学</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东面</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502</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约400人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9</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孝桥镇</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东面</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74</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约850人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10</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孝桥镇中学</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东面</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60</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约2000人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11</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圣约瑟天主堂</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北面</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70</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约1500人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12</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上尧坊</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西北</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69</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约300人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vMerge/>
                  <w:tcBorders>
                    <w:left w:val="nil"/>
                  </w:tcBorders>
                  <w:shd w:val="clear" w:color="auto" w:fill="FFFFFF"/>
                  <w:vAlign w:val="center"/>
                </w:tcPr>
                <w:p>
                  <w:pPr>
                    <w:pStyle w:val="21"/>
                    <w:snapToGrid w:val="0"/>
                    <w:rPr>
                      <w:kern w:val="0"/>
                      <w:sz w:val="21"/>
                      <w:szCs w:val="21"/>
                    </w:rPr>
                  </w:pPr>
                </w:p>
              </w:tc>
              <w:tc>
                <w:tcPr>
                  <w:tcW w:w="690"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13</w:t>
                  </w:r>
                </w:p>
              </w:tc>
              <w:tc>
                <w:tcPr>
                  <w:tcW w:w="1708"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徐家</w:t>
                  </w:r>
                </w:p>
              </w:tc>
              <w:tc>
                <w:tcPr>
                  <w:tcW w:w="67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西北</w:t>
                  </w:r>
                </w:p>
              </w:tc>
              <w:tc>
                <w:tcPr>
                  <w:tcW w:w="1163"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530</w:t>
                  </w:r>
                </w:p>
              </w:tc>
              <w:tc>
                <w:tcPr>
                  <w:tcW w:w="1125" w:type="dxa"/>
                  <w:tcBorders>
                    <w:top w:val="single" w:sz="2" w:space="0" w:color="auto"/>
                  </w:tcBorders>
                  <w:shd w:val="clear" w:color="auto" w:fill="FFFFFF"/>
                  <w:vAlign w:val="center"/>
                </w:tcPr>
                <w:p>
                  <w:pPr>
                    <w:pStyle w:val="21"/>
                    <w:snapToGrid w:val="0"/>
                    <w:rPr>
                      <w:rFonts w:hint="eastAsia"/>
                      <w:kern w:val="0"/>
                      <w:sz w:val="21"/>
                      <w:szCs w:val="21"/>
                    </w:rPr>
                  </w:pPr>
                  <w:r>
                    <w:rPr>
                      <w:rFonts w:hint="eastAsia"/>
                      <w:kern w:val="0"/>
                      <w:sz w:val="21"/>
                      <w:szCs w:val="21"/>
                    </w:rPr>
                    <w:t>约350人</w:t>
                  </w:r>
                </w:p>
              </w:tc>
              <w:tc>
                <w:tcPr>
                  <w:tcW w:w="2293" w:type="dxa"/>
                  <w:vMerge/>
                  <w:tcBorders>
                    <w:right w:val="nil"/>
                  </w:tcBorders>
                  <w:shd w:val="clear" w:color="auto" w:fill="FFFFFF"/>
                  <w:vAlign w:val="center"/>
                </w:tcPr>
                <w:p>
                  <w:pPr>
                    <w:pStyle w:val="21"/>
                    <w:snapToGrid w:val="0"/>
                    <w:rPr>
                      <w:kern w:val="0"/>
                      <w:sz w:val="21"/>
                      <w:szCs w:val="21"/>
                    </w:rPr>
                  </w:pP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tcBorders>
                    <w:left w:val="nil"/>
                  </w:tcBorders>
                  <w:shd w:val="clear" w:color="auto" w:fill="FFFFFF"/>
                  <w:vAlign w:val="center"/>
                </w:tcPr>
                <w:p>
                  <w:pPr>
                    <w:pStyle w:val="21"/>
                    <w:snapToGrid w:val="0"/>
                    <w:rPr>
                      <w:kern w:val="0"/>
                      <w:sz w:val="21"/>
                      <w:szCs w:val="21"/>
                    </w:rPr>
                  </w:pPr>
                  <w:r>
                    <w:rPr>
                      <w:kern w:val="0"/>
                      <w:sz w:val="21"/>
                      <w:szCs w:val="21"/>
                    </w:rPr>
                    <w:t>水环境</w:t>
                  </w:r>
                </w:p>
              </w:tc>
              <w:tc>
                <w:tcPr>
                  <w:tcW w:w="2398" w:type="dxa"/>
                  <w:gridSpan w:val="2"/>
                  <w:shd w:val="clear" w:color="auto" w:fill="FFFFFF"/>
                  <w:vAlign w:val="center"/>
                </w:tcPr>
                <w:p>
                  <w:pPr>
                    <w:pStyle w:val="21"/>
                    <w:snapToGrid w:val="0"/>
                    <w:rPr>
                      <w:kern w:val="0"/>
                      <w:sz w:val="21"/>
                      <w:szCs w:val="21"/>
                    </w:rPr>
                  </w:pPr>
                  <w:r>
                    <w:rPr>
                      <w:rFonts w:hint="eastAsia"/>
                      <w:kern w:val="0"/>
                      <w:sz w:val="21"/>
                      <w:szCs w:val="21"/>
                    </w:rPr>
                    <w:t>抚河</w:t>
                  </w:r>
                </w:p>
              </w:tc>
              <w:tc>
                <w:tcPr>
                  <w:tcW w:w="2961" w:type="dxa"/>
                  <w:gridSpan w:val="3"/>
                  <w:shd w:val="clear" w:color="auto" w:fill="FFFFFF"/>
                  <w:vAlign w:val="center"/>
                </w:tcPr>
                <w:p>
                  <w:pPr>
                    <w:pStyle w:val="21"/>
                    <w:snapToGrid w:val="0"/>
                    <w:rPr>
                      <w:kern w:val="0"/>
                      <w:sz w:val="21"/>
                      <w:szCs w:val="21"/>
                    </w:rPr>
                  </w:pPr>
                  <w:r>
                    <w:rPr>
                      <w:kern w:val="0"/>
                      <w:sz w:val="21"/>
                      <w:szCs w:val="21"/>
                    </w:rPr>
                    <w:t>/</w:t>
                  </w:r>
                </w:p>
              </w:tc>
              <w:tc>
                <w:tcPr>
                  <w:tcW w:w="2293" w:type="dxa"/>
                  <w:tcBorders>
                    <w:right w:val="nil"/>
                  </w:tcBorders>
                  <w:shd w:val="clear" w:color="auto" w:fill="FFFFFF"/>
                  <w:vAlign w:val="center"/>
                </w:tcPr>
                <w:p>
                  <w:pPr>
                    <w:pStyle w:val="21"/>
                    <w:snapToGrid w:val="0"/>
                    <w:rPr>
                      <w:kern w:val="0"/>
                      <w:sz w:val="21"/>
                      <w:szCs w:val="21"/>
                    </w:rPr>
                  </w:pPr>
                  <w:r>
                    <w:rPr>
                      <w:kern w:val="0"/>
                      <w:sz w:val="21"/>
                      <w:szCs w:val="21"/>
                    </w:rPr>
                    <w:t>《地表水环境质量标准》（GB3838-2002）中</w:t>
                  </w:r>
                  <w:r>
                    <w:rPr>
                      <w:rFonts w:hint="eastAsia"/>
                      <w:kern w:val="0"/>
                      <w:sz w:val="21"/>
                      <w:szCs w:val="21"/>
                    </w:rPr>
                    <w:t>III</w:t>
                  </w:r>
                  <w:r>
                    <w:rPr>
                      <w:kern w:val="0"/>
                      <w:sz w:val="21"/>
                      <w:szCs w:val="21"/>
                    </w:rPr>
                    <w:t>类</w:t>
                  </w:r>
                </w:p>
              </w:tc>
            </w:tr>
            <w:tr>
              <w:tblPrEx>
                <w:tblW w:w="0" w:type="auto"/>
                <w:jc w:val="center"/>
                <w:tblInd w:w="108" w:type="dxa"/>
                <w:shd w:val="clear" w:color="auto" w:fill="FFFFFF"/>
                <w:tblLayout w:type="fixed"/>
                <w:tblCellMar>
                  <w:top w:w="0" w:type="dxa"/>
                  <w:left w:w="108" w:type="dxa"/>
                  <w:bottom w:w="0" w:type="dxa"/>
                  <w:right w:w="108" w:type="dxa"/>
                </w:tblCellMar>
                <w:tblLook w:val="0000"/>
              </w:tblPrEx>
              <w:trPr>
                <w:trHeight w:val="23"/>
                <w:tblHeader/>
                <w:jc w:val="center"/>
              </w:trPr>
              <w:tc>
                <w:tcPr>
                  <w:tcW w:w="1042" w:type="dxa"/>
                  <w:tcBorders>
                    <w:left w:val="nil"/>
                    <w:bottom w:val="single" w:sz="12" w:space="0" w:color="auto"/>
                  </w:tcBorders>
                  <w:shd w:val="clear" w:color="auto" w:fill="FFFFFF"/>
                  <w:vAlign w:val="center"/>
                </w:tcPr>
                <w:p>
                  <w:pPr>
                    <w:pStyle w:val="21"/>
                    <w:snapToGrid w:val="0"/>
                    <w:rPr>
                      <w:kern w:val="0"/>
                      <w:sz w:val="21"/>
                      <w:szCs w:val="21"/>
                    </w:rPr>
                  </w:pPr>
                  <w:r>
                    <w:rPr>
                      <w:kern w:val="0"/>
                      <w:sz w:val="21"/>
                      <w:szCs w:val="21"/>
                    </w:rPr>
                    <w:t>声环境</w:t>
                  </w:r>
                </w:p>
              </w:tc>
              <w:tc>
                <w:tcPr>
                  <w:tcW w:w="5359" w:type="dxa"/>
                  <w:gridSpan w:val="5"/>
                  <w:tcBorders>
                    <w:bottom w:val="single" w:sz="12" w:space="0" w:color="auto"/>
                  </w:tcBorders>
                  <w:shd w:val="clear" w:color="auto" w:fill="FFFFFF"/>
                  <w:vAlign w:val="center"/>
                </w:tcPr>
                <w:p>
                  <w:pPr>
                    <w:pStyle w:val="21"/>
                    <w:snapToGrid w:val="0"/>
                    <w:rPr>
                      <w:kern w:val="0"/>
                      <w:sz w:val="21"/>
                      <w:szCs w:val="21"/>
                    </w:rPr>
                  </w:pPr>
                  <w:r>
                    <w:rPr>
                      <w:kern w:val="0"/>
                      <w:sz w:val="21"/>
                      <w:szCs w:val="21"/>
                    </w:rPr>
                    <w:t>周边区域</w:t>
                  </w:r>
                </w:p>
              </w:tc>
              <w:tc>
                <w:tcPr>
                  <w:tcW w:w="2293" w:type="dxa"/>
                  <w:tcBorders>
                    <w:bottom w:val="single" w:sz="12" w:space="0" w:color="auto"/>
                    <w:right w:val="nil"/>
                  </w:tcBorders>
                  <w:shd w:val="clear" w:color="auto" w:fill="FFFFFF"/>
                  <w:vAlign w:val="center"/>
                </w:tcPr>
                <w:p>
                  <w:pPr>
                    <w:pStyle w:val="21"/>
                    <w:snapToGrid w:val="0"/>
                    <w:rPr>
                      <w:kern w:val="0"/>
                      <w:sz w:val="21"/>
                      <w:szCs w:val="21"/>
                    </w:rPr>
                  </w:pPr>
                  <w:r>
                    <w:rPr>
                      <w:kern w:val="0"/>
                      <w:sz w:val="21"/>
                      <w:szCs w:val="21"/>
                    </w:rPr>
                    <w:t>《声环境质量标准》（GB3096-2008）</w:t>
                  </w:r>
                  <w:r>
                    <w:rPr>
                      <w:rFonts w:hint="eastAsia"/>
                      <w:kern w:val="0"/>
                      <w:sz w:val="21"/>
                      <w:szCs w:val="21"/>
                    </w:rPr>
                    <w:t>2</w:t>
                  </w:r>
                  <w:r>
                    <w:rPr>
                      <w:kern w:val="0"/>
                      <w:sz w:val="21"/>
                      <w:szCs w:val="21"/>
                    </w:rPr>
                    <w:t>类，</w:t>
                  </w:r>
                  <w:r>
                    <w:rPr>
                      <w:rFonts w:hint="eastAsia"/>
                      <w:kern w:val="0"/>
                      <w:sz w:val="21"/>
                      <w:szCs w:val="21"/>
                    </w:rPr>
                    <w:t>东侧道路</w:t>
                  </w:r>
                  <w:r>
                    <w:rPr>
                      <w:kern w:val="0"/>
                      <w:sz w:val="21"/>
                      <w:szCs w:val="21"/>
                    </w:rPr>
                    <w:t>侧执行《声环境质量标准》（GB3096-2008）4a类</w:t>
                  </w:r>
                </w:p>
              </w:tc>
            </w:tr>
          </w:tbl>
          <w:p>
            <w:pPr>
              <w:spacing w:before="120" w:beforeLines="50" w:line="360" w:lineRule="auto"/>
              <w:ind w:firstLine="480" w:firstLineChars="200"/>
              <w:rPr>
                <w:sz w:val="24"/>
              </w:rPr>
            </w:pPr>
            <w:r>
              <w:rPr>
                <w:sz w:val="24"/>
              </w:rPr>
              <w:t>营运期主要环境保护目标：</w:t>
            </w:r>
          </w:p>
          <w:p>
            <w:pPr>
              <w:spacing w:line="360" w:lineRule="auto"/>
              <w:ind w:firstLine="480" w:firstLineChars="200"/>
              <w:rPr>
                <w:sz w:val="24"/>
              </w:rPr>
            </w:pPr>
            <w:r>
              <w:rPr>
                <w:sz w:val="24"/>
              </w:rPr>
              <w:t>一、保护当地大气环境达到《环境空气质量标准》（GB3095-2012）中二级标准。</w:t>
            </w:r>
          </w:p>
          <w:p>
            <w:pPr>
              <w:spacing w:line="360" w:lineRule="auto"/>
              <w:ind w:firstLine="480" w:firstLineChars="200"/>
              <w:rPr>
                <w:sz w:val="24"/>
              </w:rPr>
            </w:pPr>
            <w:r>
              <w:rPr>
                <w:sz w:val="24"/>
              </w:rPr>
              <w:t>二、严格控制噪声源，确保厂界噪声满足《声环境质量标准》（GB3096-2008）中2类及4a类标准，不对周围环境保护目标造成影响。</w:t>
            </w:r>
          </w:p>
          <w:p>
            <w:pPr>
              <w:spacing w:line="360" w:lineRule="auto"/>
              <w:ind w:firstLine="480" w:firstLineChars="200"/>
              <w:rPr>
                <w:rFonts w:hint="eastAsia"/>
                <w:sz w:val="24"/>
              </w:rPr>
            </w:pPr>
            <w:r>
              <w:rPr>
                <w:sz w:val="24"/>
              </w:rPr>
              <w:t>三、确保项目周边水环境满足环境质量标准要求。</w:t>
            </w:r>
            <w:r>
              <w:rPr>
                <w:rFonts w:hint="eastAsia"/>
                <w:sz w:val="24"/>
              </w:rPr>
              <w:t>项目排水经化粪池处理后排入市政管网，尾水排入抚河。</w:t>
            </w: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tc>
      </w:tr>
    </w:tbl>
    <w:p>
      <w:pPr>
        <w:sectPr>
          <w:headerReference w:type="default" r:id="rId94"/>
          <w:footerReference w:type="even" r:id="rId95"/>
          <w:footerReference w:type="default" r:id="rId96"/>
          <w:headerReference w:type="first" r:id="rId97"/>
          <w:footerReference w:type="first" r:id="rId98"/>
          <w:type w:val="nextPage"/>
          <w:pgSz w:w="11907" w:h="16840"/>
          <w:pgMar w:top="1418" w:right="1418" w:bottom="1418" w:left="1418" w:header="851" w:footer="992" w:gutter="113"/>
          <w:pgNumType w:start="19"/>
          <w:cols w:space="708"/>
          <w:titlePg w:val="0"/>
          <w:docGrid w:linePitch="286"/>
        </w:sectPr>
      </w:pPr>
    </w:p>
    <w:tbl>
      <w:tblPr>
        <w:tblStyle w:val="TableNormal"/>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8910"/>
      </w:tblGrid>
      <w:tr>
        <w:tblPrEx>
          <w:tblW w:w="0" w:type="auto"/>
          <w:tblInd w:w="12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trHeight w:val="7050"/>
        </w:trPr>
        <w:tc>
          <w:tcPr>
            <w:tcW w:w="8910" w:type="dxa"/>
            <w:tcBorders>
              <w:top w:val="single" w:sz="12" w:space="0" w:color="auto"/>
              <w:bottom w:val="single" w:sz="12" w:space="0" w:color="auto"/>
            </w:tcBorders>
          </w:tcPr>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rPr>
                <w:sz w:val="24"/>
              </w:rPr>
            </w:pPr>
          </w:p>
        </w:tc>
      </w:tr>
    </w:tbl>
    <w:p>
      <w:pPr>
        <w:spacing w:line="240" w:lineRule="auto"/>
        <w:outlineLvl w:val="0"/>
        <w:rPr>
          <w:b/>
          <w:kern w:val="21"/>
          <w:sz w:val="30"/>
        </w:rPr>
        <w:sectPr>
          <w:headerReference w:type="default" r:id="rId99"/>
          <w:footerReference w:type="even" r:id="rId100"/>
          <w:footerReference w:type="default" r:id="rId101"/>
          <w:headerReference w:type="first" r:id="rId102"/>
          <w:footerReference w:type="first" r:id="rId103"/>
          <w:type w:val="nextPage"/>
          <w:pgSz w:w="11907" w:h="16840"/>
          <w:pgMar w:top="1418" w:right="1418" w:bottom="1418" w:left="1418" w:header="851" w:footer="992" w:gutter="113"/>
          <w:pgNumType w:start="20"/>
          <w:cols w:space="708"/>
          <w:titlePg w:val="0"/>
          <w:docGrid w:linePitch="286"/>
        </w:sectPr>
      </w:pPr>
    </w:p>
    <w:p>
      <w:pPr>
        <w:spacing w:line="240" w:lineRule="auto"/>
        <w:outlineLvl w:val="0"/>
        <w:rPr>
          <w:kern w:val="21"/>
          <w:sz w:val="28"/>
        </w:rPr>
      </w:pPr>
      <w:r>
        <w:rPr>
          <w:b/>
          <w:kern w:val="21"/>
          <w:sz w:val="30"/>
        </w:rPr>
        <w:t>评价适用标准</w:t>
      </w:r>
    </w:p>
    <w:tbl>
      <w:tblPr>
        <w:tblStyle w:val="TableNormal"/>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
      <w:tblGrid>
        <w:gridCol w:w="459"/>
        <w:gridCol w:w="675"/>
        <w:gridCol w:w="428"/>
        <w:gridCol w:w="848"/>
        <w:gridCol w:w="515"/>
        <w:gridCol w:w="854"/>
        <w:gridCol w:w="250"/>
        <w:gridCol w:w="933"/>
        <w:gridCol w:w="328"/>
        <w:gridCol w:w="522"/>
        <w:gridCol w:w="588"/>
        <w:gridCol w:w="121"/>
        <w:gridCol w:w="850"/>
        <w:gridCol w:w="309"/>
        <w:gridCol w:w="544"/>
        <w:gridCol w:w="759"/>
      </w:tblGrid>
      <w:tr>
        <w:tblPrEx>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top w:w="0" w:type="dxa"/>
            <w:left w:w="108" w:type="dxa"/>
            <w:bottom w:w="0" w:type="dxa"/>
            <w:right w:w="108" w:type="dxa"/>
          </w:tblCellMar>
          <w:tblLook w:val="0000"/>
        </w:tblPrEx>
        <w:trPr>
          <w:cantSplit/>
          <w:trHeight w:val="404"/>
        </w:trPr>
        <w:tc>
          <w:tcPr>
            <w:tcW w:w="459" w:type="dxa"/>
            <w:vMerge w:val="restart"/>
            <w:tcBorders>
              <w:top w:val="single" w:sz="12" w:space="0" w:color="auto"/>
            </w:tcBorders>
            <w:vAlign w:val="center"/>
          </w:tcPr>
          <w:p>
            <w:pPr>
              <w:spacing w:line="360" w:lineRule="auto"/>
              <w:jc w:val="center"/>
              <w:rPr>
                <w:b/>
                <w:kern w:val="21"/>
                <w:sz w:val="28"/>
              </w:rPr>
            </w:pPr>
            <w:r>
              <w:rPr>
                <w:b/>
                <w:kern w:val="21"/>
                <w:sz w:val="28"/>
              </w:rPr>
              <w:t>环</w:t>
            </w:r>
          </w:p>
          <w:p>
            <w:pPr>
              <w:spacing w:line="360" w:lineRule="auto"/>
              <w:jc w:val="center"/>
              <w:rPr>
                <w:b/>
                <w:kern w:val="21"/>
                <w:sz w:val="28"/>
              </w:rPr>
            </w:pPr>
            <w:r>
              <w:rPr>
                <w:b/>
                <w:kern w:val="21"/>
                <w:sz w:val="28"/>
              </w:rPr>
              <w:t>境</w:t>
            </w:r>
          </w:p>
          <w:p>
            <w:pPr>
              <w:spacing w:line="360" w:lineRule="auto"/>
              <w:jc w:val="center"/>
              <w:rPr>
                <w:b/>
                <w:kern w:val="21"/>
                <w:sz w:val="28"/>
              </w:rPr>
            </w:pPr>
            <w:r>
              <w:rPr>
                <w:b/>
                <w:kern w:val="21"/>
                <w:sz w:val="28"/>
              </w:rPr>
              <w:t>质</w:t>
            </w:r>
          </w:p>
          <w:p>
            <w:pPr>
              <w:spacing w:line="360" w:lineRule="auto"/>
              <w:jc w:val="center"/>
              <w:rPr>
                <w:b/>
                <w:kern w:val="21"/>
                <w:sz w:val="28"/>
              </w:rPr>
            </w:pPr>
            <w:r>
              <w:rPr>
                <w:b/>
                <w:kern w:val="21"/>
                <w:sz w:val="28"/>
              </w:rPr>
              <w:t>量</w:t>
            </w:r>
          </w:p>
          <w:p>
            <w:pPr>
              <w:spacing w:line="360" w:lineRule="auto"/>
              <w:jc w:val="center"/>
              <w:rPr>
                <w:b/>
                <w:kern w:val="21"/>
                <w:sz w:val="28"/>
              </w:rPr>
            </w:pPr>
            <w:r>
              <w:rPr>
                <w:b/>
                <w:kern w:val="21"/>
                <w:sz w:val="28"/>
              </w:rPr>
              <w:t>标</w:t>
            </w:r>
          </w:p>
          <w:p>
            <w:pPr>
              <w:spacing w:line="360" w:lineRule="auto"/>
              <w:jc w:val="center"/>
              <w:rPr>
                <w:b/>
                <w:kern w:val="21"/>
                <w:sz w:val="28"/>
              </w:rPr>
            </w:pPr>
            <w:r>
              <w:rPr>
                <w:b/>
                <w:kern w:val="21"/>
                <w:sz w:val="28"/>
              </w:rPr>
              <w:t>准</w:t>
            </w:r>
          </w:p>
        </w:tc>
        <w:tc>
          <w:tcPr>
            <w:tcW w:w="8524" w:type="dxa"/>
            <w:gridSpan w:val="15"/>
            <w:tcBorders>
              <w:top w:val="single" w:sz="12" w:space="0" w:color="auto"/>
              <w:bottom w:val="single" w:sz="12" w:space="0" w:color="auto"/>
            </w:tcBorders>
            <w:vAlign w:val="bottom"/>
          </w:tcPr>
          <w:p>
            <w:pPr>
              <w:spacing w:before="120" w:beforeLines="50" w:line="240" w:lineRule="auto"/>
              <w:jc w:val="center"/>
              <w:rPr>
                <w:b/>
                <w:kern w:val="21"/>
                <w:sz w:val="24"/>
              </w:rPr>
            </w:pPr>
            <w:r>
              <w:rPr>
                <w:b/>
                <w:kern w:val="21"/>
                <w:sz w:val="24"/>
              </w:rPr>
              <w:t>表7 环境质量标准一览表</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tcBorders>
              <w:top w:val="single" w:sz="12" w:space="0" w:color="auto"/>
              <w:bottom w:val="double" w:sz="4" w:space="0" w:color="auto"/>
              <w:right w:val="single" w:sz="6" w:space="0" w:color="auto"/>
            </w:tcBorders>
            <w:vAlign w:val="center"/>
          </w:tcPr>
          <w:p>
            <w:pPr>
              <w:pStyle w:val="21"/>
              <w:spacing w:line="240" w:lineRule="atLeast"/>
              <w:rPr>
                <w:kern w:val="18"/>
                <w:sz w:val="21"/>
                <w:szCs w:val="21"/>
              </w:rPr>
            </w:pPr>
            <w:r>
              <w:rPr>
                <w:kern w:val="18"/>
                <w:sz w:val="21"/>
                <w:szCs w:val="21"/>
              </w:rPr>
              <w:t>项目</w:t>
            </w:r>
          </w:p>
        </w:tc>
        <w:tc>
          <w:tcPr>
            <w:tcW w:w="1363" w:type="dxa"/>
            <w:gridSpan w:val="2"/>
            <w:tcBorders>
              <w:top w:val="single" w:sz="12" w:space="0" w:color="auto"/>
              <w:left w:val="single" w:sz="6" w:space="0" w:color="auto"/>
              <w:bottom w:val="double" w:sz="4" w:space="0" w:color="auto"/>
              <w:right w:val="single" w:sz="6" w:space="0" w:color="auto"/>
            </w:tcBorders>
            <w:vAlign w:val="center"/>
          </w:tcPr>
          <w:p>
            <w:pPr>
              <w:pStyle w:val="21"/>
              <w:spacing w:line="240" w:lineRule="atLeast"/>
              <w:rPr>
                <w:kern w:val="18"/>
                <w:sz w:val="21"/>
                <w:szCs w:val="21"/>
              </w:rPr>
            </w:pPr>
            <w:r>
              <w:rPr>
                <w:kern w:val="18"/>
                <w:sz w:val="21"/>
                <w:szCs w:val="21"/>
              </w:rPr>
              <w:t>标准</w:t>
            </w:r>
          </w:p>
        </w:tc>
        <w:tc>
          <w:tcPr>
            <w:tcW w:w="854" w:type="dxa"/>
            <w:tcBorders>
              <w:top w:val="single" w:sz="12" w:space="0" w:color="auto"/>
              <w:left w:val="single" w:sz="6" w:space="0" w:color="auto"/>
              <w:bottom w:val="double" w:sz="4" w:space="0" w:color="auto"/>
              <w:right w:val="single" w:sz="6" w:space="0" w:color="auto"/>
            </w:tcBorders>
            <w:vAlign w:val="center"/>
          </w:tcPr>
          <w:p>
            <w:pPr>
              <w:spacing w:line="240" w:lineRule="atLeast"/>
              <w:jc w:val="center"/>
              <w:rPr>
                <w:kern w:val="18"/>
                <w:szCs w:val="21"/>
              </w:rPr>
            </w:pPr>
            <w:r>
              <w:rPr>
                <w:kern w:val="18"/>
                <w:szCs w:val="21"/>
              </w:rPr>
              <w:t>类别</w:t>
            </w:r>
          </w:p>
        </w:tc>
        <w:tc>
          <w:tcPr>
            <w:tcW w:w="5204" w:type="dxa"/>
            <w:gridSpan w:val="10"/>
            <w:tcBorders>
              <w:top w:val="single" w:sz="12" w:space="0" w:color="auto"/>
              <w:left w:val="single" w:sz="6" w:space="0" w:color="auto"/>
              <w:bottom w:val="double" w:sz="4" w:space="0" w:color="auto"/>
            </w:tcBorders>
            <w:vAlign w:val="center"/>
          </w:tcPr>
          <w:p>
            <w:pPr>
              <w:spacing w:line="240" w:lineRule="atLeast"/>
              <w:jc w:val="center"/>
              <w:rPr>
                <w:w w:val="80"/>
                <w:kern w:val="21"/>
                <w:sz w:val="24"/>
              </w:rPr>
            </w:pPr>
            <w:r>
              <w:rPr>
                <w:kern w:val="18"/>
                <w:szCs w:val="21"/>
              </w:rPr>
              <w:t>评价标准值</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val="restart"/>
            <w:tcBorders>
              <w:top w:val="double" w:sz="4" w:space="0" w:color="auto"/>
              <w:right w:val="single" w:sz="6" w:space="0" w:color="auto"/>
            </w:tcBorders>
            <w:vAlign w:val="center"/>
          </w:tcPr>
          <w:p>
            <w:pPr>
              <w:pStyle w:val="21"/>
              <w:spacing w:line="240" w:lineRule="atLeast"/>
              <w:rPr>
                <w:kern w:val="18"/>
                <w:sz w:val="21"/>
                <w:szCs w:val="21"/>
              </w:rPr>
            </w:pPr>
            <w:r>
              <w:rPr>
                <w:kern w:val="18"/>
                <w:sz w:val="21"/>
                <w:szCs w:val="21"/>
              </w:rPr>
              <w:t>环境</w:t>
            </w:r>
          </w:p>
          <w:p>
            <w:pPr>
              <w:pStyle w:val="21"/>
              <w:spacing w:line="240" w:lineRule="atLeast"/>
              <w:rPr>
                <w:kern w:val="18"/>
                <w:sz w:val="21"/>
                <w:szCs w:val="21"/>
              </w:rPr>
            </w:pPr>
            <w:r>
              <w:rPr>
                <w:kern w:val="18"/>
                <w:sz w:val="21"/>
                <w:szCs w:val="21"/>
              </w:rPr>
              <w:t>空气</w:t>
            </w:r>
          </w:p>
        </w:tc>
        <w:tc>
          <w:tcPr>
            <w:tcW w:w="1363" w:type="dxa"/>
            <w:gridSpan w:val="2"/>
            <w:vMerge w:val="restart"/>
            <w:tcBorders>
              <w:top w:val="double" w:sz="4" w:space="0" w:color="auto"/>
              <w:left w:val="single" w:sz="6" w:space="0" w:color="auto"/>
              <w:right w:val="single" w:sz="6" w:space="0" w:color="auto"/>
            </w:tcBorders>
            <w:vAlign w:val="center"/>
          </w:tcPr>
          <w:p>
            <w:pPr>
              <w:pStyle w:val="21"/>
              <w:spacing w:line="240" w:lineRule="atLeast"/>
              <w:rPr>
                <w:kern w:val="18"/>
                <w:sz w:val="21"/>
                <w:szCs w:val="21"/>
              </w:rPr>
            </w:pPr>
            <w:r>
              <w:rPr>
                <w:kern w:val="18"/>
                <w:sz w:val="21"/>
                <w:szCs w:val="21"/>
              </w:rPr>
              <w:t>GB3095-2012</w:t>
            </w:r>
          </w:p>
        </w:tc>
        <w:tc>
          <w:tcPr>
            <w:tcW w:w="854" w:type="dxa"/>
            <w:vMerge w:val="restart"/>
            <w:tcBorders>
              <w:top w:val="double" w:sz="4" w:space="0" w:color="auto"/>
              <w:left w:val="single" w:sz="6" w:space="0" w:color="auto"/>
              <w:right w:val="single" w:sz="6" w:space="0" w:color="auto"/>
            </w:tcBorders>
            <w:vAlign w:val="center"/>
          </w:tcPr>
          <w:p>
            <w:pPr>
              <w:pStyle w:val="21"/>
              <w:spacing w:line="240" w:lineRule="atLeast"/>
              <w:rPr>
                <w:kern w:val="18"/>
                <w:sz w:val="21"/>
                <w:szCs w:val="21"/>
              </w:rPr>
            </w:pPr>
            <w:r>
              <w:rPr>
                <w:kern w:val="18"/>
                <w:sz w:val="21"/>
                <w:szCs w:val="21"/>
              </w:rPr>
              <w:t>二级</w:t>
            </w:r>
          </w:p>
        </w:tc>
        <w:tc>
          <w:tcPr>
            <w:tcW w:w="1511" w:type="dxa"/>
            <w:gridSpan w:val="3"/>
            <w:tcBorders>
              <w:top w:val="double" w:sz="4" w:space="0" w:color="auto"/>
              <w:left w:val="single" w:sz="6"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取值时间</w:t>
            </w:r>
          </w:p>
        </w:tc>
        <w:tc>
          <w:tcPr>
            <w:tcW w:w="1110" w:type="dxa"/>
            <w:gridSpan w:val="2"/>
            <w:tcBorders>
              <w:top w:val="double" w:sz="4" w:space="0" w:color="auto"/>
              <w:left w:val="single" w:sz="4" w:space="0" w:color="auto"/>
              <w:bottom w:val="single" w:sz="4" w:space="0" w:color="auto"/>
              <w:right w:val="single" w:sz="4" w:space="0" w:color="auto"/>
            </w:tcBorders>
            <w:vAlign w:val="center"/>
          </w:tcPr>
          <w:p>
            <w:pPr>
              <w:pStyle w:val="21"/>
              <w:spacing w:line="240" w:lineRule="atLeast"/>
              <w:rPr>
                <w:w w:val="80"/>
                <w:kern w:val="21"/>
              </w:rPr>
            </w:pPr>
            <w:r>
              <w:rPr>
                <w:w w:val="80"/>
                <w:kern w:val="21"/>
              </w:rPr>
              <w:t>SO</w:t>
            </w:r>
            <w:r>
              <w:rPr>
                <w:w w:val="80"/>
                <w:kern w:val="21"/>
                <w:vertAlign w:val="subscript"/>
              </w:rPr>
              <w:t>2</w:t>
            </w:r>
          </w:p>
        </w:tc>
        <w:tc>
          <w:tcPr>
            <w:tcW w:w="1280" w:type="dxa"/>
            <w:gridSpan w:val="3"/>
            <w:tcBorders>
              <w:top w:val="double" w:sz="4" w:space="0" w:color="auto"/>
              <w:left w:val="single" w:sz="4" w:space="0" w:color="auto"/>
              <w:bottom w:val="single" w:sz="4" w:space="0" w:color="auto"/>
              <w:right w:val="single" w:sz="4" w:space="0" w:color="auto"/>
            </w:tcBorders>
            <w:vAlign w:val="center"/>
          </w:tcPr>
          <w:p>
            <w:pPr>
              <w:pStyle w:val="21"/>
              <w:spacing w:line="240" w:lineRule="atLeast"/>
              <w:rPr>
                <w:w w:val="80"/>
                <w:kern w:val="21"/>
              </w:rPr>
            </w:pPr>
            <w:r>
              <w:rPr>
                <w:w w:val="80"/>
                <w:kern w:val="21"/>
              </w:rPr>
              <w:t>PM</w:t>
            </w:r>
            <w:r>
              <w:rPr>
                <w:w w:val="80"/>
                <w:kern w:val="21"/>
                <w:vertAlign w:val="subscript"/>
              </w:rPr>
              <w:t>10</w:t>
            </w:r>
          </w:p>
        </w:tc>
        <w:tc>
          <w:tcPr>
            <w:tcW w:w="1303" w:type="dxa"/>
            <w:gridSpan w:val="2"/>
            <w:tcBorders>
              <w:top w:val="double" w:sz="4" w:space="0" w:color="auto"/>
              <w:left w:val="single" w:sz="4" w:space="0" w:color="auto"/>
              <w:bottom w:val="single" w:sz="4" w:space="0" w:color="auto"/>
            </w:tcBorders>
            <w:vAlign w:val="center"/>
          </w:tcPr>
          <w:p>
            <w:pPr>
              <w:pStyle w:val="21"/>
              <w:spacing w:line="240" w:lineRule="atLeast"/>
              <w:rPr>
                <w:w w:val="80"/>
                <w:kern w:val="21"/>
              </w:rPr>
            </w:pPr>
            <w:r>
              <w:rPr>
                <w:w w:val="80"/>
                <w:kern w:val="21"/>
              </w:rPr>
              <w:t>NO</w:t>
            </w:r>
            <w:r>
              <w:rPr>
                <w:w w:val="80"/>
                <w:kern w:val="21"/>
                <w:vertAlign w:val="subscript"/>
              </w:rPr>
              <w:t>2</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tcBorders>
              <w:right w:val="single" w:sz="6" w:space="0" w:color="auto"/>
            </w:tcBorders>
            <w:vAlign w:val="center"/>
          </w:tcPr>
          <w:p>
            <w:pPr>
              <w:pStyle w:val="21"/>
              <w:spacing w:line="240" w:lineRule="atLeast"/>
              <w:rPr>
                <w:kern w:val="18"/>
                <w:sz w:val="21"/>
                <w:szCs w:val="21"/>
              </w:rPr>
            </w:pPr>
          </w:p>
        </w:tc>
        <w:tc>
          <w:tcPr>
            <w:tcW w:w="1363" w:type="dxa"/>
            <w:gridSpan w:val="2"/>
            <w:vMerge/>
            <w:tcBorders>
              <w:left w:val="single" w:sz="6" w:space="0" w:color="auto"/>
              <w:right w:val="single" w:sz="6" w:space="0" w:color="auto"/>
            </w:tcBorders>
            <w:vAlign w:val="center"/>
          </w:tcPr>
          <w:p>
            <w:pPr>
              <w:pStyle w:val="21"/>
              <w:spacing w:line="240" w:lineRule="atLeast"/>
              <w:rPr>
                <w:kern w:val="18"/>
                <w:sz w:val="21"/>
                <w:szCs w:val="21"/>
              </w:rPr>
            </w:pPr>
          </w:p>
        </w:tc>
        <w:tc>
          <w:tcPr>
            <w:tcW w:w="854" w:type="dxa"/>
            <w:vMerge/>
            <w:tcBorders>
              <w:left w:val="single" w:sz="6" w:space="0" w:color="auto"/>
              <w:right w:val="single" w:sz="6" w:space="0" w:color="auto"/>
            </w:tcBorders>
            <w:vAlign w:val="center"/>
          </w:tcPr>
          <w:p>
            <w:pPr>
              <w:pStyle w:val="21"/>
              <w:spacing w:line="240" w:lineRule="atLeast"/>
              <w:rPr>
                <w:kern w:val="18"/>
                <w:sz w:val="21"/>
                <w:szCs w:val="21"/>
              </w:rPr>
            </w:pPr>
          </w:p>
        </w:tc>
        <w:tc>
          <w:tcPr>
            <w:tcW w:w="1511" w:type="dxa"/>
            <w:gridSpan w:val="3"/>
            <w:tcBorders>
              <w:top w:val="single" w:sz="4" w:space="0" w:color="auto"/>
              <w:left w:val="single" w:sz="6"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年平均</w:t>
            </w:r>
          </w:p>
        </w:tc>
        <w:tc>
          <w:tcPr>
            <w:tcW w:w="1110" w:type="dxa"/>
            <w:gridSpan w:val="2"/>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0.06</w:t>
            </w:r>
          </w:p>
        </w:tc>
        <w:tc>
          <w:tcPr>
            <w:tcW w:w="1280" w:type="dxa"/>
            <w:gridSpan w:val="3"/>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0.07</w:t>
            </w:r>
          </w:p>
        </w:tc>
        <w:tc>
          <w:tcPr>
            <w:tcW w:w="1303" w:type="dxa"/>
            <w:gridSpan w:val="2"/>
            <w:tcBorders>
              <w:top w:val="single" w:sz="4" w:space="0" w:color="auto"/>
              <w:left w:val="single" w:sz="4" w:space="0" w:color="auto"/>
              <w:bottom w:val="single" w:sz="4" w:space="0" w:color="auto"/>
            </w:tcBorders>
            <w:vAlign w:val="center"/>
          </w:tcPr>
          <w:p>
            <w:pPr>
              <w:pStyle w:val="21"/>
              <w:spacing w:line="240" w:lineRule="atLeast"/>
              <w:rPr>
                <w:kern w:val="18"/>
                <w:sz w:val="21"/>
                <w:szCs w:val="21"/>
              </w:rPr>
            </w:pPr>
            <w:r>
              <w:rPr>
                <w:kern w:val="18"/>
                <w:sz w:val="21"/>
                <w:szCs w:val="21"/>
              </w:rPr>
              <w:t>0.04</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tcBorders>
              <w:right w:val="single" w:sz="6" w:space="0" w:color="auto"/>
            </w:tcBorders>
            <w:vAlign w:val="center"/>
          </w:tcPr>
          <w:p>
            <w:pPr>
              <w:pStyle w:val="21"/>
              <w:spacing w:line="240" w:lineRule="atLeast"/>
              <w:rPr>
                <w:kern w:val="18"/>
                <w:sz w:val="21"/>
                <w:szCs w:val="21"/>
              </w:rPr>
            </w:pPr>
          </w:p>
        </w:tc>
        <w:tc>
          <w:tcPr>
            <w:tcW w:w="1363" w:type="dxa"/>
            <w:gridSpan w:val="2"/>
            <w:vMerge/>
            <w:tcBorders>
              <w:left w:val="single" w:sz="6" w:space="0" w:color="auto"/>
              <w:right w:val="single" w:sz="6" w:space="0" w:color="auto"/>
            </w:tcBorders>
            <w:vAlign w:val="center"/>
          </w:tcPr>
          <w:p>
            <w:pPr>
              <w:pStyle w:val="21"/>
              <w:spacing w:line="240" w:lineRule="atLeast"/>
              <w:rPr>
                <w:kern w:val="18"/>
                <w:sz w:val="21"/>
                <w:szCs w:val="21"/>
              </w:rPr>
            </w:pPr>
          </w:p>
        </w:tc>
        <w:tc>
          <w:tcPr>
            <w:tcW w:w="854" w:type="dxa"/>
            <w:vMerge/>
            <w:tcBorders>
              <w:left w:val="single" w:sz="6" w:space="0" w:color="auto"/>
              <w:right w:val="single" w:sz="6" w:space="0" w:color="auto"/>
            </w:tcBorders>
            <w:vAlign w:val="center"/>
          </w:tcPr>
          <w:p>
            <w:pPr>
              <w:pStyle w:val="21"/>
              <w:spacing w:line="240" w:lineRule="atLeast"/>
              <w:rPr>
                <w:kern w:val="18"/>
                <w:sz w:val="21"/>
                <w:szCs w:val="21"/>
              </w:rPr>
            </w:pPr>
          </w:p>
        </w:tc>
        <w:tc>
          <w:tcPr>
            <w:tcW w:w="1511" w:type="dxa"/>
            <w:gridSpan w:val="3"/>
            <w:tcBorders>
              <w:top w:val="single" w:sz="4" w:space="0" w:color="auto"/>
              <w:left w:val="single" w:sz="6"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日平均</w:t>
            </w:r>
          </w:p>
        </w:tc>
        <w:tc>
          <w:tcPr>
            <w:tcW w:w="1110" w:type="dxa"/>
            <w:gridSpan w:val="2"/>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0.15</w:t>
            </w:r>
          </w:p>
        </w:tc>
        <w:tc>
          <w:tcPr>
            <w:tcW w:w="1280" w:type="dxa"/>
            <w:gridSpan w:val="3"/>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0.15</w:t>
            </w:r>
          </w:p>
        </w:tc>
        <w:tc>
          <w:tcPr>
            <w:tcW w:w="1303" w:type="dxa"/>
            <w:gridSpan w:val="2"/>
            <w:tcBorders>
              <w:top w:val="single" w:sz="4" w:space="0" w:color="auto"/>
              <w:left w:val="single" w:sz="4" w:space="0" w:color="auto"/>
              <w:bottom w:val="single" w:sz="4" w:space="0" w:color="auto"/>
            </w:tcBorders>
            <w:vAlign w:val="center"/>
          </w:tcPr>
          <w:p>
            <w:pPr>
              <w:pStyle w:val="21"/>
              <w:spacing w:line="240" w:lineRule="atLeast"/>
              <w:rPr>
                <w:kern w:val="18"/>
                <w:sz w:val="21"/>
                <w:szCs w:val="21"/>
              </w:rPr>
            </w:pPr>
            <w:r>
              <w:rPr>
                <w:kern w:val="18"/>
                <w:sz w:val="21"/>
                <w:szCs w:val="21"/>
              </w:rPr>
              <w:t>0.08</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tcBorders>
              <w:right w:val="single" w:sz="6" w:space="0" w:color="auto"/>
            </w:tcBorders>
            <w:vAlign w:val="center"/>
          </w:tcPr>
          <w:p>
            <w:pPr>
              <w:pStyle w:val="21"/>
              <w:spacing w:line="240" w:lineRule="atLeast"/>
              <w:rPr>
                <w:kern w:val="18"/>
                <w:sz w:val="21"/>
                <w:szCs w:val="21"/>
              </w:rPr>
            </w:pPr>
          </w:p>
        </w:tc>
        <w:tc>
          <w:tcPr>
            <w:tcW w:w="1363" w:type="dxa"/>
            <w:gridSpan w:val="2"/>
            <w:vMerge/>
            <w:tcBorders>
              <w:left w:val="single" w:sz="6" w:space="0" w:color="auto"/>
              <w:bottom w:val="single" w:sz="6" w:space="0" w:color="auto"/>
              <w:right w:val="single" w:sz="6" w:space="0" w:color="auto"/>
            </w:tcBorders>
            <w:vAlign w:val="center"/>
          </w:tcPr>
          <w:p>
            <w:pPr>
              <w:pStyle w:val="21"/>
              <w:spacing w:line="240" w:lineRule="atLeast"/>
              <w:rPr>
                <w:kern w:val="18"/>
                <w:sz w:val="21"/>
                <w:szCs w:val="21"/>
              </w:rPr>
            </w:pPr>
          </w:p>
        </w:tc>
        <w:tc>
          <w:tcPr>
            <w:tcW w:w="854" w:type="dxa"/>
            <w:vMerge/>
            <w:tcBorders>
              <w:left w:val="single" w:sz="6" w:space="0" w:color="auto"/>
              <w:bottom w:val="single" w:sz="6" w:space="0" w:color="auto"/>
              <w:right w:val="single" w:sz="6" w:space="0" w:color="auto"/>
            </w:tcBorders>
            <w:vAlign w:val="center"/>
          </w:tcPr>
          <w:p>
            <w:pPr>
              <w:pStyle w:val="21"/>
              <w:spacing w:line="240" w:lineRule="atLeast"/>
              <w:rPr>
                <w:kern w:val="18"/>
                <w:sz w:val="21"/>
                <w:szCs w:val="21"/>
              </w:rPr>
            </w:pPr>
          </w:p>
        </w:tc>
        <w:tc>
          <w:tcPr>
            <w:tcW w:w="1511" w:type="dxa"/>
            <w:gridSpan w:val="3"/>
            <w:tcBorders>
              <w:top w:val="single" w:sz="4" w:space="0" w:color="auto"/>
              <w:left w:val="single" w:sz="6"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1小时平均</w:t>
            </w:r>
          </w:p>
        </w:tc>
        <w:tc>
          <w:tcPr>
            <w:tcW w:w="1110" w:type="dxa"/>
            <w:gridSpan w:val="2"/>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0.50</w:t>
            </w:r>
          </w:p>
        </w:tc>
        <w:tc>
          <w:tcPr>
            <w:tcW w:w="1280" w:type="dxa"/>
            <w:gridSpan w:val="3"/>
            <w:tcBorders>
              <w:top w:val="single" w:sz="4" w:space="0" w:color="auto"/>
              <w:left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w:t>
            </w:r>
          </w:p>
        </w:tc>
        <w:tc>
          <w:tcPr>
            <w:tcW w:w="1303" w:type="dxa"/>
            <w:gridSpan w:val="2"/>
            <w:tcBorders>
              <w:top w:val="single" w:sz="4" w:space="0" w:color="auto"/>
              <w:left w:val="single" w:sz="4" w:space="0" w:color="auto"/>
              <w:bottom w:val="single" w:sz="4" w:space="0" w:color="auto"/>
            </w:tcBorders>
            <w:vAlign w:val="center"/>
          </w:tcPr>
          <w:p>
            <w:pPr>
              <w:pStyle w:val="21"/>
              <w:spacing w:line="240" w:lineRule="atLeast"/>
              <w:rPr>
                <w:kern w:val="18"/>
                <w:sz w:val="21"/>
                <w:szCs w:val="21"/>
              </w:rPr>
            </w:pPr>
            <w:r>
              <w:rPr>
                <w:kern w:val="18"/>
                <w:sz w:val="21"/>
                <w:szCs w:val="21"/>
              </w:rPr>
              <w:t>0.20</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val="restart"/>
            <w:tcBorders>
              <w:top w:val="single" w:sz="6" w:space="0" w:color="auto"/>
            </w:tcBorders>
            <w:vAlign w:val="center"/>
          </w:tcPr>
          <w:p>
            <w:pPr>
              <w:pStyle w:val="21"/>
              <w:spacing w:line="240" w:lineRule="atLeast"/>
              <w:rPr>
                <w:kern w:val="18"/>
                <w:sz w:val="21"/>
                <w:szCs w:val="21"/>
              </w:rPr>
            </w:pPr>
            <w:r>
              <w:rPr>
                <w:kern w:val="18"/>
                <w:sz w:val="21"/>
                <w:szCs w:val="21"/>
              </w:rPr>
              <w:t>地表水</w:t>
            </w:r>
          </w:p>
        </w:tc>
        <w:tc>
          <w:tcPr>
            <w:tcW w:w="1363" w:type="dxa"/>
            <w:gridSpan w:val="2"/>
            <w:vMerge w:val="restart"/>
            <w:tcBorders>
              <w:top w:val="single" w:sz="6" w:space="0" w:color="auto"/>
            </w:tcBorders>
            <w:vAlign w:val="center"/>
          </w:tcPr>
          <w:p>
            <w:pPr>
              <w:pStyle w:val="21"/>
              <w:spacing w:line="240" w:lineRule="atLeast"/>
              <w:rPr>
                <w:kern w:val="18"/>
                <w:sz w:val="21"/>
                <w:szCs w:val="21"/>
              </w:rPr>
            </w:pPr>
            <w:r>
              <w:rPr>
                <w:kern w:val="18"/>
                <w:sz w:val="21"/>
                <w:szCs w:val="21"/>
              </w:rPr>
              <w:t>GB3838-2002</w:t>
            </w:r>
          </w:p>
        </w:tc>
        <w:tc>
          <w:tcPr>
            <w:tcW w:w="854" w:type="dxa"/>
            <w:tcBorders>
              <w:top w:val="single" w:sz="6" w:space="0" w:color="auto"/>
              <w:bottom w:val="single" w:sz="4" w:space="0" w:color="auto"/>
            </w:tcBorders>
            <w:vAlign w:val="center"/>
          </w:tcPr>
          <w:p>
            <w:pPr>
              <w:pStyle w:val="21"/>
              <w:spacing w:line="240" w:lineRule="atLeast"/>
              <w:rPr>
                <w:kern w:val="18"/>
                <w:sz w:val="21"/>
                <w:szCs w:val="21"/>
              </w:rPr>
            </w:pPr>
          </w:p>
        </w:tc>
        <w:tc>
          <w:tcPr>
            <w:tcW w:w="1511" w:type="dxa"/>
            <w:gridSpan w:val="3"/>
            <w:tcBorders>
              <w:top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CODcr</w:t>
            </w:r>
          </w:p>
        </w:tc>
        <w:tc>
          <w:tcPr>
            <w:tcW w:w="1110" w:type="dxa"/>
            <w:gridSpan w:val="2"/>
            <w:tcBorders>
              <w:top w:val="single" w:sz="4" w:space="0" w:color="auto"/>
              <w:left w:val="single" w:sz="4" w:space="0" w:color="auto"/>
            </w:tcBorders>
            <w:vAlign w:val="center"/>
          </w:tcPr>
          <w:p>
            <w:pPr>
              <w:pStyle w:val="21"/>
              <w:spacing w:line="240" w:lineRule="atLeast"/>
              <w:rPr>
                <w:w w:val="80"/>
                <w:kern w:val="21"/>
              </w:rPr>
            </w:pPr>
            <w:r>
              <w:rPr>
                <w:w w:val="80"/>
                <w:kern w:val="21"/>
              </w:rPr>
              <w:t>BOD</w:t>
            </w:r>
            <w:r>
              <w:rPr>
                <w:w w:val="80"/>
                <w:kern w:val="21"/>
                <w:vertAlign w:val="subscript"/>
              </w:rPr>
              <w:t>5</w:t>
            </w:r>
          </w:p>
        </w:tc>
        <w:tc>
          <w:tcPr>
            <w:tcW w:w="2583" w:type="dxa"/>
            <w:gridSpan w:val="5"/>
            <w:tcBorders>
              <w:top w:val="single" w:sz="4" w:space="0" w:color="auto"/>
              <w:left w:val="single" w:sz="4" w:space="0" w:color="auto"/>
            </w:tcBorders>
            <w:vAlign w:val="center"/>
          </w:tcPr>
          <w:p>
            <w:pPr>
              <w:pStyle w:val="21"/>
              <w:spacing w:line="240" w:lineRule="atLeast"/>
              <w:rPr>
                <w:w w:val="80"/>
                <w:kern w:val="21"/>
              </w:rPr>
            </w:pPr>
            <w:r>
              <w:rPr>
                <w:w w:val="80"/>
                <w:kern w:val="21"/>
              </w:rPr>
              <w:t>NH</w:t>
            </w:r>
            <w:r>
              <w:rPr>
                <w:w w:val="80"/>
                <w:kern w:val="21"/>
                <w:vertAlign w:val="subscript"/>
              </w:rPr>
              <w:t>3</w:t>
            </w:r>
            <w:r>
              <w:rPr>
                <w:w w:val="80"/>
                <w:kern w:val="21"/>
              </w:rPr>
              <w:t>-N</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vAlign w:val="center"/>
          </w:tcPr>
          <w:p>
            <w:pPr>
              <w:pStyle w:val="21"/>
              <w:spacing w:line="240" w:lineRule="atLeast"/>
              <w:rPr>
                <w:kern w:val="18"/>
                <w:sz w:val="21"/>
                <w:szCs w:val="21"/>
              </w:rPr>
            </w:pPr>
          </w:p>
        </w:tc>
        <w:tc>
          <w:tcPr>
            <w:tcW w:w="1363" w:type="dxa"/>
            <w:gridSpan w:val="2"/>
            <w:vMerge/>
            <w:vAlign w:val="center"/>
          </w:tcPr>
          <w:p>
            <w:pPr>
              <w:pStyle w:val="21"/>
              <w:spacing w:line="240" w:lineRule="atLeast"/>
              <w:rPr>
                <w:kern w:val="18"/>
                <w:sz w:val="21"/>
                <w:szCs w:val="21"/>
              </w:rPr>
            </w:pPr>
          </w:p>
        </w:tc>
        <w:tc>
          <w:tcPr>
            <w:tcW w:w="854" w:type="dxa"/>
            <w:tcBorders>
              <w:top w:val="single" w:sz="4" w:space="0" w:color="auto"/>
              <w:bottom w:val="single" w:sz="4" w:space="0" w:color="auto"/>
            </w:tcBorders>
            <w:vAlign w:val="center"/>
          </w:tcPr>
          <w:p>
            <w:pPr>
              <w:pStyle w:val="21"/>
              <w:spacing w:line="240" w:lineRule="atLeast"/>
              <w:rPr>
                <w:kern w:val="18"/>
                <w:sz w:val="21"/>
                <w:szCs w:val="21"/>
              </w:rPr>
            </w:pPr>
            <w:r>
              <w:rPr>
                <w:rFonts w:hint="eastAsia"/>
                <w:kern w:val="18"/>
                <w:sz w:val="21"/>
                <w:szCs w:val="21"/>
              </w:rPr>
              <w:t>III</w:t>
            </w:r>
            <w:r>
              <w:rPr>
                <w:kern w:val="18"/>
                <w:sz w:val="21"/>
                <w:szCs w:val="21"/>
              </w:rPr>
              <w:t>类</w:t>
            </w:r>
          </w:p>
        </w:tc>
        <w:tc>
          <w:tcPr>
            <w:tcW w:w="1511" w:type="dxa"/>
            <w:gridSpan w:val="3"/>
            <w:tcBorders>
              <w:top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≤20</w:t>
            </w:r>
          </w:p>
        </w:tc>
        <w:tc>
          <w:tcPr>
            <w:tcW w:w="1110" w:type="dxa"/>
            <w:gridSpan w:val="2"/>
            <w:tcBorders>
              <w:left w:val="single" w:sz="4" w:space="0" w:color="auto"/>
              <w:bottom w:val="single" w:sz="4" w:space="0" w:color="auto"/>
            </w:tcBorders>
            <w:vAlign w:val="center"/>
          </w:tcPr>
          <w:p>
            <w:pPr>
              <w:pStyle w:val="21"/>
              <w:spacing w:line="240" w:lineRule="atLeast"/>
              <w:rPr>
                <w:kern w:val="18"/>
                <w:sz w:val="21"/>
                <w:szCs w:val="21"/>
              </w:rPr>
            </w:pPr>
            <w:r>
              <w:rPr>
                <w:kern w:val="18"/>
                <w:sz w:val="21"/>
                <w:szCs w:val="21"/>
              </w:rPr>
              <w:t>≤4</w:t>
            </w:r>
          </w:p>
        </w:tc>
        <w:tc>
          <w:tcPr>
            <w:tcW w:w="2583" w:type="dxa"/>
            <w:gridSpan w:val="5"/>
            <w:tcBorders>
              <w:left w:val="single" w:sz="4" w:space="0" w:color="auto"/>
              <w:bottom w:val="single" w:sz="4" w:space="0" w:color="auto"/>
            </w:tcBorders>
            <w:vAlign w:val="center"/>
          </w:tcPr>
          <w:p>
            <w:pPr>
              <w:pStyle w:val="21"/>
              <w:spacing w:line="240" w:lineRule="atLeast"/>
              <w:rPr>
                <w:kern w:val="18"/>
                <w:sz w:val="21"/>
                <w:szCs w:val="21"/>
              </w:rPr>
            </w:pPr>
            <w:r>
              <w:rPr>
                <w:kern w:val="18"/>
                <w:sz w:val="21"/>
                <w:szCs w:val="21"/>
              </w:rPr>
              <w:t>≤1.0</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vAlign w:val="center"/>
          </w:tcPr>
          <w:p>
            <w:pPr>
              <w:pStyle w:val="21"/>
              <w:spacing w:line="240" w:lineRule="atLeast"/>
              <w:rPr>
                <w:kern w:val="18"/>
                <w:sz w:val="21"/>
                <w:szCs w:val="21"/>
              </w:rPr>
            </w:pPr>
          </w:p>
        </w:tc>
        <w:tc>
          <w:tcPr>
            <w:tcW w:w="1363" w:type="dxa"/>
            <w:gridSpan w:val="2"/>
            <w:vMerge/>
            <w:tcBorders>
              <w:bottom w:val="single" w:sz="4" w:space="0" w:color="auto"/>
            </w:tcBorders>
            <w:vAlign w:val="center"/>
          </w:tcPr>
          <w:p>
            <w:pPr>
              <w:pStyle w:val="21"/>
              <w:spacing w:line="240" w:lineRule="atLeast"/>
              <w:rPr>
                <w:kern w:val="18"/>
                <w:sz w:val="21"/>
                <w:szCs w:val="21"/>
              </w:rPr>
            </w:pPr>
          </w:p>
        </w:tc>
        <w:tc>
          <w:tcPr>
            <w:tcW w:w="854" w:type="dxa"/>
            <w:tcBorders>
              <w:top w:val="single" w:sz="4" w:space="0" w:color="auto"/>
              <w:bottom w:val="single" w:sz="4" w:space="0" w:color="auto"/>
            </w:tcBorders>
            <w:vAlign w:val="center"/>
          </w:tcPr>
          <w:p>
            <w:pPr>
              <w:pStyle w:val="21"/>
              <w:spacing w:line="240" w:lineRule="atLeast"/>
              <w:rPr>
                <w:rFonts w:hint="eastAsia"/>
                <w:kern w:val="18"/>
                <w:sz w:val="21"/>
                <w:szCs w:val="21"/>
              </w:rPr>
            </w:pPr>
            <w:r>
              <w:rPr>
                <w:rFonts w:hint="eastAsia"/>
                <w:kern w:val="18"/>
                <w:sz w:val="21"/>
                <w:szCs w:val="21"/>
              </w:rPr>
              <w:t>IV类</w:t>
            </w:r>
          </w:p>
        </w:tc>
        <w:tc>
          <w:tcPr>
            <w:tcW w:w="1511" w:type="dxa"/>
            <w:gridSpan w:val="3"/>
            <w:tcBorders>
              <w:top w:val="single" w:sz="4"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≤30</w:t>
            </w:r>
          </w:p>
        </w:tc>
        <w:tc>
          <w:tcPr>
            <w:tcW w:w="1110" w:type="dxa"/>
            <w:gridSpan w:val="2"/>
            <w:tcBorders>
              <w:left w:val="single" w:sz="4" w:space="0" w:color="auto"/>
              <w:bottom w:val="single" w:sz="4" w:space="0" w:color="auto"/>
            </w:tcBorders>
            <w:vAlign w:val="center"/>
          </w:tcPr>
          <w:p>
            <w:pPr>
              <w:pStyle w:val="21"/>
              <w:spacing w:line="240" w:lineRule="atLeast"/>
              <w:rPr>
                <w:kern w:val="18"/>
                <w:sz w:val="21"/>
                <w:szCs w:val="21"/>
              </w:rPr>
            </w:pPr>
            <w:r>
              <w:rPr>
                <w:kern w:val="18"/>
                <w:sz w:val="21"/>
                <w:szCs w:val="21"/>
              </w:rPr>
              <w:t>≤6</w:t>
            </w:r>
          </w:p>
        </w:tc>
        <w:tc>
          <w:tcPr>
            <w:tcW w:w="2583" w:type="dxa"/>
            <w:gridSpan w:val="5"/>
            <w:tcBorders>
              <w:left w:val="single" w:sz="4" w:space="0" w:color="auto"/>
              <w:bottom w:val="single" w:sz="4" w:space="0" w:color="auto"/>
            </w:tcBorders>
            <w:vAlign w:val="center"/>
          </w:tcPr>
          <w:p>
            <w:pPr>
              <w:pStyle w:val="21"/>
              <w:spacing w:line="240" w:lineRule="atLeast"/>
              <w:rPr>
                <w:kern w:val="18"/>
                <w:sz w:val="21"/>
                <w:szCs w:val="21"/>
              </w:rPr>
            </w:pPr>
            <w:r>
              <w:rPr>
                <w:kern w:val="18"/>
                <w:sz w:val="21"/>
                <w:szCs w:val="21"/>
              </w:rPr>
              <w:t>≤1.5</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val="restart"/>
            <w:tcBorders>
              <w:top w:val="single" w:sz="6" w:space="0" w:color="auto"/>
            </w:tcBorders>
            <w:vAlign w:val="center"/>
          </w:tcPr>
          <w:p>
            <w:pPr>
              <w:pStyle w:val="21"/>
              <w:spacing w:line="240" w:lineRule="atLeast"/>
              <w:rPr>
                <w:kern w:val="18"/>
                <w:sz w:val="21"/>
                <w:szCs w:val="21"/>
              </w:rPr>
            </w:pPr>
            <w:r>
              <w:rPr>
                <w:kern w:val="18"/>
                <w:sz w:val="21"/>
                <w:szCs w:val="21"/>
              </w:rPr>
              <w:t>声环境</w:t>
            </w:r>
          </w:p>
        </w:tc>
        <w:tc>
          <w:tcPr>
            <w:tcW w:w="1363" w:type="dxa"/>
            <w:gridSpan w:val="2"/>
            <w:vMerge w:val="restart"/>
            <w:tcBorders>
              <w:top w:val="single" w:sz="6" w:space="0" w:color="auto"/>
            </w:tcBorders>
            <w:vAlign w:val="center"/>
          </w:tcPr>
          <w:p>
            <w:pPr>
              <w:pStyle w:val="21"/>
              <w:spacing w:line="240" w:lineRule="atLeast"/>
              <w:rPr>
                <w:kern w:val="18"/>
                <w:sz w:val="21"/>
                <w:szCs w:val="21"/>
              </w:rPr>
            </w:pPr>
            <w:r>
              <w:rPr>
                <w:kern w:val="18"/>
                <w:sz w:val="21"/>
                <w:szCs w:val="21"/>
              </w:rPr>
              <w:t>GB3096-2008</w:t>
            </w:r>
          </w:p>
        </w:tc>
        <w:tc>
          <w:tcPr>
            <w:tcW w:w="854" w:type="dxa"/>
            <w:tcBorders>
              <w:top w:val="single" w:sz="6" w:space="0" w:color="auto"/>
              <w:bottom w:val="single" w:sz="4" w:space="0" w:color="auto"/>
            </w:tcBorders>
            <w:vAlign w:val="center"/>
          </w:tcPr>
          <w:p>
            <w:pPr>
              <w:pStyle w:val="21"/>
              <w:spacing w:line="240" w:lineRule="atLeast"/>
              <w:rPr>
                <w:kern w:val="18"/>
                <w:sz w:val="21"/>
                <w:szCs w:val="21"/>
              </w:rPr>
            </w:pPr>
          </w:p>
        </w:tc>
        <w:tc>
          <w:tcPr>
            <w:tcW w:w="2621" w:type="dxa"/>
            <w:gridSpan w:val="5"/>
            <w:tcBorders>
              <w:top w:val="single" w:sz="6" w:space="0" w:color="auto"/>
              <w:bottom w:val="single" w:sz="4" w:space="0" w:color="auto"/>
            </w:tcBorders>
            <w:vAlign w:val="center"/>
          </w:tcPr>
          <w:p>
            <w:pPr>
              <w:pStyle w:val="21"/>
              <w:spacing w:line="240" w:lineRule="atLeast"/>
              <w:rPr>
                <w:kern w:val="18"/>
                <w:sz w:val="21"/>
                <w:szCs w:val="21"/>
              </w:rPr>
            </w:pPr>
            <w:r>
              <w:rPr>
                <w:kern w:val="18"/>
                <w:sz w:val="21"/>
                <w:szCs w:val="21"/>
              </w:rPr>
              <w:t>昼间</w:t>
            </w:r>
          </w:p>
        </w:tc>
        <w:tc>
          <w:tcPr>
            <w:tcW w:w="2583" w:type="dxa"/>
            <w:gridSpan w:val="5"/>
            <w:tcBorders>
              <w:top w:val="single" w:sz="6" w:space="0" w:color="auto"/>
              <w:bottom w:val="single" w:sz="6" w:space="0" w:color="auto"/>
            </w:tcBorders>
            <w:vAlign w:val="center"/>
          </w:tcPr>
          <w:p>
            <w:pPr>
              <w:pStyle w:val="21"/>
              <w:spacing w:line="240" w:lineRule="atLeast"/>
              <w:rPr>
                <w:kern w:val="18"/>
                <w:sz w:val="21"/>
                <w:szCs w:val="21"/>
              </w:rPr>
            </w:pPr>
            <w:r>
              <w:rPr>
                <w:kern w:val="18"/>
                <w:sz w:val="21"/>
                <w:szCs w:val="21"/>
              </w:rPr>
              <w:t>夜间</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103" w:type="dxa"/>
            <w:gridSpan w:val="2"/>
            <w:vMerge/>
            <w:tcBorders>
              <w:top w:val="single" w:sz="6" w:space="0" w:color="auto"/>
            </w:tcBorders>
            <w:vAlign w:val="center"/>
          </w:tcPr>
          <w:p>
            <w:pPr>
              <w:pStyle w:val="21"/>
              <w:spacing w:line="240" w:lineRule="atLeast"/>
              <w:rPr>
                <w:w w:val="80"/>
                <w:kern w:val="21"/>
              </w:rPr>
            </w:pPr>
          </w:p>
        </w:tc>
        <w:tc>
          <w:tcPr>
            <w:tcW w:w="1363" w:type="dxa"/>
            <w:gridSpan w:val="2"/>
            <w:vMerge/>
            <w:tcBorders>
              <w:top w:val="single" w:sz="6" w:space="0" w:color="auto"/>
            </w:tcBorders>
            <w:vAlign w:val="center"/>
          </w:tcPr>
          <w:p>
            <w:pPr>
              <w:pStyle w:val="21"/>
              <w:spacing w:line="240" w:lineRule="atLeast"/>
              <w:rPr>
                <w:w w:val="80"/>
                <w:kern w:val="21"/>
              </w:rPr>
            </w:pPr>
          </w:p>
        </w:tc>
        <w:tc>
          <w:tcPr>
            <w:tcW w:w="854" w:type="dxa"/>
            <w:tcBorders>
              <w:top w:val="single" w:sz="4" w:space="0" w:color="auto"/>
              <w:bottom w:val="single" w:sz="4" w:space="0" w:color="auto"/>
            </w:tcBorders>
            <w:vAlign w:val="center"/>
          </w:tcPr>
          <w:p>
            <w:pPr>
              <w:pStyle w:val="21"/>
              <w:spacing w:line="240" w:lineRule="atLeast"/>
              <w:rPr>
                <w:kern w:val="18"/>
                <w:sz w:val="21"/>
                <w:szCs w:val="21"/>
              </w:rPr>
            </w:pPr>
            <w:r>
              <w:rPr>
                <w:rFonts w:hint="eastAsia"/>
                <w:kern w:val="18"/>
                <w:sz w:val="21"/>
                <w:szCs w:val="21"/>
              </w:rPr>
              <w:t>2</w:t>
            </w:r>
            <w:r>
              <w:rPr>
                <w:kern w:val="18"/>
                <w:sz w:val="21"/>
                <w:szCs w:val="21"/>
              </w:rPr>
              <w:t>类</w:t>
            </w:r>
          </w:p>
        </w:tc>
        <w:tc>
          <w:tcPr>
            <w:tcW w:w="2621" w:type="dxa"/>
            <w:gridSpan w:val="5"/>
            <w:tcBorders>
              <w:top w:val="single" w:sz="4" w:space="0" w:color="auto"/>
              <w:bottom w:val="single" w:sz="4" w:space="0" w:color="auto"/>
            </w:tcBorders>
            <w:vAlign w:val="center"/>
          </w:tcPr>
          <w:p>
            <w:pPr>
              <w:pStyle w:val="21"/>
              <w:spacing w:line="240" w:lineRule="atLeast"/>
              <w:rPr>
                <w:rFonts w:hint="eastAsia"/>
                <w:w w:val="80"/>
                <w:kern w:val="21"/>
              </w:rPr>
            </w:pPr>
            <w:r>
              <w:rPr>
                <w:rFonts w:hint="eastAsia"/>
                <w:w w:val="80"/>
                <w:kern w:val="21"/>
              </w:rPr>
              <w:t>60</w:t>
            </w:r>
          </w:p>
        </w:tc>
        <w:tc>
          <w:tcPr>
            <w:tcW w:w="2583" w:type="dxa"/>
            <w:gridSpan w:val="5"/>
            <w:tcBorders>
              <w:top w:val="single" w:sz="6" w:space="0" w:color="auto"/>
              <w:bottom w:val="single" w:sz="6" w:space="0" w:color="auto"/>
            </w:tcBorders>
            <w:vAlign w:val="center"/>
          </w:tcPr>
          <w:p>
            <w:pPr>
              <w:pStyle w:val="21"/>
              <w:spacing w:line="240" w:lineRule="atLeast"/>
              <w:rPr>
                <w:rFonts w:hint="eastAsia"/>
                <w:w w:val="80"/>
                <w:kern w:val="21"/>
              </w:rPr>
            </w:pPr>
            <w:r>
              <w:rPr>
                <w:rFonts w:hint="eastAsia"/>
                <w:w w:val="80"/>
                <w:kern w:val="21"/>
              </w:rPr>
              <w:t>50</w:t>
            </w:r>
          </w:p>
        </w:tc>
      </w:tr>
      <w:tr>
        <w:tblPrEx>
          <w:tblW w:w="0" w:type="auto"/>
          <w:tblInd w:w="108" w:type="dxa"/>
          <w:tblLayout w:type="fixed"/>
          <w:tblCellMar>
            <w:top w:w="0" w:type="dxa"/>
            <w:left w:w="108" w:type="dxa"/>
            <w:bottom w:w="0" w:type="dxa"/>
            <w:right w:w="108" w:type="dxa"/>
          </w:tblCellMar>
          <w:tblLook w:val="0000"/>
        </w:tblPrEx>
        <w:trPr>
          <w:cantSplit/>
          <w:trHeight w:hRule="exact" w:val="313"/>
        </w:trPr>
        <w:tc>
          <w:tcPr>
            <w:tcW w:w="459" w:type="dxa"/>
            <w:vMerge/>
            <w:tcBorders>
              <w:bottom w:val="single" w:sz="12" w:space="0" w:color="auto"/>
            </w:tcBorders>
            <w:vAlign w:val="center"/>
          </w:tcPr>
          <w:p>
            <w:pPr>
              <w:spacing w:line="360" w:lineRule="auto"/>
              <w:jc w:val="center"/>
              <w:rPr>
                <w:b/>
                <w:kern w:val="21"/>
                <w:sz w:val="28"/>
              </w:rPr>
            </w:pPr>
          </w:p>
        </w:tc>
        <w:tc>
          <w:tcPr>
            <w:tcW w:w="1103" w:type="dxa"/>
            <w:gridSpan w:val="2"/>
            <w:vMerge/>
            <w:vAlign w:val="center"/>
          </w:tcPr>
          <w:p>
            <w:pPr>
              <w:pStyle w:val="21"/>
              <w:spacing w:line="240" w:lineRule="atLeast"/>
              <w:rPr>
                <w:w w:val="80"/>
                <w:kern w:val="21"/>
              </w:rPr>
            </w:pPr>
          </w:p>
        </w:tc>
        <w:tc>
          <w:tcPr>
            <w:tcW w:w="1363" w:type="dxa"/>
            <w:gridSpan w:val="2"/>
            <w:vMerge/>
            <w:vAlign w:val="center"/>
          </w:tcPr>
          <w:p>
            <w:pPr>
              <w:pStyle w:val="21"/>
              <w:spacing w:line="240" w:lineRule="atLeast"/>
              <w:rPr>
                <w:w w:val="80"/>
                <w:kern w:val="21"/>
              </w:rPr>
            </w:pPr>
          </w:p>
        </w:tc>
        <w:tc>
          <w:tcPr>
            <w:tcW w:w="854" w:type="dxa"/>
            <w:tcBorders>
              <w:top w:val="single" w:sz="4" w:space="0" w:color="auto"/>
              <w:bottom w:val="single" w:sz="4" w:space="0" w:color="auto"/>
            </w:tcBorders>
            <w:vAlign w:val="center"/>
          </w:tcPr>
          <w:p>
            <w:pPr>
              <w:pStyle w:val="21"/>
              <w:spacing w:line="240" w:lineRule="atLeast"/>
              <w:rPr>
                <w:kern w:val="18"/>
                <w:sz w:val="21"/>
                <w:szCs w:val="21"/>
              </w:rPr>
            </w:pPr>
            <w:r>
              <w:rPr>
                <w:kern w:val="18"/>
                <w:sz w:val="21"/>
                <w:szCs w:val="21"/>
              </w:rPr>
              <w:t>4a类</w:t>
            </w:r>
          </w:p>
        </w:tc>
        <w:tc>
          <w:tcPr>
            <w:tcW w:w="2621" w:type="dxa"/>
            <w:gridSpan w:val="5"/>
            <w:tcBorders>
              <w:top w:val="single" w:sz="4" w:space="0" w:color="auto"/>
              <w:bottom w:val="single" w:sz="4" w:space="0" w:color="auto"/>
            </w:tcBorders>
            <w:vAlign w:val="center"/>
          </w:tcPr>
          <w:p>
            <w:pPr>
              <w:pStyle w:val="21"/>
              <w:spacing w:line="240" w:lineRule="atLeast"/>
              <w:rPr>
                <w:kern w:val="18"/>
                <w:sz w:val="21"/>
                <w:szCs w:val="21"/>
              </w:rPr>
            </w:pPr>
            <w:r>
              <w:rPr>
                <w:kern w:val="18"/>
                <w:sz w:val="21"/>
                <w:szCs w:val="21"/>
              </w:rPr>
              <w:t>70</w:t>
            </w:r>
          </w:p>
        </w:tc>
        <w:tc>
          <w:tcPr>
            <w:tcW w:w="2583" w:type="dxa"/>
            <w:gridSpan w:val="5"/>
            <w:tcBorders>
              <w:top w:val="single" w:sz="6" w:space="0" w:color="auto"/>
              <w:bottom w:val="single" w:sz="4" w:space="0" w:color="auto"/>
            </w:tcBorders>
            <w:vAlign w:val="center"/>
          </w:tcPr>
          <w:p>
            <w:pPr>
              <w:pStyle w:val="21"/>
              <w:spacing w:line="240" w:lineRule="atLeast"/>
              <w:rPr>
                <w:kern w:val="18"/>
                <w:sz w:val="21"/>
                <w:szCs w:val="21"/>
              </w:rPr>
            </w:pPr>
            <w:r>
              <w:rPr>
                <w:kern w:val="18"/>
                <w:sz w:val="21"/>
                <w:szCs w:val="21"/>
              </w:rPr>
              <w:t>55</w:t>
            </w:r>
          </w:p>
        </w:tc>
      </w:tr>
      <w:tr>
        <w:tblPrEx>
          <w:tblW w:w="0" w:type="auto"/>
          <w:tblInd w:w="108" w:type="dxa"/>
          <w:tblLayout w:type="fixed"/>
          <w:tblCellMar>
            <w:top w:w="0" w:type="dxa"/>
            <w:left w:w="108" w:type="dxa"/>
            <w:bottom w:w="0" w:type="dxa"/>
            <w:right w:w="108" w:type="dxa"/>
          </w:tblCellMar>
          <w:tblLook w:val="0000"/>
        </w:tblPrEx>
        <w:trPr>
          <w:cantSplit/>
          <w:trHeight w:val="393"/>
        </w:trPr>
        <w:tc>
          <w:tcPr>
            <w:tcW w:w="459" w:type="dxa"/>
            <w:vMerge/>
            <w:tcBorders>
              <w:bottom w:val="single" w:sz="6" w:space="0" w:color="auto"/>
            </w:tcBorders>
            <w:vAlign w:val="center"/>
          </w:tcPr>
          <w:p>
            <w:pPr>
              <w:spacing w:line="360" w:lineRule="auto"/>
              <w:jc w:val="center"/>
              <w:rPr>
                <w:b/>
                <w:kern w:val="21"/>
                <w:sz w:val="28"/>
              </w:rPr>
            </w:pPr>
          </w:p>
        </w:tc>
        <w:tc>
          <w:tcPr>
            <w:tcW w:w="8524" w:type="dxa"/>
            <w:gridSpan w:val="15"/>
            <w:tcBorders>
              <w:top w:val="single" w:sz="12" w:space="0" w:color="auto"/>
              <w:bottom w:val="single" w:sz="6" w:space="0" w:color="auto"/>
            </w:tcBorders>
          </w:tcPr>
          <w:p>
            <w:pPr>
              <w:snapToGrid w:val="0"/>
              <w:spacing w:line="240" w:lineRule="auto"/>
              <w:rPr>
                <w:w w:val="80"/>
                <w:kern w:val="21"/>
                <w:sz w:val="24"/>
              </w:rPr>
            </w:pPr>
            <w:r>
              <w:rPr>
                <w:kern w:val="18"/>
                <w:sz w:val="18"/>
                <w:szCs w:val="18"/>
              </w:rPr>
              <w:t>注:环境空气评价因子单位为mg/m3；地表水单位为mg/L；声环境评价因子单位为dB（A）。</w:t>
            </w:r>
          </w:p>
        </w:tc>
      </w:tr>
      <w:tr>
        <w:tblPrEx>
          <w:tblW w:w="0" w:type="auto"/>
          <w:tblInd w:w="108" w:type="dxa"/>
          <w:tblLayout w:type="fixed"/>
          <w:tblCellMar>
            <w:top w:w="0" w:type="dxa"/>
            <w:left w:w="108" w:type="dxa"/>
            <w:bottom w:w="0" w:type="dxa"/>
            <w:right w:w="108" w:type="dxa"/>
          </w:tblCellMar>
          <w:tblLook w:val="0000"/>
        </w:tblPrEx>
        <w:trPr>
          <w:cantSplit/>
          <w:trHeight w:val="169"/>
        </w:trPr>
        <w:tc>
          <w:tcPr>
            <w:tcW w:w="459" w:type="dxa"/>
            <w:vMerge w:val="restart"/>
            <w:tcBorders>
              <w:top w:val="single" w:sz="6" w:space="0" w:color="auto"/>
            </w:tcBorders>
            <w:vAlign w:val="center"/>
          </w:tcPr>
          <w:p>
            <w:pPr>
              <w:spacing w:line="360" w:lineRule="auto"/>
              <w:jc w:val="center"/>
              <w:rPr>
                <w:b/>
                <w:kern w:val="21"/>
                <w:sz w:val="28"/>
              </w:rPr>
            </w:pPr>
            <w:r>
              <w:rPr>
                <w:b/>
                <w:kern w:val="21"/>
                <w:sz w:val="28"/>
              </w:rPr>
              <w:t>污</w:t>
            </w:r>
          </w:p>
          <w:p>
            <w:pPr>
              <w:spacing w:line="360" w:lineRule="auto"/>
              <w:jc w:val="center"/>
              <w:rPr>
                <w:b/>
                <w:kern w:val="21"/>
                <w:sz w:val="28"/>
              </w:rPr>
            </w:pPr>
            <w:r>
              <w:rPr>
                <w:b/>
                <w:kern w:val="21"/>
                <w:sz w:val="28"/>
              </w:rPr>
              <w:t>染</w:t>
            </w:r>
          </w:p>
          <w:p>
            <w:pPr>
              <w:spacing w:line="360" w:lineRule="auto"/>
              <w:jc w:val="center"/>
              <w:rPr>
                <w:b/>
                <w:kern w:val="21"/>
                <w:sz w:val="28"/>
              </w:rPr>
            </w:pPr>
            <w:r>
              <w:rPr>
                <w:b/>
                <w:kern w:val="21"/>
                <w:sz w:val="28"/>
              </w:rPr>
              <w:t>物</w:t>
            </w:r>
          </w:p>
          <w:p>
            <w:pPr>
              <w:spacing w:line="360" w:lineRule="auto"/>
              <w:jc w:val="center"/>
              <w:rPr>
                <w:b/>
                <w:kern w:val="21"/>
                <w:sz w:val="28"/>
              </w:rPr>
            </w:pPr>
            <w:r>
              <w:rPr>
                <w:b/>
                <w:kern w:val="21"/>
                <w:sz w:val="28"/>
              </w:rPr>
              <w:t>排</w:t>
            </w:r>
          </w:p>
          <w:p>
            <w:pPr>
              <w:spacing w:line="360" w:lineRule="auto"/>
              <w:jc w:val="center"/>
              <w:rPr>
                <w:b/>
                <w:kern w:val="21"/>
                <w:sz w:val="28"/>
              </w:rPr>
            </w:pPr>
            <w:r>
              <w:rPr>
                <w:b/>
                <w:kern w:val="21"/>
                <w:sz w:val="28"/>
              </w:rPr>
              <w:t>放</w:t>
            </w:r>
          </w:p>
          <w:p>
            <w:pPr>
              <w:spacing w:line="360" w:lineRule="auto"/>
              <w:jc w:val="center"/>
              <w:rPr>
                <w:b/>
                <w:kern w:val="21"/>
                <w:sz w:val="28"/>
              </w:rPr>
            </w:pPr>
            <w:r>
              <w:rPr>
                <w:b/>
                <w:kern w:val="21"/>
                <w:sz w:val="28"/>
              </w:rPr>
              <w:t>标</w:t>
            </w:r>
          </w:p>
          <w:p>
            <w:pPr>
              <w:spacing w:line="360" w:lineRule="auto"/>
              <w:jc w:val="center"/>
              <w:rPr>
                <w:b/>
                <w:kern w:val="21"/>
                <w:sz w:val="28"/>
              </w:rPr>
            </w:pPr>
            <w:r>
              <w:rPr>
                <w:b/>
                <w:kern w:val="21"/>
                <w:sz w:val="28"/>
              </w:rPr>
              <w:t>准</w:t>
            </w:r>
          </w:p>
        </w:tc>
        <w:tc>
          <w:tcPr>
            <w:tcW w:w="8524" w:type="dxa"/>
            <w:gridSpan w:val="15"/>
            <w:tcBorders>
              <w:top w:val="single" w:sz="6" w:space="0" w:color="auto"/>
              <w:bottom w:val="single" w:sz="12" w:space="0" w:color="auto"/>
            </w:tcBorders>
            <w:vAlign w:val="bottom"/>
          </w:tcPr>
          <w:p>
            <w:pPr>
              <w:snapToGrid w:val="0"/>
              <w:spacing w:before="120" w:beforeLines="50" w:line="240" w:lineRule="auto"/>
              <w:jc w:val="center"/>
              <w:rPr>
                <w:b/>
                <w:kern w:val="21"/>
                <w:sz w:val="24"/>
              </w:rPr>
            </w:pPr>
            <w:r>
              <w:rPr>
                <w:b/>
                <w:kern w:val="21"/>
                <w:sz w:val="24"/>
              </w:rPr>
              <w:t>表8 污染物排放标准一览表</w:t>
            </w:r>
          </w:p>
        </w:tc>
      </w:tr>
      <w:tr>
        <w:tblPrEx>
          <w:tblW w:w="0" w:type="auto"/>
          <w:tblInd w:w="108" w:type="dxa"/>
          <w:tblLayout w:type="fixed"/>
          <w:tblCellMar>
            <w:top w:w="0" w:type="dxa"/>
            <w:left w:w="108" w:type="dxa"/>
            <w:bottom w:w="0" w:type="dxa"/>
            <w:right w:w="108" w:type="dxa"/>
          </w:tblCellMar>
          <w:tblLook w:val="0000"/>
        </w:tblPrEx>
        <w:trPr>
          <w:cantSplit/>
          <w:trHeight w:hRule="exact" w:val="340"/>
        </w:trPr>
        <w:tc>
          <w:tcPr>
            <w:tcW w:w="459" w:type="dxa"/>
            <w:vMerge/>
            <w:vAlign w:val="center"/>
          </w:tcPr>
          <w:p>
            <w:pPr>
              <w:spacing w:line="360" w:lineRule="auto"/>
              <w:jc w:val="center"/>
              <w:rPr>
                <w:b/>
                <w:kern w:val="21"/>
                <w:sz w:val="28"/>
              </w:rPr>
            </w:pPr>
          </w:p>
        </w:tc>
        <w:tc>
          <w:tcPr>
            <w:tcW w:w="1951" w:type="dxa"/>
            <w:gridSpan w:val="3"/>
            <w:tcBorders>
              <w:top w:val="single" w:sz="12" w:space="0" w:color="auto"/>
              <w:bottom w:val="double" w:sz="4" w:space="0" w:color="auto"/>
            </w:tcBorders>
            <w:vAlign w:val="center"/>
          </w:tcPr>
          <w:p>
            <w:pPr>
              <w:pStyle w:val="21"/>
              <w:spacing w:line="240" w:lineRule="atLeast"/>
              <w:rPr>
                <w:kern w:val="18"/>
                <w:sz w:val="21"/>
                <w:szCs w:val="21"/>
              </w:rPr>
            </w:pPr>
            <w:r>
              <w:rPr>
                <w:kern w:val="18"/>
                <w:sz w:val="21"/>
                <w:szCs w:val="21"/>
              </w:rPr>
              <w:t>项目</w:t>
            </w:r>
          </w:p>
        </w:tc>
        <w:tc>
          <w:tcPr>
            <w:tcW w:w="1619" w:type="dxa"/>
            <w:gridSpan w:val="3"/>
            <w:tcBorders>
              <w:top w:val="single" w:sz="12" w:space="0" w:color="auto"/>
              <w:bottom w:val="double" w:sz="4" w:space="0" w:color="auto"/>
            </w:tcBorders>
            <w:vAlign w:val="center"/>
          </w:tcPr>
          <w:p>
            <w:pPr>
              <w:pStyle w:val="21"/>
              <w:spacing w:line="240" w:lineRule="atLeast"/>
              <w:rPr>
                <w:kern w:val="18"/>
                <w:sz w:val="21"/>
                <w:szCs w:val="21"/>
              </w:rPr>
            </w:pPr>
            <w:r>
              <w:rPr>
                <w:kern w:val="18"/>
                <w:sz w:val="21"/>
                <w:szCs w:val="21"/>
              </w:rPr>
              <w:t>标准</w:t>
            </w:r>
          </w:p>
        </w:tc>
        <w:tc>
          <w:tcPr>
            <w:tcW w:w="933" w:type="dxa"/>
            <w:tcBorders>
              <w:top w:val="single" w:sz="12" w:space="0" w:color="auto"/>
              <w:bottom w:val="double" w:sz="4" w:space="0" w:color="auto"/>
            </w:tcBorders>
            <w:vAlign w:val="center"/>
          </w:tcPr>
          <w:p>
            <w:pPr>
              <w:pStyle w:val="21"/>
              <w:spacing w:line="240" w:lineRule="atLeast"/>
              <w:rPr>
                <w:kern w:val="18"/>
                <w:sz w:val="21"/>
                <w:szCs w:val="21"/>
              </w:rPr>
            </w:pPr>
            <w:r>
              <w:rPr>
                <w:kern w:val="18"/>
                <w:sz w:val="21"/>
                <w:szCs w:val="21"/>
              </w:rPr>
              <w:t>类别</w:t>
            </w:r>
          </w:p>
        </w:tc>
        <w:tc>
          <w:tcPr>
            <w:tcW w:w="3262" w:type="dxa"/>
            <w:gridSpan w:val="7"/>
            <w:tcBorders>
              <w:top w:val="single" w:sz="12" w:space="0" w:color="auto"/>
              <w:bottom w:val="double" w:sz="4" w:space="0" w:color="auto"/>
              <w:right w:val="single" w:sz="4" w:space="0" w:color="auto"/>
            </w:tcBorders>
            <w:vAlign w:val="center"/>
          </w:tcPr>
          <w:p>
            <w:pPr>
              <w:pStyle w:val="21"/>
              <w:spacing w:line="240" w:lineRule="atLeast"/>
              <w:rPr>
                <w:kern w:val="18"/>
                <w:sz w:val="21"/>
                <w:szCs w:val="21"/>
              </w:rPr>
            </w:pPr>
            <w:r>
              <w:rPr>
                <w:kern w:val="18"/>
                <w:sz w:val="21"/>
                <w:szCs w:val="21"/>
              </w:rPr>
              <w:t>排放标准值</w:t>
            </w:r>
          </w:p>
        </w:tc>
        <w:tc>
          <w:tcPr>
            <w:tcW w:w="759" w:type="dxa"/>
            <w:tcBorders>
              <w:top w:val="single" w:sz="12" w:space="0" w:color="auto"/>
              <w:left w:val="single" w:sz="4" w:space="0" w:color="auto"/>
              <w:bottom w:val="double" w:sz="4" w:space="0" w:color="auto"/>
            </w:tcBorders>
            <w:vAlign w:val="center"/>
          </w:tcPr>
          <w:p>
            <w:pPr>
              <w:pStyle w:val="21"/>
              <w:spacing w:line="240" w:lineRule="atLeast"/>
              <w:rPr>
                <w:kern w:val="18"/>
                <w:sz w:val="21"/>
                <w:szCs w:val="21"/>
              </w:rPr>
            </w:pPr>
            <w:r>
              <w:rPr>
                <w:kern w:val="18"/>
                <w:sz w:val="21"/>
                <w:szCs w:val="21"/>
              </w:rPr>
              <w:t>单位</w:t>
            </w:r>
          </w:p>
        </w:tc>
      </w:tr>
      <w:tr>
        <w:tblPrEx>
          <w:tblW w:w="0" w:type="auto"/>
          <w:tblInd w:w="108" w:type="dxa"/>
          <w:tblLayout w:type="fixed"/>
          <w:tblCellMar>
            <w:top w:w="0" w:type="dxa"/>
            <w:left w:w="108" w:type="dxa"/>
            <w:bottom w:w="0" w:type="dxa"/>
            <w:right w:w="108" w:type="dxa"/>
          </w:tblCellMar>
          <w:tblLook w:val="0000"/>
        </w:tblPrEx>
        <w:trPr>
          <w:cantSplit/>
          <w:trHeight w:val="469"/>
        </w:trPr>
        <w:tc>
          <w:tcPr>
            <w:tcW w:w="459" w:type="dxa"/>
            <w:vMerge/>
            <w:vAlign w:val="center"/>
          </w:tcPr>
          <w:p>
            <w:pPr>
              <w:spacing w:line="360" w:lineRule="auto"/>
              <w:jc w:val="center"/>
              <w:rPr>
                <w:b/>
                <w:kern w:val="21"/>
                <w:sz w:val="28"/>
              </w:rPr>
            </w:pPr>
          </w:p>
        </w:tc>
        <w:tc>
          <w:tcPr>
            <w:tcW w:w="675" w:type="dxa"/>
            <w:vMerge w:val="restart"/>
            <w:tcBorders>
              <w:right w:val="single" w:sz="4" w:space="0" w:color="auto"/>
            </w:tcBorders>
            <w:vAlign w:val="center"/>
          </w:tcPr>
          <w:p>
            <w:pPr>
              <w:pStyle w:val="21"/>
              <w:spacing w:line="240" w:lineRule="atLeast"/>
              <w:rPr>
                <w:kern w:val="18"/>
                <w:sz w:val="21"/>
                <w:szCs w:val="21"/>
              </w:rPr>
            </w:pPr>
            <w:r>
              <w:rPr>
                <w:kern w:val="18"/>
                <w:sz w:val="21"/>
                <w:szCs w:val="21"/>
              </w:rPr>
              <w:t>废气</w:t>
            </w:r>
          </w:p>
        </w:tc>
        <w:tc>
          <w:tcPr>
            <w:tcW w:w="1276" w:type="dxa"/>
            <w:gridSpan w:val="2"/>
            <w:vMerge w:val="restart"/>
            <w:tcBorders>
              <w:top w:val="single" w:sz="4" w:space="0" w:color="auto"/>
              <w:left w:val="single" w:sz="4" w:space="0" w:color="auto"/>
              <w:right w:val="single" w:sz="6" w:space="0" w:color="auto"/>
            </w:tcBorders>
            <w:vAlign w:val="center"/>
          </w:tcPr>
          <w:p>
            <w:pPr>
              <w:pStyle w:val="21"/>
              <w:spacing w:line="240" w:lineRule="atLeast"/>
              <w:rPr>
                <w:kern w:val="18"/>
                <w:sz w:val="21"/>
                <w:szCs w:val="21"/>
              </w:rPr>
            </w:pPr>
            <w:r>
              <w:rPr>
                <w:kern w:val="18"/>
                <w:sz w:val="21"/>
                <w:szCs w:val="21"/>
              </w:rPr>
              <w:t>施工期扬尘</w:t>
            </w:r>
          </w:p>
        </w:tc>
        <w:tc>
          <w:tcPr>
            <w:tcW w:w="1619" w:type="dxa"/>
            <w:gridSpan w:val="3"/>
            <w:vMerge w:val="restart"/>
            <w:tcBorders>
              <w:top w:val="single" w:sz="4" w:space="0" w:color="auto"/>
              <w:left w:val="single" w:sz="6" w:space="0" w:color="auto"/>
              <w:right w:val="single" w:sz="4" w:space="0" w:color="auto"/>
            </w:tcBorders>
            <w:vAlign w:val="center"/>
          </w:tcPr>
          <w:p>
            <w:pPr>
              <w:pStyle w:val="21"/>
              <w:spacing w:line="240" w:lineRule="atLeast"/>
              <w:rPr>
                <w:kern w:val="18"/>
                <w:sz w:val="21"/>
                <w:szCs w:val="21"/>
              </w:rPr>
            </w:pPr>
            <w:r>
              <w:rPr>
                <w:kern w:val="18"/>
                <w:sz w:val="21"/>
                <w:szCs w:val="21"/>
              </w:rPr>
              <w:t>GB16297-1996</w:t>
            </w:r>
          </w:p>
        </w:tc>
        <w:tc>
          <w:tcPr>
            <w:tcW w:w="933" w:type="dxa"/>
            <w:vMerge w:val="restart"/>
            <w:tcBorders>
              <w:top w:val="single" w:sz="4" w:space="0" w:color="auto"/>
              <w:left w:val="single" w:sz="4" w:space="0" w:color="auto"/>
              <w:right w:val="single" w:sz="6" w:space="0" w:color="auto"/>
            </w:tcBorders>
            <w:vAlign w:val="center"/>
          </w:tcPr>
          <w:p>
            <w:pPr>
              <w:pStyle w:val="21"/>
              <w:spacing w:line="240" w:lineRule="atLeast"/>
              <w:rPr>
                <w:kern w:val="18"/>
                <w:sz w:val="21"/>
                <w:szCs w:val="21"/>
              </w:rPr>
            </w:pPr>
            <w:r>
              <w:rPr>
                <w:kern w:val="18"/>
                <w:sz w:val="21"/>
                <w:szCs w:val="21"/>
              </w:rPr>
              <w:t>无组织</w:t>
            </w:r>
          </w:p>
        </w:tc>
        <w:tc>
          <w:tcPr>
            <w:tcW w:w="3262" w:type="dxa"/>
            <w:gridSpan w:val="7"/>
            <w:tcBorders>
              <w:top w:val="single" w:sz="4" w:space="0" w:color="auto"/>
              <w:left w:val="single" w:sz="6"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颗粒物</w:t>
            </w:r>
          </w:p>
        </w:tc>
        <w:tc>
          <w:tcPr>
            <w:tcW w:w="759" w:type="dxa"/>
            <w:vMerge w:val="restart"/>
            <w:tcBorders>
              <w:top w:val="single" w:sz="4" w:space="0" w:color="auto"/>
              <w:left w:val="single" w:sz="4" w:space="0" w:color="auto"/>
            </w:tcBorders>
            <w:vAlign w:val="center"/>
          </w:tcPr>
          <w:p>
            <w:pPr>
              <w:pStyle w:val="21"/>
              <w:spacing w:line="240" w:lineRule="atLeast"/>
              <w:rPr>
                <w:w w:val="80"/>
                <w:kern w:val="21"/>
                <w:szCs w:val="24"/>
              </w:rPr>
            </w:pPr>
            <w:r>
              <w:rPr>
                <w:w w:val="80"/>
                <w:kern w:val="21"/>
              </w:rPr>
              <w:t>mg/m</w:t>
            </w:r>
            <w:r>
              <w:rPr>
                <w:w w:val="80"/>
                <w:kern w:val="21"/>
                <w:vertAlign w:val="superscript"/>
              </w:rPr>
              <w:t>3</w:t>
            </w:r>
          </w:p>
        </w:tc>
      </w:tr>
      <w:tr>
        <w:tblPrEx>
          <w:tblW w:w="0" w:type="auto"/>
          <w:tblInd w:w="108" w:type="dxa"/>
          <w:tblLayout w:type="fixed"/>
          <w:tblCellMar>
            <w:top w:w="0" w:type="dxa"/>
            <w:left w:w="108" w:type="dxa"/>
            <w:bottom w:w="0" w:type="dxa"/>
            <w:right w:w="108" w:type="dxa"/>
          </w:tblCellMar>
          <w:tblLook w:val="0000"/>
        </w:tblPrEx>
        <w:trPr>
          <w:cantSplit/>
          <w:trHeight w:val="559"/>
        </w:trPr>
        <w:tc>
          <w:tcPr>
            <w:tcW w:w="459" w:type="dxa"/>
            <w:vMerge/>
            <w:vAlign w:val="center"/>
          </w:tcPr>
          <w:p>
            <w:pPr>
              <w:spacing w:line="360" w:lineRule="auto"/>
              <w:jc w:val="center"/>
              <w:rPr>
                <w:b/>
                <w:kern w:val="21"/>
                <w:sz w:val="28"/>
              </w:rPr>
            </w:pPr>
          </w:p>
        </w:tc>
        <w:tc>
          <w:tcPr>
            <w:tcW w:w="675" w:type="dxa"/>
            <w:vMerge/>
            <w:tcBorders>
              <w:right w:val="single" w:sz="4" w:space="0" w:color="auto"/>
            </w:tcBorders>
            <w:vAlign w:val="center"/>
          </w:tcPr>
          <w:p>
            <w:pPr>
              <w:pStyle w:val="21"/>
              <w:spacing w:line="240" w:lineRule="atLeast"/>
              <w:rPr>
                <w:kern w:val="18"/>
                <w:sz w:val="21"/>
                <w:szCs w:val="21"/>
              </w:rPr>
            </w:pPr>
          </w:p>
        </w:tc>
        <w:tc>
          <w:tcPr>
            <w:tcW w:w="1276" w:type="dxa"/>
            <w:gridSpan w:val="2"/>
            <w:vMerge/>
            <w:tcBorders>
              <w:left w:val="single" w:sz="4" w:space="0" w:color="auto"/>
              <w:bottom w:val="single" w:sz="4" w:space="0" w:color="auto"/>
              <w:right w:val="single" w:sz="6" w:space="0" w:color="auto"/>
            </w:tcBorders>
            <w:vAlign w:val="center"/>
          </w:tcPr>
          <w:p>
            <w:pPr>
              <w:pStyle w:val="21"/>
              <w:spacing w:line="240" w:lineRule="atLeast"/>
              <w:rPr>
                <w:kern w:val="18"/>
                <w:sz w:val="21"/>
                <w:szCs w:val="21"/>
              </w:rPr>
            </w:pPr>
          </w:p>
        </w:tc>
        <w:tc>
          <w:tcPr>
            <w:tcW w:w="1619" w:type="dxa"/>
            <w:gridSpan w:val="3"/>
            <w:vMerge/>
            <w:tcBorders>
              <w:left w:val="single" w:sz="6" w:space="0" w:color="auto"/>
              <w:bottom w:val="single" w:sz="4" w:space="0" w:color="auto"/>
              <w:right w:val="single" w:sz="4" w:space="0" w:color="auto"/>
            </w:tcBorders>
            <w:vAlign w:val="center"/>
          </w:tcPr>
          <w:p>
            <w:pPr>
              <w:pStyle w:val="21"/>
              <w:spacing w:line="240" w:lineRule="atLeast"/>
              <w:rPr>
                <w:kern w:val="18"/>
                <w:sz w:val="21"/>
                <w:szCs w:val="21"/>
              </w:rPr>
            </w:pPr>
          </w:p>
        </w:tc>
        <w:tc>
          <w:tcPr>
            <w:tcW w:w="933" w:type="dxa"/>
            <w:vMerge/>
            <w:tcBorders>
              <w:left w:val="single" w:sz="4" w:space="0" w:color="auto"/>
              <w:bottom w:val="single" w:sz="4" w:space="0" w:color="auto"/>
              <w:right w:val="single" w:sz="6" w:space="0" w:color="auto"/>
            </w:tcBorders>
            <w:vAlign w:val="center"/>
          </w:tcPr>
          <w:p>
            <w:pPr>
              <w:pStyle w:val="21"/>
              <w:spacing w:line="240" w:lineRule="atLeast"/>
              <w:rPr>
                <w:kern w:val="18"/>
                <w:sz w:val="21"/>
                <w:szCs w:val="21"/>
              </w:rPr>
            </w:pPr>
          </w:p>
        </w:tc>
        <w:tc>
          <w:tcPr>
            <w:tcW w:w="3262" w:type="dxa"/>
            <w:gridSpan w:val="7"/>
            <w:tcBorders>
              <w:top w:val="single" w:sz="4" w:space="0" w:color="auto"/>
              <w:left w:val="single" w:sz="6"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1.0</w:t>
            </w:r>
          </w:p>
        </w:tc>
        <w:tc>
          <w:tcPr>
            <w:tcW w:w="759" w:type="dxa"/>
            <w:vMerge/>
            <w:tcBorders>
              <w:left w:val="single" w:sz="4" w:space="0" w:color="auto"/>
              <w:bottom w:val="single" w:sz="4" w:space="0" w:color="auto"/>
            </w:tcBorders>
            <w:vAlign w:val="center"/>
          </w:tcPr>
          <w:p>
            <w:pPr>
              <w:pStyle w:val="21"/>
              <w:spacing w:line="240" w:lineRule="atLeast"/>
              <w:rPr>
                <w:w w:val="80"/>
                <w:kern w:val="21"/>
                <w:szCs w:val="24"/>
              </w:rPr>
            </w:pPr>
          </w:p>
        </w:tc>
      </w:tr>
      <w:tr>
        <w:tblPrEx>
          <w:tblW w:w="0" w:type="auto"/>
          <w:tblInd w:w="108" w:type="dxa"/>
          <w:tblLayout w:type="fixed"/>
          <w:tblCellMar>
            <w:top w:w="0" w:type="dxa"/>
            <w:left w:w="108" w:type="dxa"/>
            <w:bottom w:w="0" w:type="dxa"/>
            <w:right w:w="108" w:type="dxa"/>
          </w:tblCellMar>
          <w:tblLook w:val="0000"/>
        </w:tblPrEx>
        <w:trPr>
          <w:cantSplit/>
          <w:trHeight w:val="559"/>
        </w:trPr>
        <w:tc>
          <w:tcPr>
            <w:tcW w:w="459" w:type="dxa"/>
            <w:vMerge/>
            <w:vAlign w:val="center"/>
          </w:tcPr>
          <w:p>
            <w:pPr>
              <w:spacing w:line="360" w:lineRule="auto"/>
              <w:jc w:val="center"/>
              <w:rPr>
                <w:b/>
                <w:kern w:val="21"/>
                <w:sz w:val="28"/>
              </w:rPr>
            </w:pPr>
          </w:p>
        </w:tc>
        <w:tc>
          <w:tcPr>
            <w:tcW w:w="675" w:type="dxa"/>
            <w:vMerge w:val="restart"/>
            <w:tcBorders>
              <w:right w:val="single" w:sz="4" w:space="0" w:color="auto"/>
            </w:tcBorders>
            <w:vAlign w:val="center"/>
          </w:tcPr>
          <w:p>
            <w:pPr>
              <w:pStyle w:val="21"/>
              <w:spacing w:line="240" w:lineRule="atLeast"/>
              <w:rPr>
                <w:w w:val="80"/>
                <w:kern w:val="21"/>
              </w:rPr>
            </w:pPr>
            <w:r>
              <w:rPr>
                <w:kern w:val="18"/>
                <w:sz w:val="21"/>
                <w:szCs w:val="21"/>
              </w:rPr>
              <w:t>废水</w:t>
            </w:r>
          </w:p>
        </w:tc>
        <w:tc>
          <w:tcPr>
            <w:tcW w:w="2895" w:type="dxa"/>
            <w:gridSpan w:val="5"/>
            <w:vMerge w:val="restart"/>
            <w:tcBorders>
              <w:left w:val="single" w:sz="4" w:space="0" w:color="auto"/>
              <w:right w:val="single" w:sz="4" w:space="0" w:color="auto"/>
            </w:tcBorders>
            <w:vAlign w:val="center"/>
          </w:tcPr>
          <w:p>
            <w:pPr>
              <w:pStyle w:val="21"/>
              <w:spacing w:line="240" w:lineRule="atLeast"/>
              <w:rPr>
                <w:w w:val="80"/>
                <w:kern w:val="21"/>
                <w:sz w:val="21"/>
                <w:szCs w:val="21"/>
              </w:rPr>
            </w:pPr>
            <w:r>
              <w:rPr>
                <w:kern w:val="18"/>
                <w:sz w:val="21"/>
                <w:szCs w:val="21"/>
              </w:rPr>
              <w:t>《污水综合排放标准》(GB8978-1996)</w:t>
            </w:r>
          </w:p>
        </w:tc>
        <w:tc>
          <w:tcPr>
            <w:tcW w:w="933" w:type="dxa"/>
            <w:vMerge w:val="restart"/>
            <w:tcBorders>
              <w:top w:val="single" w:sz="4" w:space="0" w:color="auto"/>
              <w:left w:val="single" w:sz="6" w:space="0" w:color="auto"/>
            </w:tcBorders>
            <w:vAlign w:val="center"/>
          </w:tcPr>
          <w:p>
            <w:pPr>
              <w:jc w:val="center"/>
              <w:rPr>
                <w:spacing w:val="3"/>
                <w:szCs w:val="21"/>
              </w:rPr>
            </w:pPr>
            <w:r>
              <w:rPr>
                <w:kern w:val="18"/>
                <w:szCs w:val="21"/>
              </w:rPr>
              <w:t>三级</w:t>
            </w:r>
          </w:p>
        </w:tc>
        <w:tc>
          <w:tcPr>
            <w:tcW w:w="850" w:type="dxa"/>
            <w:gridSpan w:val="2"/>
            <w:tcBorders>
              <w:top w:val="single" w:sz="4" w:space="0" w:color="auto"/>
              <w:left w:val="single" w:sz="6" w:space="0" w:color="auto"/>
            </w:tcBorders>
            <w:vAlign w:val="center"/>
          </w:tcPr>
          <w:p>
            <w:pPr>
              <w:jc w:val="center"/>
              <w:rPr>
                <w:spacing w:val="3"/>
                <w:szCs w:val="21"/>
              </w:rPr>
            </w:pPr>
            <w:r>
              <w:rPr>
                <w:spacing w:val="3"/>
                <w:szCs w:val="21"/>
              </w:rPr>
              <w:t>COD</w:t>
            </w:r>
            <w:r>
              <w:rPr>
                <w:spacing w:val="3"/>
                <w:szCs w:val="21"/>
                <w:vertAlign w:val="subscript"/>
              </w:rPr>
              <w:t>cr</w:t>
            </w:r>
          </w:p>
        </w:tc>
        <w:tc>
          <w:tcPr>
            <w:tcW w:w="709" w:type="dxa"/>
            <w:gridSpan w:val="2"/>
            <w:tcBorders>
              <w:top w:val="single" w:sz="4" w:space="0" w:color="auto"/>
              <w:left w:val="single" w:sz="4" w:space="0" w:color="auto"/>
            </w:tcBorders>
            <w:vAlign w:val="center"/>
          </w:tcPr>
          <w:p>
            <w:pPr>
              <w:jc w:val="center"/>
              <w:rPr>
                <w:spacing w:val="3"/>
                <w:szCs w:val="21"/>
              </w:rPr>
            </w:pPr>
            <w:r>
              <w:rPr>
                <w:spacing w:val="3"/>
                <w:szCs w:val="21"/>
              </w:rPr>
              <w:t>SS</w:t>
            </w:r>
          </w:p>
        </w:tc>
        <w:tc>
          <w:tcPr>
            <w:tcW w:w="850" w:type="dxa"/>
            <w:tcBorders>
              <w:top w:val="single" w:sz="4" w:space="0" w:color="auto"/>
              <w:left w:val="single" w:sz="6" w:space="0" w:color="auto"/>
            </w:tcBorders>
            <w:vAlign w:val="center"/>
          </w:tcPr>
          <w:p>
            <w:pPr>
              <w:jc w:val="center"/>
              <w:rPr>
                <w:spacing w:val="3"/>
                <w:szCs w:val="21"/>
              </w:rPr>
            </w:pPr>
            <w:r>
              <w:rPr>
                <w:spacing w:val="3"/>
                <w:szCs w:val="21"/>
              </w:rPr>
              <w:t>BOD</w:t>
            </w:r>
            <w:r>
              <w:rPr>
                <w:spacing w:val="3"/>
                <w:szCs w:val="21"/>
                <w:vertAlign w:val="subscript"/>
              </w:rPr>
              <w:t>5</w:t>
            </w:r>
          </w:p>
        </w:tc>
        <w:tc>
          <w:tcPr>
            <w:tcW w:w="853" w:type="dxa"/>
            <w:gridSpan w:val="2"/>
            <w:tcBorders>
              <w:top w:val="single" w:sz="4" w:space="0" w:color="auto"/>
              <w:left w:val="single" w:sz="6" w:space="0" w:color="auto"/>
              <w:right w:val="single" w:sz="4" w:space="0" w:color="auto"/>
            </w:tcBorders>
            <w:vAlign w:val="center"/>
          </w:tcPr>
          <w:p>
            <w:pPr>
              <w:jc w:val="center"/>
              <w:rPr>
                <w:spacing w:val="3"/>
                <w:szCs w:val="21"/>
              </w:rPr>
            </w:pPr>
            <w:r>
              <w:rPr>
                <w:spacing w:val="3"/>
                <w:szCs w:val="21"/>
              </w:rPr>
              <w:t>NH</w:t>
            </w:r>
            <w:r>
              <w:rPr>
                <w:spacing w:val="3"/>
                <w:szCs w:val="21"/>
                <w:vertAlign w:val="subscript"/>
              </w:rPr>
              <w:t>3</w:t>
            </w:r>
            <w:r>
              <w:rPr>
                <w:spacing w:val="3"/>
                <w:szCs w:val="21"/>
              </w:rPr>
              <w:t>-N</w:t>
            </w:r>
          </w:p>
        </w:tc>
        <w:tc>
          <w:tcPr>
            <w:tcW w:w="759" w:type="dxa"/>
            <w:vMerge w:val="restart"/>
            <w:tcBorders>
              <w:left w:val="single" w:sz="4" w:space="0" w:color="auto"/>
            </w:tcBorders>
            <w:vAlign w:val="center"/>
          </w:tcPr>
          <w:p>
            <w:pPr>
              <w:pStyle w:val="21"/>
              <w:spacing w:line="240" w:lineRule="atLeast"/>
              <w:rPr>
                <w:w w:val="80"/>
                <w:kern w:val="21"/>
                <w:szCs w:val="24"/>
              </w:rPr>
            </w:pPr>
            <w:r>
              <w:rPr>
                <w:kern w:val="18"/>
                <w:szCs w:val="21"/>
              </w:rPr>
              <w:t>mg/L</w:t>
            </w:r>
          </w:p>
        </w:tc>
      </w:tr>
      <w:tr>
        <w:tblPrEx>
          <w:tblW w:w="0" w:type="auto"/>
          <w:tblInd w:w="108" w:type="dxa"/>
          <w:tblLayout w:type="fixed"/>
          <w:tblCellMar>
            <w:top w:w="0" w:type="dxa"/>
            <w:left w:w="108" w:type="dxa"/>
            <w:bottom w:w="0" w:type="dxa"/>
            <w:right w:w="108" w:type="dxa"/>
          </w:tblCellMar>
          <w:tblLook w:val="0000"/>
        </w:tblPrEx>
        <w:trPr>
          <w:cantSplit/>
          <w:trHeight w:val="559"/>
        </w:trPr>
        <w:tc>
          <w:tcPr>
            <w:tcW w:w="459" w:type="dxa"/>
            <w:vMerge/>
            <w:vAlign w:val="center"/>
          </w:tcPr>
          <w:p>
            <w:pPr>
              <w:spacing w:line="360" w:lineRule="auto"/>
              <w:jc w:val="center"/>
              <w:rPr>
                <w:b/>
                <w:kern w:val="21"/>
                <w:sz w:val="28"/>
              </w:rPr>
            </w:pPr>
          </w:p>
        </w:tc>
        <w:tc>
          <w:tcPr>
            <w:tcW w:w="675" w:type="dxa"/>
            <w:vMerge/>
            <w:tcBorders>
              <w:right w:val="single" w:sz="4" w:space="0" w:color="auto"/>
            </w:tcBorders>
            <w:vAlign w:val="center"/>
          </w:tcPr>
          <w:p>
            <w:pPr>
              <w:pStyle w:val="21"/>
              <w:spacing w:line="240" w:lineRule="atLeast"/>
              <w:rPr>
                <w:w w:val="80"/>
                <w:kern w:val="21"/>
              </w:rPr>
            </w:pPr>
          </w:p>
        </w:tc>
        <w:tc>
          <w:tcPr>
            <w:tcW w:w="2895" w:type="dxa"/>
            <w:gridSpan w:val="5"/>
            <w:vMerge/>
            <w:tcBorders>
              <w:left w:val="single" w:sz="4" w:space="0" w:color="auto"/>
              <w:right w:val="single" w:sz="4" w:space="0" w:color="auto"/>
            </w:tcBorders>
            <w:vAlign w:val="center"/>
          </w:tcPr>
          <w:p>
            <w:pPr>
              <w:pStyle w:val="21"/>
              <w:spacing w:line="240" w:lineRule="atLeast"/>
              <w:rPr>
                <w:w w:val="80"/>
                <w:kern w:val="21"/>
              </w:rPr>
            </w:pPr>
          </w:p>
        </w:tc>
        <w:tc>
          <w:tcPr>
            <w:tcW w:w="933" w:type="dxa"/>
            <w:vMerge/>
            <w:tcBorders>
              <w:left w:val="single" w:sz="6" w:space="0" w:color="auto"/>
              <w:bottom w:val="single" w:sz="4" w:space="0" w:color="auto"/>
            </w:tcBorders>
            <w:vAlign w:val="center"/>
          </w:tcPr>
          <w:p>
            <w:pPr>
              <w:jc w:val="center"/>
              <w:rPr>
                <w:spacing w:val="3"/>
                <w:szCs w:val="21"/>
              </w:rPr>
            </w:pPr>
          </w:p>
        </w:tc>
        <w:tc>
          <w:tcPr>
            <w:tcW w:w="850" w:type="dxa"/>
            <w:gridSpan w:val="2"/>
            <w:tcBorders>
              <w:top w:val="single" w:sz="4" w:space="0" w:color="auto"/>
              <w:left w:val="single" w:sz="6" w:space="0" w:color="auto"/>
              <w:bottom w:val="single" w:sz="4" w:space="0" w:color="auto"/>
            </w:tcBorders>
            <w:vAlign w:val="center"/>
          </w:tcPr>
          <w:p>
            <w:pPr>
              <w:jc w:val="center"/>
              <w:rPr>
                <w:spacing w:val="3"/>
                <w:szCs w:val="21"/>
              </w:rPr>
            </w:pPr>
            <w:r>
              <w:rPr>
                <w:spacing w:val="3"/>
                <w:szCs w:val="21"/>
              </w:rPr>
              <w:t>500</w:t>
            </w:r>
          </w:p>
        </w:tc>
        <w:tc>
          <w:tcPr>
            <w:tcW w:w="709" w:type="dxa"/>
            <w:gridSpan w:val="2"/>
            <w:tcBorders>
              <w:top w:val="single" w:sz="4" w:space="0" w:color="auto"/>
              <w:left w:val="single" w:sz="4" w:space="0" w:color="auto"/>
              <w:bottom w:val="single" w:sz="4" w:space="0" w:color="auto"/>
            </w:tcBorders>
            <w:vAlign w:val="center"/>
          </w:tcPr>
          <w:p>
            <w:pPr>
              <w:jc w:val="center"/>
              <w:rPr>
                <w:spacing w:val="3"/>
                <w:szCs w:val="21"/>
              </w:rPr>
            </w:pPr>
            <w:r>
              <w:rPr>
                <w:spacing w:val="3"/>
                <w:szCs w:val="21"/>
              </w:rPr>
              <w:t>400</w:t>
            </w:r>
          </w:p>
        </w:tc>
        <w:tc>
          <w:tcPr>
            <w:tcW w:w="850" w:type="dxa"/>
            <w:tcBorders>
              <w:top w:val="single" w:sz="4" w:space="0" w:color="auto"/>
              <w:bottom w:val="single" w:sz="4" w:space="0" w:color="auto"/>
            </w:tcBorders>
            <w:vAlign w:val="center"/>
          </w:tcPr>
          <w:p>
            <w:pPr>
              <w:jc w:val="center"/>
              <w:rPr>
                <w:spacing w:val="3"/>
                <w:szCs w:val="21"/>
              </w:rPr>
            </w:pPr>
            <w:r>
              <w:rPr>
                <w:spacing w:val="3"/>
                <w:szCs w:val="21"/>
              </w:rPr>
              <w:t>300</w:t>
            </w:r>
          </w:p>
        </w:tc>
        <w:tc>
          <w:tcPr>
            <w:tcW w:w="853" w:type="dxa"/>
            <w:gridSpan w:val="2"/>
            <w:tcBorders>
              <w:top w:val="single" w:sz="4" w:space="0" w:color="auto"/>
              <w:bottom w:val="single" w:sz="4" w:space="0" w:color="auto"/>
              <w:right w:val="single" w:sz="4" w:space="0" w:color="auto"/>
            </w:tcBorders>
            <w:vAlign w:val="center"/>
          </w:tcPr>
          <w:p>
            <w:pPr>
              <w:jc w:val="center"/>
              <w:rPr>
                <w:spacing w:val="3"/>
                <w:szCs w:val="21"/>
              </w:rPr>
            </w:pPr>
            <w:r>
              <w:rPr>
                <w:spacing w:val="3"/>
                <w:szCs w:val="21"/>
              </w:rPr>
              <w:t>45</w:t>
            </w:r>
          </w:p>
        </w:tc>
        <w:tc>
          <w:tcPr>
            <w:tcW w:w="759" w:type="dxa"/>
            <w:vMerge/>
            <w:tcBorders>
              <w:left w:val="single" w:sz="4" w:space="0" w:color="auto"/>
              <w:bottom w:val="single" w:sz="4" w:space="0" w:color="auto"/>
            </w:tcBorders>
            <w:vAlign w:val="center"/>
          </w:tcPr>
          <w:p>
            <w:pPr>
              <w:pStyle w:val="21"/>
              <w:spacing w:line="240" w:lineRule="atLeast"/>
              <w:rPr>
                <w:w w:val="80"/>
                <w:kern w:val="21"/>
                <w:szCs w:val="24"/>
              </w:rPr>
            </w:pPr>
          </w:p>
        </w:tc>
      </w:tr>
      <w:tr>
        <w:tblPrEx>
          <w:tblW w:w="0" w:type="auto"/>
          <w:tblInd w:w="108" w:type="dxa"/>
          <w:tblLayout w:type="fixed"/>
          <w:tblCellMar>
            <w:top w:w="0" w:type="dxa"/>
            <w:left w:w="108" w:type="dxa"/>
            <w:bottom w:w="0" w:type="dxa"/>
            <w:right w:w="108" w:type="dxa"/>
          </w:tblCellMar>
          <w:tblLook w:val="0000"/>
        </w:tblPrEx>
        <w:trPr>
          <w:cantSplit/>
          <w:trHeight w:hRule="exact" w:val="572"/>
        </w:trPr>
        <w:tc>
          <w:tcPr>
            <w:tcW w:w="459" w:type="dxa"/>
            <w:vMerge/>
            <w:vAlign w:val="center"/>
          </w:tcPr>
          <w:p>
            <w:pPr>
              <w:spacing w:line="360" w:lineRule="auto"/>
              <w:jc w:val="center"/>
              <w:rPr>
                <w:b/>
                <w:kern w:val="21"/>
                <w:sz w:val="28"/>
              </w:rPr>
            </w:pPr>
          </w:p>
        </w:tc>
        <w:tc>
          <w:tcPr>
            <w:tcW w:w="675" w:type="dxa"/>
            <w:vMerge w:val="restart"/>
            <w:tcBorders>
              <w:top w:val="single" w:sz="4" w:space="0" w:color="auto"/>
            </w:tcBorders>
            <w:vAlign w:val="center"/>
          </w:tcPr>
          <w:p>
            <w:pPr>
              <w:pStyle w:val="21"/>
              <w:spacing w:line="240" w:lineRule="atLeast"/>
              <w:rPr>
                <w:kern w:val="18"/>
                <w:sz w:val="21"/>
                <w:szCs w:val="21"/>
              </w:rPr>
            </w:pPr>
            <w:r>
              <w:rPr>
                <w:kern w:val="18"/>
                <w:sz w:val="21"/>
                <w:szCs w:val="21"/>
              </w:rPr>
              <w:t>噪声</w:t>
            </w:r>
          </w:p>
        </w:tc>
        <w:tc>
          <w:tcPr>
            <w:tcW w:w="1276" w:type="dxa"/>
            <w:gridSpan w:val="2"/>
            <w:vMerge w:val="restart"/>
            <w:tcBorders>
              <w:top w:val="single" w:sz="4" w:space="0" w:color="auto"/>
            </w:tcBorders>
            <w:vAlign w:val="center"/>
          </w:tcPr>
          <w:p>
            <w:pPr>
              <w:pStyle w:val="21"/>
              <w:spacing w:line="240" w:lineRule="atLeast"/>
              <w:rPr>
                <w:kern w:val="18"/>
                <w:sz w:val="21"/>
                <w:szCs w:val="21"/>
              </w:rPr>
            </w:pPr>
            <w:r>
              <w:rPr>
                <w:kern w:val="18"/>
                <w:sz w:val="21"/>
                <w:szCs w:val="21"/>
              </w:rPr>
              <w:t>施工期</w:t>
            </w:r>
          </w:p>
        </w:tc>
        <w:tc>
          <w:tcPr>
            <w:tcW w:w="1619" w:type="dxa"/>
            <w:gridSpan w:val="3"/>
            <w:vMerge w:val="restart"/>
            <w:vAlign w:val="center"/>
          </w:tcPr>
          <w:p>
            <w:pPr>
              <w:pStyle w:val="21"/>
              <w:spacing w:line="240" w:lineRule="atLeast"/>
              <w:rPr>
                <w:kern w:val="18"/>
                <w:sz w:val="21"/>
                <w:szCs w:val="21"/>
              </w:rPr>
            </w:pPr>
            <w:r>
              <w:rPr>
                <w:kern w:val="18"/>
                <w:sz w:val="21"/>
                <w:szCs w:val="21"/>
              </w:rPr>
              <w:t>GB12523-2011</w:t>
            </w:r>
          </w:p>
        </w:tc>
        <w:tc>
          <w:tcPr>
            <w:tcW w:w="933" w:type="dxa"/>
            <w:vMerge w:val="restart"/>
            <w:vAlign w:val="center"/>
          </w:tcPr>
          <w:p>
            <w:pPr>
              <w:pStyle w:val="21"/>
              <w:spacing w:line="240" w:lineRule="atLeast"/>
              <w:rPr>
                <w:w w:val="80"/>
                <w:kern w:val="21"/>
              </w:rPr>
            </w:pPr>
            <w:r>
              <w:rPr>
                <w:w w:val="80"/>
                <w:kern w:val="21"/>
              </w:rPr>
              <w:t>/</w:t>
            </w:r>
          </w:p>
        </w:tc>
        <w:tc>
          <w:tcPr>
            <w:tcW w:w="1559" w:type="dxa"/>
            <w:gridSpan w:val="4"/>
            <w:tcBorders>
              <w:top w:val="single" w:sz="6" w:space="0" w:color="auto"/>
              <w:bottom w:val="single" w:sz="4" w:space="0" w:color="auto"/>
            </w:tcBorders>
            <w:vAlign w:val="center"/>
          </w:tcPr>
          <w:p>
            <w:pPr>
              <w:pStyle w:val="21"/>
              <w:spacing w:line="240" w:lineRule="atLeast"/>
              <w:rPr>
                <w:kern w:val="18"/>
                <w:sz w:val="21"/>
                <w:szCs w:val="21"/>
              </w:rPr>
            </w:pPr>
            <w:r>
              <w:rPr>
                <w:kern w:val="18"/>
                <w:sz w:val="21"/>
                <w:szCs w:val="21"/>
              </w:rPr>
              <w:t>昼间</w:t>
            </w:r>
          </w:p>
        </w:tc>
        <w:tc>
          <w:tcPr>
            <w:tcW w:w="1703" w:type="dxa"/>
            <w:gridSpan w:val="3"/>
            <w:tcBorders>
              <w:top w:val="single" w:sz="6" w:space="0" w:color="auto"/>
              <w:bottom w:val="single" w:sz="4" w:space="0" w:color="auto"/>
              <w:right w:val="single" w:sz="4" w:space="0" w:color="auto"/>
            </w:tcBorders>
            <w:vAlign w:val="center"/>
          </w:tcPr>
          <w:p>
            <w:pPr>
              <w:pStyle w:val="21"/>
              <w:spacing w:line="240" w:lineRule="atLeast"/>
              <w:rPr>
                <w:kern w:val="18"/>
                <w:sz w:val="21"/>
                <w:szCs w:val="21"/>
              </w:rPr>
            </w:pPr>
            <w:r>
              <w:rPr>
                <w:kern w:val="18"/>
                <w:sz w:val="21"/>
                <w:szCs w:val="21"/>
              </w:rPr>
              <w:t>夜间</w:t>
            </w:r>
          </w:p>
        </w:tc>
        <w:tc>
          <w:tcPr>
            <w:tcW w:w="759" w:type="dxa"/>
            <w:vMerge w:val="restart"/>
            <w:tcBorders>
              <w:top w:val="single" w:sz="6" w:space="0" w:color="auto"/>
              <w:left w:val="single" w:sz="4" w:space="0" w:color="auto"/>
            </w:tcBorders>
            <w:vAlign w:val="center"/>
          </w:tcPr>
          <w:p>
            <w:pPr>
              <w:pStyle w:val="21"/>
              <w:spacing w:line="240" w:lineRule="atLeast"/>
              <w:rPr>
                <w:w w:val="80"/>
                <w:kern w:val="21"/>
              </w:rPr>
            </w:pPr>
            <w:r>
              <w:rPr>
                <w:w w:val="80"/>
                <w:kern w:val="21"/>
              </w:rPr>
              <w:t>dB(A)</w:t>
            </w:r>
          </w:p>
        </w:tc>
      </w:tr>
      <w:tr>
        <w:tblPrEx>
          <w:tblW w:w="0" w:type="auto"/>
          <w:tblInd w:w="108" w:type="dxa"/>
          <w:tblLayout w:type="fixed"/>
          <w:tblCellMar>
            <w:top w:w="0" w:type="dxa"/>
            <w:left w:w="108" w:type="dxa"/>
            <w:bottom w:w="0" w:type="dxa"/>
            <w:right w:w="108" w:type="dxa"/>
          </w:tblCellMar>
          <w:tblLook w:val="0000"/>
        </w:tblPrEx>
        <w:trPr>
          <w:cantSplit/>
          <w:trHeight w:val="155"/>
        </w:trPr>
        <w:tc>
          <w:tcPr>
            <w:tcW w:w="459" w:type="dxa"/>
            <w:vMerge/>
            <w:vAlign w:val="center"/>
          </w:tcPr>
          <w:p>
            <w:pPr>
              <w:spacing w:line="360" w:lineRule="auto"/>
              <w:jc w:val="center"/>
              <w:rPr>
                <w:b/>
                <w:kern w:val="21"/>
                <w:sz w:val="28"/>
              </w:rPr>
            </w:pPr>
          </w:p>
        </w:tc>
        <w:tc>
          <w:tcPr>
            <w:tcW w:w="675" w:type="dxa"/>
            <w:vMerge/>
            <w:vAlign w:val="center"/>
          </w:tcPr>
          <w:p>
            <w:pPr>
              <w:pStyle w:val="21"/>
              <w:spacing w:line="240" w:lineRule="atLeast"/>
              <w:rPr>
                <w:kern w:val="18"/>
                <w:sz w:val="21"/>
                <w:szCs w:val="21"/>
              </w:rPr>
            </w:pPr>
          </w:p>
        </w:tc>
        <w:tc>
          <w:tcPr>
            <w:tcW w:w="1276" w:type="dxa"/>
            <w:gridSpan w:val="2"/>
            <w:vMerge/>
            <w:vAlign w:val="center"/>
          </w:tcPr>
          <w:p>
            <w:pPr>
              <w:pStyle w:val="21"/>
              <w:spacing w:line="240" w:lineRule="atLeast"/>
              <w:rPr>
                <w:kern w:val="18"/>
                <w:sz w:val="21"/>
                <w:szCs w:val="21"/>
              </w:rPr>
            </w:pPr>
          </w:p>
        </w:tc>
        <w:tc>
          <w:tcPr>
            <w:tcW w:w="1619" w:type="dxa"/>
            <w:gridSpan w:val="3"/>
            <w:vMerge/>
            <w:vAlign w:val="center"/>
          </w:tcPr>
          <w:p>
            <w:pPr>
              <w:pStyle w:val="21"/>
              <w:spacing w:line="240" w:lineRule="atLeast"/>
              <w:rPr>
                <w:kern w:val="18"/>
                <w:sz w:val="21"/>
                <w:szCs w:val="21"/>
              </w:rPr>
            </w:pPr>
          </w:p>
        </w:tc>
        <w:tc>
          <w:tcPr>
            <w:tcW w:w="933" w:type="dxa"/>
            <w:vMerge/>
            <w:vAlign w:val="center"/>
          </w:tcPr>
          <w:p>
            <w:pPr>
              <w:pStyle w:val="21"/>
              <w:spacing w:line="240" w:lineRule="atLeast"/>
              <w:rPr>
                <w:w w:val="80"/>
                <w:kern w:val="21"/>
              </w:rPr>
            </w:pPr>
          </w:p>
        </w:tc>
        <w:tc>
          <w:tcPr>
            <w:tcW w:w="1559" w:type="dxa"/>
            <w:gridSpan w:val="4"/>
            <w:tcBorders>
              <w:top w:val="single" w:sz="4" w:space="0" w:color="auto"/>
            </w:tcBorders>
            <w:vAlign w:val="center"/>
          </w:tcPr>
          <w:p>
            <w:pPr>
              <w:pStyle w:val="21"/>
              <w:spacing w:line="240" w:lineRule="atLeast"/>
              <w:rPr>
                <w:kern w:val="18"/>
                <w:sz w:val="21"/>
                <w:szCs w:val="21"/>
              </w:rPr>
            </w:pPr>
            <w:r>
              <w:rPr>
                <w:kern w:val="18"/>
                <w:sz w:val="21"/>
                <w:szCs w:val="21"/>
              </w:rPr>
              <w:t>70</w:t>
            </w:r>
          </w:p>
        </w:tc>
        <w:tc>
          <w:tcPr>
            <w:tcW w:w="1703" w:type="dxa"/>
            <w:gridSpan w:val="3"/>
            <w:tcBorders>
              <w:top w:val="single" w:sz="4" w:space="0" w:color="auto"/>
              <w:right w:val="single" w:sz="4" w:space="0" w:color="auto"/>
            </w:tcBorders>
            <w:vAlign w:val="center"/>
          </w:tcPr>
          <w:p>
            <w:pPr>
              <w:pStyle w:val="21"/>
              <w:spacing w:line="240" w:lineRule="atLeast"/>
              <w:rPr>
                <w:kern w:val="18"/>
                <w:sz w:val="21"/>
                <w:szCs w:val="21"/>
              </w:rPr>
            </w:pPr>
            <w:r>
              <w:rPr>
                <w:kern w:val="18"/>
                <w:sz w:val="21"/>
                <w:szCs w:val="21"/>
              </w:rPr>
              <w:t>55</w:t>
            </w:r>
          </w:p>
        </w:tc>
        <w:tc>
          <w:tcPr>
            <w:tcW w:w="759" w:type="dxa"/>
            <w:vMerge/>
            <w:tcBorders>
              <w:left w:val="single" w:sz="4" w:space="0" w:color="auto"/>
            </w:tcBorders>
            <w:vAlign w:val="center"/>
          </w:tcPr>
          <w:p>
            <w:pPr>
              <w:pStyle w:val="21"/>
              <w:spacing w:line="240" w:lineRule="atLeast"/>
              <w:rPr>
                <w:w w:val="80"/>
                <w:kern w:val="21"/>
              </w:rPr>
            </w:pPr>
          </w:p>
        </w:tc>
      </w:tr>
      <w:tr>
        <w:tblPrEx>
          <w:tblW w:w="0" w:type="auto"/>
          <w:tblInd w:w="108" w:type="dxa"/>
          <w:tblLayout w:type="fixed"/>
          <w:tblCellMar>
            <w:top w:w="0" w:type="dxa"/>
            <w:left w:w="108" w:type="dxa"/>
            <w:bottom w:w="0" w:type="dxa"/>
            <w:right w:w="108" w:type="dxa"/>
          </w:tblCellMar>
          <w:tblLook w:val="0000"/>
        </w:tblPrEx>
        <w:trPr>
          <w:cantSplit/>
          <w:trHeight w:val="155"/>
        </w:trPr>
        <w:tc>
          <w:tcPr>
            <w:tcW w:w="459" w:type="dxa"/>
            <w:vMerge/>
            <w:vAlign w:val="center"/>
          </w:tcPr>
          <w:p>
            <w:pPr>
              <w:spacing w:line="360" w:lineRule="auto"/>
              <w:jc w:val="center"/>
              <w:rPr>
                <w:b/>
                <w:kern w:val="21"/>
                <w:sz w:val="28"/>
              </w:rPr>
            </w:pPr>
          </w:p>
        </w:tc>
        <w:tc>
          <w:tcPr>
            <w:tcW w:w="675" w:type="dxa"/>
            <w:vMerge/>
            <w:vAlign w:val="center"/>
          </w:tcPr>
          <w:p>
            <w:pPr>
              <w:pStyle w:val="21"/>
              <w:spacing w:line="240" w:lineRule="atLeast"/>
              <w:rPr>
                <w:kern w:val="18"/>
                <w:sz w:val="21"/>
                <w:szCs w:val="21"/>
              </w:rPr>
            </w:pPr>
          </w:p>
        </w:tc>
        <w:tc>
          <w:tcPr>
            <w:tcW w:w="1276" w:type="dxa"/>
            <w:gridSpan w:val="2"/>
            <w:vMerge w:val="restart"/>
            <w:vAlign w:val="center"/>
          </w:tcPr>
          <w:p>
            <w:pPr>
              <w:pStyle w:val="21"/>
              <w:spacing w:line="240" w:lineRule="atLeast"/>
              <w:rPr>
                <w:kern w:val="18"/>
                <w:sz w:val="21"/>
                <w:szCs w:val="21"/>
              </w:rPr>
            </w:pPr>
            <w:r>
              <w:rPr>
                <w:kern w:val="18"/>
                <w:sz w:val="21"/>
                <w:szCs w:val="21"/>
              </w:rPr>
              <w:t>营运期</w:t>
            </w:r>
          </w:p>
        </w:tc>
        <w:tc>
          <w:tcPr>
            <w:tcW w:w="1619" w:type="dxa"/>
            <w:gridSpan w:val="3"/>
            <w:vMerge w:val="restart"/>
            <w:vAlign w:val="center"/>
          </w:tcPr>
          <w:p>
            <w:pPr>
              <w:pStyle w:val="21"/>
              <w:spacing w:line="240" w:lineRule="atLeast"/>
              <w:rPr>
                <w:kern w:val="18"/>
                <w:sz w:val="21"/>
                <w:szCs w:val="21"/>
              </w:rPr>
            </w:pPr>
            <w:r>
              <w:rPr>
                <w:kern w:val="18"/>
                <w:sz w:val="21"/>
                <w:szCs w:val="21"/>
              </w:rPr>
              <w:t>GB22337-2008</w:t>
            </w:r>
          </w:p>
        </w:tc>
        <w:tc>
          <w:tcPr>
            <w:tcW w:w="933" w:type="dxa"/>
            <w:vAlign w:val="center"/>
          </w:tcPr>
          <w:p>
            <w:pPr>
              <w:pStyle w:val="21"/>
              <w:spacing w:line="240" w:lineRule="atLeast"/>
              <w:rPr>
                <w:kern w:val="18"/>
                <w:sz w:val="21"/>
                <w:szCs w:val="21"/>
              </w:rPr>
            </w:pPr>
            <w:r>
              <w:rPr>
                <w:rFonts w:hint="eastAsia"/>
                <w:kern w:val="18"/>
                <w:sz w:val="21"/>
                <w:szCs w:val="21"/>
              </w:rPr>
              <w:t>2</w:t>
            </w:r>
            <w:r>
              <w:rPr>
                <w:kern w:val="18"/>
                <w:sz w:val="21"/>
                <w:szCs w:val="21"/>
              </w:rPr>
              <w:t>类</w:t>
            </w:r>
          </w:p>
        </w:tc>
        <w:tc>
          <w:tcPr>
            <w:tcW w:w="1559" w:type="dxa"/>
            <w:gridSpan w:val="4"/>
            <w:tcBorders>
              <w:top w:val="single" w:sz="4" w:space="0" w:color="auto"/>
            </w:tcBorders>
            <w:vAlign w:val="center"/>
          </w:tcPr>
          <w:p>
            <w:pPr>
              <w:pStyle w:val="21"/>
              <w:spacing w:line="240" w:lineRule="atLeast"/>
              <w:rPr>
                <w:rFonts w:hint="eastAsia"/>
                <w:kern w:val="18"/>
                <w:sz w:val="21"/>
                <w:szCs w:val="21"/>
              </w:rPr>
            </w:pPr>
            <w:r>
              <w:rPr>
                <w:rFonts w:hint="eastAsia"/>
                <w:kern w:val="18"/>
                <w:sz w:val="21"/>
                <w:szCs w:val="21"/>
              </w:rPr>
              <w:t>60</w:t>
            </w:r>
          </w:p>
        </w:tc>
        <w:tc>
          <w:tcPr>
            <w:tcW w:w="1703" w:type="dxa"/>
            <w:gridSpan w:val="3"/>
            <w:tcBorders>
              <w:top w:val="single" w:sz="4" w:space="0" w:color="auto"/>
              <w:right w:val="single" w:sz="4" w:space="0" w:color="auto"/>
            </w:tcBorders>
            <w:vAlign w:val="center"/>
          </w:tcPr>
          <w:p>
            <w:pPr>
              <w:pStyle w:val="21"/>
              <w:spacing w:line="240" w:lineRule="atLeast"/>
              <w:rPr>
                <w:rFonts w:hint="eastAsia"/>
                <w:kern w:val="18"/>
                <w:sz w:val="21"/>
                <w:szCs w:val="21"/>
              </w:rPr>
            </w:pPr>
            <w:r>
              <w:rPr>
                <w:rFonts w:hint="eastAsia"/>
                <w:kern w:val="18"/>
                <w:sz w:val="21"/>
                <w:szCs w:val="21"/>
              </w:rPr>
              <w:t>50</w:t>
            </w:r>
          </w:p>
        </w:tc>
        <w:tc>
          <w:tcPr>
            <w:tcW w:w="759" w:type="dxa"/>
            <w:vMerge/>
            <w:tcBorders>
              <w:left w:val="single" w:sz="4" w:space="0" w:color="auto"/>
            </w:tcBorders>
            <w:vAlign w:val="center"/>
          </w:tcPr>
          <w:p>
            <w:pPr>
              <w:pStyle w:val="21"/>
              <w:spacing w:line="240" w:lineRule="atLeast"/>
              <w:rPr>
                <w:w w:val="80"/>
                <w:kern w:val="21"/>
              </w:rPr>
            </w:pPr>
          </w:p>
        </w:tc>
      </w:tr>
      <w:tr>
        <w:tblPrEx>
          <w:tblW w:w="0" w:type="auto"/>
          <w:tblInd w:w="108" w:type="dxa"/>
          <w:tblLayout w:type="fixed"/>
          <w:tblCellMar>
            <w:top w:w="0" w:type="dxa"/>
            <w:left w:w="108" w:type="dxa"/>
            <w:bottom w:w="0" w:type="dxa"/>
            <w:right w:w="108" w:type="dxa"/>
          </w:tblCellMar>
          <w:tblLook w:val="0000"/>
        </w:tblPrEx>
        <w:trPr>
          <w:cantSplit/>
          <w:trHeight w:val="155"/>
        </w:trPr>
        <w:tc>
          <w:tcPr>
            <w:tcW w:w="459" w:type="dxa"/>
            <w:vMerge/>
            <w:vAlign w:val="center"/>
          </w:tcPr>
          <w:p>
            <w:pPr>
              <w:spacing w:line="360" w:lineRule="auto"/>
              <w:jc w:val="center"/>
              <w:rPr>
                <w:b/>
                <w:kern w:val="21"/>
                <w:sz w:val="28"/>
              </w:rPr>
            </w:pPr>
          </w:p>
        </w:tc>
        <w:tc>
          <w:tcPr>
            <w:tcW w:w="675" w:type="dxa"/>
            <w:vMerge/>
            <w:vAlign w:val="center"/>
          </w:tcPr>
          <w:p>
            <w:pPr>
              <w:pStyle w:val="21"/>
              <w:spacing w:line="240" w:lineRule="atLeast"/>
              <w:rPr>
                <w:w w:val="80"/>
                <w:kern w:val="21"/>
              </w:rPr>
            </w:pPr>
          </w:p>
        </w:tc>
        <w:tc>
          <w:tcPr>
            <w:tcW w:w="1276" w:type="dxa"/>
            <w:gridSpan w:val="2"/>
            <w:vMerge/>
            <w:vAlign w:val="center"/>
          </w:tcPr>
          <w:p>
            <w:pPr>
              <w:pStyle w:val="21"/>
              <w:spacing w:line="240" w:lineRule="atLeast"/>
              <w:rPr>
                <w:w w:val="80"/>
                <w:kern w:val="21"/>
              </w:rPr>
            </w:pPr>
          </w:p>
        </w:tc>
        <w:tc>
          <w:tcPr>
            <w:tcW w:w="1619" w:type="dxa"/>
            <w:gridSpan w:val="3"/>
            <w:vMerge/>
            <w:vAlign w:val="center"/>
          </w:tcPr>
          <w:p>
            <w:pPr>
              <w:pStyle w:val="21"/>
              <w:spacing w:line="240" w:lineRule="atLeast"/>
              <w:rPr>
                <w:kern w:val="18"/>
                <w:sz w:val="21"/>
                <w:szCs w:val="21"/>
              </w:rPr>
            </w:pPr>
          </w:p>
        </w:tc>
        <w:tc>
          <w:tcPr>
            <w:tcW w:w="933" w:type="dxa"/>
            <w:vAlign w:val="center"/>
          </w:tcPr>
          <w:p>
            <w:pPr>
              <w:pStyle w:val="21"/>
              <w:spacing w:line="240" w:lineRule="atLeast"/>
              <w:rPr>
                <w:kern w:val="18"/>
                <w:sz w:val="21"/>
                <w:szCs w:val="21"/>
              </w:rPr>
            </w:pPr>
            <w:r>
              <w:rPr>
                <w:kern w:val="18"/>
                <w:sz w:val="21"/>
                <w:szCs w:val="21"/>
              </w:rPr>
              <w:t>4类</w:t>
            </w:r>
          </w:p>
        </w:tc>
        <w:tc>
          <w:tcPr>
            <w:tcW w:w="1559" w:type="dxa"/>
            <w:gridSpan w:val="4"/>
            <w:tcBorders>
              <w:top w:val="single" w:sz="4" w:space="0" w:color="auto"/>
            </w:tcBorders>
            <w:vAlign w:val="center"/>
          </w:tcPr>
          <w:p>
            <w:pPr>
              <w:pStyle w:val="21"/>
              <w:spacing w:line="240" w:lineRule="atLeast"/>
              <w:rPr>
                <w:kern w:val="18"/>
                <w:sz w:val="21"/>
                <w:szCs w:val="21"/>
              </w:rPr>
            </w:pPr>
            <w:r>
              <w:rPr>
                <w:kern w:val="18"/>
                <w:sz w:val="21"/>
                <w:szCs w:val="21"/>
              </w:rPr>
              <w:t>70</w:t>
            </w:r>
          </w:p>
        </w:tc>
        <w:tc>
          <w:tcPr>
            <w:tcW w:w="1703" w:type="dxa"/>
            <w:gridSpan w:val="3"/>
            <w:tcBorders>
              <w:top w:val="single" w:sz="4" w:space="0" w:color="auto"/>
              <w:right w:val="single" w:sz="4" w:space="0" w:color="auto"/>
            </w:tcBorders>
            <w:vAlign w:val="center"/>
          </w:tcPr>
          <w:p>
            <w:pPr>
              <w:pStyle w:val="21"/>
              <w:spacing w:line="240" w:lineRule="atLeast"/>
              <w:rPr>
                <w:kern w:val="18"/>
                <w:sz w:val="21"/>
                <w:szCs w:val="21"/>
              </w:rPr>
            </w:pPr>
            <w:r>
              <w:rPr>
                <w:kern w:val="18"/>
                <w:sz w:val="21"/>
                <w:szCs w:val="21"/>
              </w:rPr>
              <w:t>55</w:t>
            </w:r>
          </w:p>
        </w:tc>
        <w:tc>
          <w:tcPr>
            <w:tcW w:w="759" w:type="dxa"/>
            <w:vMerge/>
            <w:tcBorders>
              <w:left w:val="single" w:sz="4" w:space="0" w:color="auto"/>
            </w:tcBorders>
            <w:vAlign w:val="center"/>
          </w:tcPr>
          <w:p>
            <w:pPr>
              <w:pStyle w:val="21"/>
              <w:spacing w:line="240" w:lineRule="atLeast"/>
              <w:rPr>
                <w:w w:val="80"/>
                <w:kern w:val="21"/>
              </w:rPr>
            </w:pPr>
          </w:p>
        </w:tc>
      </w:tr>
      <w:tr>
        <w:tblPrEx>
          <w:tblW w:w="0" w:type="auto"/>
          <w:tblInd w:w="108" w:type="dxa"/>
          <w:tblLayout w:type="fixed"/>
          <w:tblCellMar>
            <w:top w:w="0" w:type="dxa"/>
            <w:left w:w="108" w:type="dxa"/>
            <w:bottom w:w="0" w:type="dxa"/>
            <w:right w:w="108" w:type="dxa"/>
          </w:tblCellMar>
          <w:tblLook w:val="0000"/>
        </w:tblPrEx>
        <w:trPr>
          <w:cantSplit/>
          <w:trHeight w:hRule="exact" w:val="396"/>
        </w:trPr>
        <w:tc>
          <w:tcPr>
            <w:tcW w:w="459" w:type="dxa"/>
            <w:vMerge/>
            <w:vAlign w:val="center"/>
          </w:tcPr>
          <w:p>
            <w:pPr>
              <w:spacing w:line="360" w:lineRule="auto"/>
              <w:jc w:val="center"/>
              <w:rPr>
                <w:b/>
                <w:kern w:val="21"/>
                <w:sz w:val="28"/>
              </w:rPr>
            </w:pPr>
          </w:p>
        </w:tc>
        <w:tc>
          <w:tcPr>
            <w:tcW w:w="1951" w:type="dxa"/>
            <w:gridSpan w:val="3"/>
            <w:tcBorders>
              <w:top w:val="single" w:sz="4" w:space="0" w:color="auto"/>
            </w:tcBorders>
            <w:vAlign w:val="center"/>
          </w:tcPr>
          <w:p>
            <w:pPr>
              <w:pStyle w:val="21"/>
              <w:spacing w:line="240" w:lineRule="atLeast"/>
              <w:rPr>
                <w:kern w:val="18"/>
                <w:sz w:val="21"/>
                <w:szCs w:val="21"/>
              </w:rPr>
            </w:pPr>
            <w:r>
              <w:rPr>
                <w:kern w:val="18"/>
                <w:sz w:val="21"/>
                <w:szCs w:val="21"/>
              </w:rPr>
              <w:t>固体废物</w:t>
            </w:r>
          </w:p>
        </w:tc>
        <w:tc>
          <w:tcPr>
            <w:tcW w:w="6573" w:type="dxa"/>
            <w:gridSpan w:val="12"/>
            <w:tcBorders>
              <w:top w:val="single" w:sz="4" w:space="0" w:color="auto"/>
            </w:tcBorders>
            <w:vAlign w:val="center"/>
          </w:tcPr>
          <w:p>
            <w:pPr>
              <w:pStyle w:val="21"/>
              <w:spacing w:line="240" w:lineRule="atLeast"/>
              <w:rPr>
                <w:kern w:val="18"/>
                <w:sz w:val="21"/>
                <w:szCs w:val="21"/>
              </w:rPr>
            </w:pPr>
            <w:r>
              <w:rPr>
                <w:kern w:val="18"/>
                <w:sz w:val="21"/>
                <w:szCs w:val="21"/>
              </w:rPr>
              <w:t>执行《中华人民共和国固体废物污染环境防治法》中有关规定</w:t>
            </w:r>
          </w:p>
        </w:tc>
      </w:tr>
      <w:tr>
        <w:tblPrEx>
          <w:tblW w:w="0" w:type="auto"/>
          <w:tblInd w:w="108" w:type="dxa"/>
          <w:tblLayout w:type="fixed"/>
          <w:tblCellMar>
            <w:top w:w="0" w:type="dxa"/>
            <w:left w:w="108" w:type="dxa"/>
            <w:bottom w:w="0" w:type="dxa"/>
            <w:right w:w="108" w:type="dxa"/>
          </w:tblCellMar>
          <w:tblLook w:val="0000"/>
        </w:tblPrEx>
        <w:trPr>
          <w:cantSplit/>
          <w:trHeight w:hRule="exact" w:val="3940"/>
        </w:trPr>
        <w:tc>
          <w:tcPr>
            <w:tcW w:w="8983" w:type="dxa"/>
            <w:gridSpan w:val="16"/>
          </w:tcPr>
          <w:p>
            <w:pPr>
              <w:pStyle w:val="21"/>
              <w:spacing w:line="240" w:lineRule="atLeast"/>
              <w:jc w:val="both"/>
              <w:rPr>
                <w:kern w:val="18"/>
                <w:sz w:val="18"/>
                <w:szCs w:val="18"/>
              </w:rPr>
            </w:pPr>
            <w:r>
              <w:rPr>
                <w:kern w:val="18"/>
                <w:sz w:val="18"/>
                <w:szCs w:val="18"/>
              </w:rPr>
              <w:t>备注</w:t>
            </w:r>
            <w:r>
              <w:rPr>
                <w:rFonts w:hint="eastAsia"/>
                <w:kern w:val="18"/>
                <w:sz w:val="18"/>
                <w:szCs w:val="18"/>
              </w:rPr>
              <w:t>：</w:t>
            </w:r>
            <w:r>
              <w:rPr>
                <w:kern w:val="18"/>
                <w:sz w:val="18"/>
                <w:szCs w:val="18"/>
              </w:rPr>
              <w:t>废水评价因子单位为mg/L；噪声评价因子单位为dB(A)。氨氮执行《污水排入城镇下水道水质标准》(CJ343-2010)B等级</w:t>
            </w:r>
          </w:p>
          <w:p>
            <w:pPr>
              <w:pStyle w:val="21"/>
              <w:spacing w:line="240" w:lineRule="atLeast"/>
              <w:jc w:val="both"/>
              <w:rPr>
                <w:kern w:val="18"/>
                <w:sz w:val="21"/>
                <w:szCs w:val="21"/>
              </w:rPr>
            </w:pPr>
          </w:p>
          <w:p>
            <w:pPr>
              <w:pStyle w:val="21"/>
              <w:spacing w:line="240" w:lineRule="atLeast"/>
              <w:jc w:val="both"/>
              <w:rPr>
                <w:kern w:val="18"/>
                <w:sz w:val="21"/>
                <w:szCs w:val="21"/>
              </w:rPr>
            </w:pPr>
          </w:p>
          <w:p>
            <w:pPr>
              <w:pStyle w:val="21"/>
              <w:spacing w:line="240" w:lineRule="atLeast"/>
              <w:jc w:val="both"/>
              <w:rPr>
                <w:kern w:val="18"/>
                <w:sz w:val="21"/>
                <w:szCs w:val="21"/>
              </w:rPr>
            </w:pPr>
          </w:p>
          <w:p>
            <w:pPr>
              <w:pStyle w:val="21"/>
              <w:spacing w:line="240" w:lineRule="atLeast"/>
              <w:jc w:val="both"/>
              <w:rPr>
                <w:kern w:val="18"/>
                <w:sz w:val="21"/>
                <w:szCs w:val="21"/>
              </w:rPr>
            </w:pPr>
          </w:p>
          <w:p>
            <w:pPr>
              <w:pStyle w:val="21"/>
              <w:spacing w:line="240" w:lineRule="atLeast"/>
              <w:jc w:val="both"/>
              <w:rPr>
                <w:kern w:val="18"/>
                <w:sz w:val="21"/>
                <w:szCs w:val="21"/>
              </w:rPr>
            </w:pPr>
          </w:p>
          <w:p>
            <w:pPr>
              <w:pStyle w:val="21"/>
              <w:spacing w:line="240" w:lineRule="atLeast"/>
              <w:jc w:val="both"/>
              <w:rPr>
                <w:kern w:val="18"/>
                <w:sz w:val="21"/>
                <w:szCs w:val="21"/>
              </w:rPr>
            </w:pPr>
          </w:p>
        </w:tc>
      </w:tr>
    </w:tbl>
    <w:p>
      <w:r>
        <w:br/>
      </w:r>
      <w:r>
        <w:br/>
      </w:r>
    </w:p>
    <w:p>
      <w:pPr>
        <w:widowControl/>
        <w:adjustRightInd/>
        <w:spacing w:line="240" w:lineRule="auto"/>
        <w:jc w:val="left"/>
        <w:textAlignment w:val="auto"/>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04" w:history="1">
        <w:r>
          <w:rPr>
            <w:rFonts w:ascii="SimSun" w:eastAsia="SimSun" w:hAnsi="SimSun" w:cs="SimSun"/>
            <w:b/>
            <w:bCs/>
            <w:color w:val="0000EE"/>
            <w:sz w:val="30"/>
            <w:szCs w:val="30"/>
            <w:u w:val="single" w:color="0000EE"/>
          </w:rPr>
          <w:t>https://d.book118.com/727115104055006044</w:t>
        </w:r>
      </w:hyperlink>
    </w:p>
    <w:p/>
    <w:sectPr>
      <w:headerReference w:type="default" r:id="rId105"/>
      <w:footerReference w:type="even" r:id="rId106"/>
      <w:footerReference w:type="default" r:id="rId107"/>
      <w:headerReference w:type="first" r:id="rId108"/>
      <w:footerReference w:type="first" r:id="rId109"/>
      <w:pgSz w:w="11907" w:h="16840"/>
      <w:pgMar w:top="1418" w:right="1418" w:bottom="1418" w:left="1418" w:header="851" w:footer="992" w:gutter="113"/>
      <w:pgNumType w:start="21"/>
      <w:cols w:space="708"/>
      <w:docGrid w:linePitch="28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黑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 w:name="仿宋_GB2312">
    <w:altName w:val="仿宋"/>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华文中宋">
    <w:panose1 w:val="02010600040101010101"/>
    <w:charset w:val="86"/>
    <w:family w:val="auto"/>
    <w:pitch w:val="default"/>
    <w:sig w:usb0="00000287" w:usb1="080F0000" w:usb2="00000000" w:usb3="00000000" w:csb0="0004009F" w:csb1="DFD70000"/>
  </w:font>
  <w:font w:name="Microsoft JhengHei">
    <w:panose1 w:val="020B0604030504040204"/>
    <w:charset w:val="88"/>
    <w:family w:val="swiss"/>
    <w:pitch w:val="default"/>
    <w:sig w:usb0="000002A7" w:usb1="28CF4400" w:usb2="00000016" w:usb3="00000000" w:csb0="00100009"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4</w:t>
    </w:r>
    <w:r>
      <w:rPr>
        <w:rFonts w:hint="eastAsia"/>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6</w:t>
    </w:r>
    <w:r>
      <w:rPr>
        <w:rFonts w:hint="eastAsia"/>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6</w:t>
    </w:r>
    <w:r>
      <w:rPr>
        <w:rFonts w:hint="eastAsia"/>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7</w:t>
    </w:r>
    <w:r>
      <w:rPr>
        <w:rFonts w:hint="eastAsia"/>
      </w:rP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9</w:t>
    </w:r>
    <w:r>
      <w:rPr>
        <w:rFonts w:hint="eastAsia"/>
      </w:rPr>
      <w:fldChar w:fldCharType="end"/>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10</w:t>
    </w:r>
    <w:r>
      <w:rPr>
        <w:rFonts w:hint="eastAsia"/>
      </w:rPr>
      <w:fldChar w:fldCharType="end"/>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11</w:t>
    </w:r>
    <w:r>
      <w:rPr>
        <w:rFonts w:hint="eastAsia"/>
      </w:rPr>
      <w:fldChar w:fldCharType="end"/>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12</w:t>
    </w:r>
    <w:r>
      <w:rPr>
        <w:rFonts w:hint="eastAsia"/>
      </w:rPr>
      <w:fldChar w:fldCharType="end"/>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14</w:t>
    </w:r>
    <w:r>
      <w:rPr>
        <w:rFonts w:hint="eastAsia"/>
      </w:rPr>
      <w:fldChar w:fldCharType="end"/>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14</w:t>
    </w:r>
    <w:r>
      <w:rPr>
        <w:rFonts w:hint="eastAsia"/>
      </w:rPr>
      <w:fldChar w:fldCharType="end"/>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15</w:t>
    </w:r>
    <w:r>
      <w:rPr>
        <w:rFonts w:hint="eastAsia"/>
      </w:rPr>
      <w:fldChar w:fldCharType="end"/>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16</w:t>
    </w:r>
    <w:r>
      <w:rPr>
        <w:rFonts w:hint="eastAsia"/>
      </w:rPr>
      <w:fldChar w:fldCharType="end"/>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17</w:t>
    </w:r>
    <w:r>
      <w:rPr>
        <w:rFonts w:hint="eastAsia"/>
      </w:rPr>
      <w:fldChar w:fldCharType="end"/>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19</w:t>
    </w:r>
    <w:r>
      <w:rPr>
        <w:rFonts w:hint="eastAsia"/>
      </w:rPr>
      <w:fldChar w:fldCharType="end"/>
    </w: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19</w:t>
    </w:r>
    <w:r>
      <w:rPr>
        <w:rFonts w:hint="eastAsia"/>
      </w:rPr>
      <w:fldChar w:fldCharType="end"/>
    </w: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20</w:t>
    </w:r>
    <w:r>
      <w:rPr>
        <w:rFonts w:hint="eastAsia"/>
      </w:rPr>
      <w:fldChar w:fldCharType="end"/>
    </w: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fldChar w:fldCharType="begin"/>
    </w:r>
    <w:r>
      <w:rPr>
        <w:rStyle w:val="PageNumber"/>
      </w:rPr>
      <w:instrText xml:space="preserve">PAGE  </w:instrText>
    </w:r>
    <w:r>
      <w:fldChar w:fldCharType="separate"/>
    </w:r>
    <w:r>
      <w:fldChar w:fldCharType="end"/>
    </w:r>
  </w:p>
  <w:p>
    <w:pPr>
      <w:pStyle w:val="Footer"/>
      <w:tabs>
        <w:tab w:val="center" w:pos="4153"/>
        <w:tab w:val="right" w:pos="8306"/>
      </w:tabs>
      <w:ind w:right="360"/>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jc w:val="both"/>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7F4678"/>
    <w:multiLevelType w:val="singleLevel"/>
    <w:tmpl w:val="597F4678"/>
    <w:lvl w:ilvl="0">
      <w:start w:val="2"/>
      <w:numFmt w:val="decimal"/>
      <w:suff w:val="nothing"/>
      <w:lvlText w:val="%1、"/>
      <w:lvlJc w:val="left"/>
    </w:lvl>
  </w:abstractNum>
  <w:abstractNum w:abstractNumId="1">
    <w:nsid w:val="599D8DC5"/>
    <w:multiLevelType w:val="singleLevel"/>
    <w:tmpl w:val="599D8DC5"/>
    <w:lvl w:ilvl="0">
      <w:start w:val="1"/>
      <w:numFmt w:val="decimal"/>
      <w:suff w:val="nothing"/>
      <w:lvlText w:val="%1）"/>
      <w:lvlJc w:val="left"/>
    </w:lvl>
  </w:abstractNum>
  <w:abstractNum w:abstractNumId="2">
    <w:nsid w:val="599D8ED1"/>
    <w:multiLevelType w:val="singleLevel"/>
    <w:tmpl w:val="599D8ED1"/>
    <w:lvl w:ilvl="0">
      <w:start w:val="1"/>
      <w:numFmt w:val="decimal"/>
      <w:suff w:val="nothing"/>
      <w:lvlText w:val="%1）"/>
      <w:lvlJc w:val="left"/>
    </w:lvl>
  </w:abstractNum>
  <w:abstractNum w:abstractNumId="3">
    <w:nsid w:val="599D961A"/>
    <w:multiLevelType w:val="singleLevel"/>
    <w:tmpl w:val="599D961A"/>
    <w:lvl w:ilvl="0">
      <w:start w:val="2"/>
      <w:numFmt w:val="decimal"/>
      <w:suff w:val="nothing"/>
      <w:lvlText w:val="（%1）"/>
      <w:lvlJc w:val="left"/>
    </w:lvl>
  </w:abstractNum>
  <w:abstractNum w:abstractNumId="4">
    <w:nsid w:val="599FD1A7"/>
    <w:multiLevelType w:val="singleLevel"/>
    <w:tmpl w:val="599FD1A7"/>
    <w:lvl w:ilvl="0">
      <w:start w:val="1"/>
      <w:numFmt w:val="decimal"/>
      <w:suff w:val="nothing"/>
      <w:lvlText w:val="（%1）"/>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stylePaneFormatFilter w:val="3F01"/>
  <w:defaultTabStop w:val="425"/>
  <w:drawingGridHorizontalSpacing w:val="105"/>
  <w:drawingGridVerticalSpacing w:val="2"/>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1245"/>
    <w:rsid w:val="00003A07"/>
    <w:rsid w:val="0000499B"/>
    <w:rsid w:val="00007ED9"/>
    <w:rsid w:val="00010B28"/>
    <w:rsid w:val="00011B62"/>
    <w:rsid w:val="00011B98"/>
    <w:rsid w:val="000133DC"/>
    <w:rsid w:val="000141D5"/>
    <w:rsid w:val="00014574"/>
    <w:rsid w:val="00014EB9"/>
    <w:rsid w:val="000151B1"/>
    <w:rsid w:val="00016B31"/>
    <w:rsid w:val="00016FE3"/>
    <w:rsid w:val="00020094"/>
    <w:rsid w:val="000210E4"/>
    <w:rsid w:val="000210EB"/>
    <w:rsid w:val="00021748"/>
    <w:rsid w:val="00022358"/>
    <w:rsid w:val="00023F05"/>
    <w:rsid w:val="00024ED7"/>
    <w:rsid w:val="00025123"/>
    <w:rsid w:val="0002764E"/>
    <w:rsid w:val="00027AD1"/>
    <w:rsid w:val="00027C0F"/>
    <w:rsid w:val="000311F5"/>
    <w:rsid w:val="00032151"/>
    <w:rsid w:val="00032261"/>
    <w:rsid w:val="000322FC"/>
    <w:rsid w:val="00034412"/>
    <w:rsid w:val="00034979"/>
    <w:rsid w:val="000354CA"/>
    <w:rsid w:val="000358C9"/>
    <w:rsid w:val="00035E6A"/>
    <w:rsid w:val="0004086F"/>
    <w:rsid w:val="00040920"/>
    <w:rsid w:val="000409EF"/>
    <w:rsid w:val="00040A1F"/>
    <w:rsid w:val="00041066"/>
    <w:rsid w:val="00041BF8"/>
    <w:rsid w:val="00042508"/>
    <w:rsid w:val="000431A0"/>
    <w:rsid w:val="000439BE"/>
    <w:rsid w:val="00043B12"/>
    <w:rsid w:val="000443CE"/>
    <w:rsid w:val="0004502E"/>
    <w:rsid w:val="00045922"/>
    <w:rsid w:val="00045B01"/>
    <w:rsid w:val="00047917"/>
    <w:rsid w:val="00047970"/>
    <w:rsid w:val="000508CA"/>
    <w:rsid w:val="00051325"/>
    <w:rsid w:val="00052D02"/>
    <w:rsid w:val="00053153"/>
    <w:rsid w:val="00055839"/>
    <w:rsid w:val="00057974"/>
    <w:rsid w:val="000602F5"/>
    <w:rsid w:val="00060629"/>
    <w:rsid w:val="00060950"/>
    <w:rsid w:val="00060BFC"/>
    <w:rsid w:val="00060C85"/>
    <w:rsid w:val="00061626"/>
    <w:rsid w:val="00061801"/>
    <w:rsid w:val="0006199A"/>
    <w:rsid w:val="00063FF2"/>
    <w:rsid w:val="00064347"/>
    <w:rsid w:val="00065A05"/>
    <w:rsid w:val="0006614E"/>
    <w:rsid w:val="0006618D"/>
    <w:rsid w:val="000709BD"/>
    <w:rsid w:val="00070FE1"/>
    <w:rsid w:val="00071205"/>
    <w:rsid w:val="00071800"/>
    <w:rsid w:val="0007329B"/>
    <w:rsid w:val="000735FE"/>
    <w:rsid w:val="00073AAD"/>
    <w:rsid w:val="00073E09"/>
    <w:rsid w:val="000741EC"/>
    <w:rsid w:val="00074FD9"/>
    <w:rsid w:val="00075365"/>
    <w:rsid w:val="000754A1"/>
    <w:rsid w:val="000755D4"/>
    <w:rsid w:val="00075719"/>
    <w:rsid w:val="00075752"/>
    <w:rsid w:val="00076055"/>
    <w:rsid w:val="00077878"/>
    <w:rsid w:val="00080DF2"/>
    <w:rsid w:val="000811B7"/>
    <w:rsid w:val="00082301"/>
    <w:rsid w:val="0008495C"/>
    <w:rsid w:val="00084E20"/>
    <w:rsid w:val="00085035"/>
    <w:rsid w:val="00085C61"/>
    <w:rsid w:val="000861C1"/>
    <w:rsid w:val="0008780A"/>
    <w:rsid w:val="00092412"/>
    <w:rsid w:val="000929F3"/>
    <w:rsid w:val="000932CA"/>
    <w:rsid w:val="0009387E"/>
    <w:rsid w:val="00093A70"/>
    <w:rsid w:val="00093D4D"/>
    <w:rsid w:val="00093FA2"/>
    <w:rsid w:val="00094496"/>
    <w:rsid w:val="00094C9B"/>
    <w:rsid w:val="000952B9"/>
    <w:rsid w:val="0009574D"/>
    <w:rsid w:val="00095C98"/>
    <w:rsid w:val="000976E7"/>
    <w:rsid w:val="000A1124"/>
    <w:rsid w:val="000A1ABA"/>
    <w:rsid w:val="000A2E7E"/>
    <w:rsid w:val="000A3273"/>
    <w:rsid w:val="000A3AA2"/>
    <w:rsid w:val="000A47F7"/>
    <w:rsid w:val="000A49CA"/>
    <w:rsid w:val="000A5DD7"/>
    <w:rsid w:val="000A7F3F"/>
    <w:rsid w:val="000B018F"/>
    <w:rsid w:val="000B0975"/>
    <w:rsid w:val="000B1E98"/>
    <w:rsid w:val="000B206B"/>
    <w:rsid w:val="000B22B1"/>
    <w:rsid w:val="000B2496"/>
    <w:rsid w:val="000B2919"/>
    <w:rsid w:val="000B3695"/>
    <w:rsid w:val="000B397A"/>
    <w:rsid w:val="000B5117"/>
    <w:rsid w:val="000B5DDC"/>
    <w:rsid w:val="000B5F1D"/>
    <w:rsid w:val="000B6909"/>
    <w:rsid w:val="000B7304"/>
    <w:rsid w:val="000C1B22"/>
    <w:rsid w:val="000C3120"/>
    <w:rsid w:val="000C44D8"/>
    <w:rsid w:val="000C6F8F"/>
    <w:rsid w:val="000C7ADC"/>
    <w:rsid w:val="000C7DAD"/>
    <w:rsid w:val="000D0153"/>
    <w:rsid w:val="000D068D"/>
    <w:rsid w:val="000D0D69"/>
    <w:rsid w:val="000D1314"/>
    <w:rsid w:val="000D1F38"/>
    <w:rsid w:val="000D24CB"/>
    <w:rsid w:val="000D32C9"/>
    <w:rsid w:val="000D384F"/>
    <w:rsid w:val="000D58C2"/>
    <w:rsid w:val="000D5B76"/>
    <w:rsid w:val="000D7C27"/>
    <w:rsid w:val="000E13E6"/>
    <w:rsid w:val="000E1798"/>
    <w:rsid w:val="000E17C7"/>
    <w:rsid w:val="000E2005"/>
    <w:rsid w:val="000E2364"/>
    <w:rsid w:val="000E34ED"/>
    <w:rsid w:val="000E3625"/>
    <w:rsid w:val="000E4E3D"/>
    <w:rsid w:val="000E584B"/>
    <w:rsid w:val="000E592D"/>
    <w:rsid w:val="000E5A3C"/>
    <w:rsid w:val="000E6B97"/>
    <w:rsid w:val="000E7207"/>
    <w:rsid w:val="000F0DA1"/>
    <w:rsid w:val="000F10FA"/>
    <w:rsid w:val="000F1F08"/>
    <w:rsid w:val="000F33DA"/>
    <w:rsid w:val="000F43E4"/>
    <w:rsid w:val="000F4B33"/>
    <w:rsid w:val="000F7D41"/>
    <w:rsid w:val="0010023A"/>
    <w:rsid w:val="0010106B"/>
    <w:rsid w:val="001018E0"/>
    <w:rsid w:val="00101FD4"/>
    <w:rsid w:val="00103016"/>
    <w:rsid w:val="00103320"/>
    <w:rsid w:val="00103C58"/>
    <w:rsid w:val="00104056"/>
    <w:rsid w:val="00104585"/>
    <w:rsid w:val="00105454"/>
    <w:rsid w:val="00105E2A"/>
    <w:rsid w:val="001066D3"/>
    <w:rsid w:val="0010704F"/>
    <w:rsid w:val="001071A0"/>
    <w:rsid w:val="001078E8"/>
    <w:rsid w:val="001101D8"/>
    <w:rsid w:val="00112144"/>
    <w:rsid w:val="00113D01"/>
    <w:rsid w:val="00113E67"/>
    <w:rsid w:val="0011423D"/>
    <w:rsid w:val="001147C5"/>
    <w:rsid w:val="0011546D"/>
    <w:rsid w:val="00115912"/>
    <w:rsid w:val="001159BC"/>
    <w:rsid w:val="0011670D"/>
    <w:rsid w:val="00117AF3"/>
    <w:rsid w:val="00121AD9"/>
    <w:rsid w:val="001222A4"/>
    <w:rsid w:val="00122437"/>
    <w:rsid w:val="00123A51"/>
    <w:rsid w:val="00124222"/>
    <w:rsid w:val="00124295"/>
    <w:rsid w:val="00124CEF"/>
    <w:rsid w:val="00125AE6"/>
    <w:rsid w:val="00125B78"/>
    <w:rsid w:val="00125CBB"/>
    <w:rsid w:val="0012620F"/>
    <w:rsid w:val="00130A55"/>
    <w:rsid w:val="00130A65"/>
    <w:rsid w:val="001315BB"/>
    <w:rsid w:val="00131C48"/>
    <w:rsid w:val="001349A1"/>
    <w:rsid w:val="00134D31"/>
    <w:rsid w:val="00134F21"/>
    <w:rsid w:val="0013603E"/>
    <w:rsid w:val="00136072"/>
    <w:rsid w:val="0013682C"/>
    <w:rsid w:val="00136A17"/>
    <w:rsid w:val="00140527"/>
    <w:rsid w:val="00140D8A"/>
    <w:rsid w:val="00141469"/>
    <w:rsid w:val="00142866"/>
    <w:rsid w:val="00143AB2"/>
    <w:rsid w:val="00143AF7"/>
    <w:rsid w:val="00144098"/>
    <w:rsid w:val="00146D64"/>
    <w:rsid w:val="00147C68"/>
    <w:rsid w:val="00153048"/>
    <w:rsid w:val="001533DD"/>
    <w:rsid w:val="00153AE6"/>
    <w:rsid w:val="00153CA3"/>
    <w:rsid w:val="00153E42"/>
    <w:rsid w:val="001541D6"/>
    <w:rsid w:val="001548AB"/>
    <w:rsid w:val="00154B5B"/>
    <w:rsid w:val="0015518B"/>
    <w:rsid w:val="00156121"/>
    <w:rsid w:val="00156208"/>
    <w:rsid w:val="0015654F"/>
    <w:rsid w:val="00156861"/>
    <w:rsid w:val="001579BB"/>
    <w:rsid w:val="00160FC1"/>
    <w:rsid w:val="0016145F"/>
    <w:rsid w:val="001642DF"/>
    <w:rsid w:val="0016472E"/>
    <w:rsid w:val="00165556"/>
    <w:rsid w:val="001658EB"/>
    <w:rsid w:val="0016639C"/>
    <w:rsid w:val="00166E07"/>
    <w:rsid w:val="00167340"/>
    <w:rsid w:val="00170019"/>
    <w:rsid w:val="0017105C"/>
    <w:rsid w:val="00171068"/>
    <w:rsid w:val="00171E7A"/>
    <w:rsid w:val="00173B1D"/>
    <w:rsid w:val="00173BAF"/>
    <w:rsid w:val="001744CE"/>
    <w:rsid w:val="001745EE"/>
    <w:rsid w:val="001750AC"/>
    <w:rsid w:val="00176A1A"/>
    <w:rsid w:val="00177B07"/>
    <w:rsid w:val="00180F1D"/>
    <w:rsid w:val="00181B12"/>
    <w:rsid w:val="0018265B"/>
    <w:rsid w:val="00185D0F"/>
    <w:rsid w:val="00185F20"/>
    <w:rsid w:val="00186E38"/>
    <w:rsid w:val="001874D4"/>
    <w:rsid w:val="00193182"/>
    <w:rsid w:val="00193524"/>
    <w:rsid w:val="00195797"/>
    <w:rsid w:val="00195F37"/>
    <w:rsid w:val="001964E9"/>
    <w:rsid w:val="001965BA"/>
    <w:rsid w:val="00196619"/>
    <w:rsid w:val="00196DD8"/>
    <w:rsid w:val="001A31E1"/>
    <w:rsid w:val="001A3495"/>
    <w:rsid w:val="001A4286"/>
    <w:rsid w:val="001A4D08"/>
    <w:rsid w:val="001A528A"/>
    <w:rsid w:val="001A561F"/>
    <w:rsid w:val="001A6862"/>
    <w:rsid w:val="001A788E"/>
    <w:rsid w:val="001A7B6A"/>
    <w:rsid w:val="001A7C0D"/>
    <w:rsid w:val="001B38B7"/>
    <w:rsid w:val="001B4001"/>
    <w:rsid w:val="001B5FA1"/>
    <w:rsid w:val="001B66FE"/>
    <w:rsid w:val="001B77DA"/>
    <w:rsid w:val="001B7951"/>
    <w:rsid w:val="001C0868"/>
    <w:rsid w:val="001C0C2D"/>
    <w:rsid w:val="001C1788"/>
    <w:rsid w:val="001C29BA"/>
    <w:rsid w:val="001C355C"/>
    <w:rsid w:val="001C3DB4"/>
    <w:rsid w:val="001C40AC"/>
    <w:rsid w:val="001C41C9"/>
    <w:rsid w:val="001C4E6F"/>
    <w:rsid w:val="001C4F48"/>
    <w:rsid w:val="001C4FE6"/>
    <w:rsid w:val="001C5E68"/>
    <w:rsid w:val="001C6CB6"/>
    <w:rsid w:val="001C74C8"/>
    <w:rsid w:val="001D0AD2"/>
    <w:rsid w:val="001D1F51"/>
    <w:rsid w:val="001D23D5"/>
    <w:rsid w:val="001D2DB7"/>
    <w:rsid w:val="001D367E"/>
    <w:rsid w:val="001D40F8"/>
    <w:rsid w:val="001D579B"/>
    <w:rsid w:val="001D5EBE"/>
    <w:rsid w:val="001D7ACF"/>
    <w:rsid w:val="001D7B75"/>
    <w:rsid w:val="001D7DBA"/>
    <w:rsid w:val="001D7F84"/>
    <w:rsid w:val="001E0C3D"/>
    <w:rsid w:val="001E1251"/>
    <w:rsid w:val="001E268B"/>
    <w:rsid w:val="001E4ADA"/>
    <w:rsid w:val="001E5292"/>
    <w:rsid w:val="001E5F0C"/>
    <w:rsid w:val="001E693E"/>
    <w:rsid w:val="001E694B"/>
    <w:rsid w:val="001E7B05"/>
    <w:rsid w:val="001F0242"/>
    <w:rsid w:val="001F0EB8"/>
    <w:rsid w:val="001F175E"/>
    <w:rsid w:val="001F2074"/>
    <w:rsid w:val="001F26FD"/>
    <w:rsid w:val="001F3577"/>
    <w:rsid w:val="001F41C9"/>
    <w:rsid w:val="001F42F0"/>
    <w:rsid w:val="001F4798"/>
    <w:rsid w:val="001F6B5C"/>
    <w:rsid w:val="001F6F3A"/>
    <w:rsid w:val="001F74E4"/>
    <w:rsid w:val="0020190D"/>
    <w:rsid w:val="00202818"/>
    <w:rsid w:val="00203189"/>
    <w:rsid w:val="00203403"/>
    <w:rsid w:val="00204DF8"/>
    <w:rsid w:val="0020642F"/>
    <w:rsid w:val="00206C03"/>
    <w:rsid w:val="00206DAF"/>
    <w:rsid w:val="00207DDB"/>
    <w:rsid w:val="002104CB"/>
    <w:rsid w:val="0021065E"/>
    <w:rsid w:val="0021075C"/>
    <w:rsid w:val="00210FEC"/>
    <w:rsid w:val="0021150D"/>
    <w:rsid w:val="00211BED"/>
    <w:rsid w:val="002126C1"/>
    <w:rsid w:val="00212E55"/>
    <w:rsid w:val="002157DC"/>
    <w:rsid w:val="002167A6"/>
    <w:rsid w:val="002178A8"/>
    <w:rsid w:val="002216CE"/>
    <w:rsid w:val="002223F1"/>
    <w:rsid w:val="00222783"/>
    <w:rsid w:val="00222B31"/>
    <w:rsid w:val="0022301F"/>
    <w:rsid w:val="00226F5B"/>
    <w:rsid w:val="00227133"/>
    <w:rsid w:val="00230739"/>
    <w:rsid w:val="00230AE0"/>
    <w:rsid w:val="00230FEF"/>
    <w:rsid w:val="00231324"/>
    <w:rsid w:val="002317F4"/>
    <w:rsid w:val="00232094"/>
    <w:rsid w:val="002328E6"/>
    <w:rsid w:val="00233986"/>
    <w:rsid w:val="002339EB"/>
    <w:rsid w:val="00235316"/>
    <w:rsid w:val="00235B93"/>
    <w:rsid w:val="00236D0C"/>
    <w:rsid w:val="002370E2"/>
    <w:rsid w:val="0023725C"/>
    <w:rsid w:val="00237E6F"/>
    <w:rsid w:val="00240221"/>
    <w:rsid w:val="00241078"/>
    <w:rsid w:val="00241D49"/>
    <w:rsid w:val="00243CBB"/>
    <w:rsid w:val="00245FB5"/>
    <w:rsid w:val="00246215"/>
    <w:rsid w:val="00246EB5"/>
    <w:rsid w:val="00250282"/>
    <w:rsid w:val="002519C1"/>
    <w:rsid w:val="00254E9C"/>
    <w:rsid w:val="00255024"/>
    <w:rsid w:val="00257E2D"/>
    <w:rsid w:val="002608ED"/>
    <w:rsid w:val="00261341"/>
    <w:rsid w:val="002613BB"/>
    <w:rsid w:val="00263EFB"/>
    <w:rsid w:val="00264886"/>
    <w:rsid w:val="00266347"/>
    <w:rsid w:val="00270507"/>
    <w:rsid w:val="00270731"/>
    <w:rsid w:val="0027076D"/>
    <w:rsid w:val="00271291"/>
    <w:rsid w:val="0027164A"/>
    <w:rsid w:val="002731FF"/>
    <w:rsid w:val="002735B4"/>
    <w:rsid w:val="0027366B"/>
    <w:rsid w:val="002739F7"/>
    <w:rsid w:val="002757EC"/>
    <w:rsid w:val="00275E2B"/>
    <w:rsid w:val="00276B26"/>
    <w:rsid w:val="0027750A"/>
    <w:rsid w:val="0028050D"/>
    <w:rsid w:val="00281BDB"/>
    <w:rsid w:val="00281F70"/>
    <w:rsid w:val="002820AB"/>
    <w:rsid w:val="00282B72"/>
    <w:rsid w:val="002859C3"/>
    <w:rsid w:val="002871A5"/>
    <w:rsid w:val="002873A0"/>
    <w:rsid w:val="0028769D"/>
    <w:rsid w:val="00287CBA"/>
    <w:rsid w:val="002908CF"/>
    <w:rsid w:val="00292084"/>
    <w:rsid w:val="002928A0"/>
    <w:rsid w:val="00293679"/>
    <w:rsid w:val="002936A8"/>
    <w:rsid w:val="00293FE8"/>
    <w:rsid w:val="00294509"/>
    <w:rsid w:val="00294D73"/>
    <w:rsid w:val="00295581"/>
    <w:rsid w:val="00295CEF"/>
    <w:rsid w:val="00295EAB"/>
    <w:rsid w:val="002974B9"/>
    <w:rsid w:val="002A16C1"/>
    <w:rsid w:val="002A3933"/>
    <w:rsid w:val="002A41A6"/>
    <w:rsid w:val="002A5036"/>
    <w:rsid w:val="002A5C25"/>
    <w:rsid w:val="002A5F3C"/>
    <w:rsid w:val="002A5FC6"/>
    <w:rsid w:val="002A623E"/>
    <w:rsid w:val="002A6667"/>
    <w:rsid w:val="002A77C4"/>
    <w:rsid w:val="002A7C56"/>
    <w:rsid w:val="002A7DA4"/>
    <w:rsid w:val="002B00F2"/>
    <w:rsid w:val="002B1729"/>
    <w:rsid w:val="002B259C"/>
    <w:rsid w:val="002B25AA"/>
    <w:rsid w:val="002B2C84"/>
    <w:rsid w:val="002B3169"/>
    <w:rsid w:val="002B38AB"/>
    <w:rsid w:val="002B3FE1"/>
    <w:rsid w:val="002B44B5"/>
    <w:rsid w:val="002B53C4"/>
    <w:rsid w:val="002B67CD"/>
    <w:rsid w:val="002B6CD0"/>
    <w:rsid w:val="002B6E22"/>
    <w:rsid w:val="002B7D12"/>
    <w:rsid w:val="002B7F77"/>
    <w:rsid w:val="002C06FB"/>
    <w:rsid w:val="002C09DB"/>
    <w:rsid w:val="002C0B08"/>
    <w:rsid w:val="002C2B3B"/>
    <w:rsid w:val="002C3C2A"/>
    <w:rsid w:val="002C5420"/>
    <w:rsid w:val="002C7298"/>
    <w:rsid w:val="002C794E"/>
    <w:rsid w:val="002C7BA8"/>
    <w:rsid w:val="002C7FF4"/>
    <w:rsid w:val="002D17A7"/>
    <w:rsid w:val="002D2418"/>
    <w:rsid w:val="002D2CDE"/>
    <w:rsid w:val="002D3B73"/>
    <w:rsid w:val="002D3BE9"/>
    <w:rsid w:val="002D3F5D"/>
    <w:rsid w:val="002D40E4"/>
    <w:rsid w:val="002D41B4"/>
    <w:rsid w:val="002D4EA8"/>
    <w:rsid w:val="002D58A3"/>
    <w:rsid w:val="002D62DE"/>
    <w:rsid w:val="002E0D4B"/>
    <w:rsid w:val="002E3F8B"/>
    <w:rsid w:val="002E4677"/>
    <w:rsid w:val="002E55A6"/>
    <w:rsid w:val="002E5C90"/>
    <w:rsid w:val="002E73B5"/>
    <w:rsid w:val="002E7F9E"/>
    <w:rsid w:val="002F187A"/>
    <w:rsid w:val="002F227A"/>
    <w:rsid w:val="002F2DBE"/>
    <w:rsid w:val="002F3018"/>
    <w:rsid w:val="002F59B5"/>
    <w:rsid w:val="002F6180"/>
    <w:rsid w:val="002F67DB"/>
    <w:rsid w:val="002F6D43"/>
    <w:rsid w:val="002F6FE7"/>
    <w:rsid w:val="002F7DD4"/>
    <w:rsid w:val="0030062B"/>
    <w:rsid w:val="003012AA"/>
    <w:rsid w:val="0030181F"/>
    <w:rsid w:val="00301AC0"/>
    <w:rsid w:val="00301B3C"/>
    <w:rsid w:val="003032E5"/>
    <w:rsid w:val="00303576"/>
    <w:rsid w:val="0030425D"/>
    <w:rsid w:val="0030429B"/>
    <w:rsid w:val="003046F0"/>
    <w:rsid w:val="0030516C"/>
    <w:rsid w:val="0030556B"/>
    <w:rsid w:val="00305E31"/>
    <w:rsid w:val="00305E9C"/>
    <w:rsid w:val="0030616B"/>
    <w:rsid w:val="00306396"/>
    <w:rsid w:val="00310F7B"/>
    <w:rsid w:val="00311088"/>
    <w:rsid w:val="003117E3"/>
    <w:rsid w:val="00311FFB"/>
    <w:rsid w:val="00312D2F"/>
    <w:rsid w:val="003134B2"/>
    <w:rsid w:val="00313647"/>
    <w:rsid w:val="003147E3"/>
    <w:rsid w:val="003151CF"/>
    <w:rsid w:val="003176C8"/>
    <w:rsid w:val="00317A80"/>
    <w:rsid w:val="00317AFE"/>
    <w:rsid w:val="00320BE9"/>
    <w:rsid w:val="00322468"/>
    <w:rsid w:val="00322EA3"/>
    <w:rsid w:val="0032379D"/>
    <w:rsid w:val="00324127"/>
    <w:rsid w:val="0032442C"/>
    <w:rsid w:val="00324892"/>
    <w:rsid w:val="00324F9E"/>
    <w:rsid w:val="0032599E"/>
    <w:rsid w:val="00326F2B"/>
    <w:rsid w:val="00327EDE"/>
    <w:rsid w:val="003317F4"/>
    <w:rsid w:val="00332DC0"/>
    <w:rsid w:val="003340E3"/>
    <w:rsid w:val="003355FB"/>
    <w:rsid w:val="00336EAB"/>
    <w:rsid w:val="0033791D"/>
    <w:rsid w:val="00337AB3"/>
    <w:rsid w:val="0034009B"/>
    <w:rsid w:val="003404E2"/>
    <w:rsid w:val="00341638"/>
    <w:rsid w:val="00343233"/>
    <w:rsid w:val="00343F58"/>
    <w:rsid w:val="00344564"/>
    <w:rsid w:val="00344D1F"/>
    <w:rsid w:val="00344D6B"/>
    <w:rsid w:val="00345A3D"/>
    <w:rsid w:val="00345FB7"/>
    <w:rsid w:val="00346280"/>
    <w:rsid w:val="00346465"/>
    <w:rsid w:val="003464AE"/>
    <w:rsid w:val="003473D5"/>
    <w:rsid w:val="003474FA"/>
    <w:rsid w:val="00347518"/>
    <w:rsid w:val="00350ECF"/>
    <w:rsid w:val="00351C6E"/>
    <w:rsid w:val="00351D1E"/>
    <w:rsid w:val="003526FE"/>
    <w:rsid w:val="003537B0"/>
    <w:rsid w:val="003538BF"/>
    <w:rsid w:val="003544FC"/>
    <w:rsid w:val="00355FFE"/>
    <w:rsid w:val="003562CF"/>
    <w:rsid w:val="00356C89"/>
    <w:rsid w:val="00357585"/>
    <w:rsid w:val="00357DEA"/>
    <w:rsid w:val="00360137"/>
    <w:rsid w:val="003606B1"/>
    <w:rsid w:val="0036195B"/>
    <w:rsid w:val="00362C74"/>
    <w:rsid w:val="003639E4"/>
    <w:rsid w:val="00363D3D"/>
    <w:rsid w:val="003648C9"/>
    <w:rsid w:val="00364F4F"/>
    <w:rsid w:val="00365F27"/>
    <w:rsid w:val="00366762"/>
    <w:rsid w:val="0036757B"/>
    <w:rsid w:val="00367BC2"/>
    <w:rsid w:val="00367E5C"/>
    <w:rsid w:val="003714A0"/>
    <w:rsid w:val="00371929"/>
    <w:rsid w:val="00371A1F"/>
    <w:rsid w:val="00373D74"/>
    <w:rsid w:val="003767C5"/>
    <w:rsid w:val="00380674"/>
    <w:rsid w:val="00380DEF"/>
    <w:rsid w:val="00381BA4"/>
    <w:rsid w:val="00383398"/>
    <w:rsid w:val="00384795"/>
    <w:rsid w:val="003847AA"/>
    <w:rsid w:val="00384A4C"/>
    <w:rsid w:val="00386158"/>
    <w:rsid w:val="003864E7"/>
    <w:rsid w:val="0038787C"/>
    <w:rsid w:val="0039065A"/>
    <w:rsid w:val="00390CD9"/>
    <w:rsid w:val="00392903"/>
    <w:rsid w:val="00392F8F"/>
    <w:rsid w:val="003943D1"/>
    <w:rsid w:val="00394D0A"/>
    <w:rsid w:val="00394F4C"/>
    <w:rsid w:val="00396041"/>
    <w:rsid w:val="0039617D"/>
    <w:rsid w:val="003969B4"/>
    <w:rsid w:val="003A0AB6"/>
    <w:rsid w:val="003A106D"/>
    <w:rsid w:val="003A28A5"/>
    <w:rsid w:val="003A4EB9"/>
    <w:rsid w:val="003A522D"/>
    <w:rsid w:val="003A60A6"/>
    <w:rsid w:val="003A6404"/>
    <w:rsid w:val="003A65E1"/>
    <w:rsid w:val="003A7654"/>
    <w:rsid w:val="003A76E6"/>
    <w:rsid w:val="003A7DFE"/>
    <w:rsid w:val="003B0436"/>
    <w:rsid w:val="003B1BCE"/>
    <w:rsid w:val="003B28BD"/>
    <w:rsid w:val="003B2E0D"/>
    <w:rsid w:val="003B2FB0"/>
    <w:rsid w:val="003B3027"/>
    <w:rsid w:val="003B47EB"/>
    <w:rsid w:val="003B4888"/>
    <w:rsid w:val="003B4936"/>
    <w:rsid w:val="003B51E6"/>
    <w:rsid w:val="003B57DF"/>
    <w:rsid w:val="003B6141"/>
    <w:rsid w:val="003B6768"/>
    <w:rsid w:val="003B778B"/>
    <w:rsid w:val="003C00E1"/>
    <w:rsid w:val="003C0397"/>
    <w:rsid w:val="003C0594"/>
    <w:rsid w:val="003C1183"/>
    <w:rsid w:val="003C20CA"/>
    <w:rsid w:val="003C2769"/>
    <w:rsid w:val="003C2881"/>
    <w:rsid w:val="003C411F"/>
    <w:rsid w:val="003C4737"/>
    <w:rsid w:val="003C49E7"/>
    <w:rsid w:val="003C49F3"/>
    <w:rsid w:val="003C668F"/>
    <w:rsid w:val="003C70FC"/>
    <w:rsid w:val="003C72F1"/>
    <w:rsid w:val="003C7640"/>
    <w:rsid w:val="003C7D7D"/>
    <w:rsid w:val="003D010F"/>
    <w:rsid w:val="003D0758"/>
    <w:rsid w:val="003D085D"/>
    <w:rsid w:val="003D1BE9"/>
    <w:rsid w:val="003D1E9C"/>
    <w:rsid w:val="003D3B8F"/>
    <w:rsid w:val="003D3C17"/>
    <w:rsid w:val="003D3D5C"/>
    <w:rsid w:val="003D48CA"/>
    <w:rsid w:val="003D4EBC"/>
    <w:rsid w:val="003D50BA"/>
    <w:rsid w:val="003D55FC"/>
    <w:rsid w:val="003D7197"/>
    <w:rsid w:val="003E1650"/>
    <w:rsid w:val="003E19CE"/>
    <w:rsid w:val="003E1BF7"/>
    <w:rsid w:val="003E29DD"/>
    <w:rsid w:val="003E3456"/>
    <w:rsid w:val="003E3679"/>
    <w:rsid w:val="003E3B2B"/>
    <w:rsid w:val="003E419F"/>
    <w:rsid w:val="003E4AA8"/>
    <w:rsid w:val="003E5DB4"/>
    <w:rsid w:val="003E64ED"/>
    <w:rsid w:val="003E665F"/>
    <w:rsid w:val="003E6A8C"/>
    <w:rsid w:val="003F0F0B"/>
    <w:rsid w:val="003F1CC5"/>
    <w:rsid w:val="003F3376"/>
    <w:rsid w:val="003F385E"/>
    <w:rsid w:val="003F3E5F"/>
    <w:rsid w:val="003F41C9"/>
    <w:rsid w:val="003F4C57"/>
    <w:rsid w:val="003F692E"/>
    <w:rsid w:val="003F7080"/>
    <w:rsid w:val="003F7350"/>
    <w:rsid w:val="003F7E53"/>
    <w:rsid w:val="00402EE5"/>
    <w:rsid w:val="004035A0"/>
    <w:rsid w:val="00404166"/>
    <w:rsid w:val="00405B6A"/>
    <w:rsid w:val="00406AB9"/>
    <w:rsid w:val="0040722B"/>
    <w:rsid w:val="00407490"/>
    <w:rsid w:val="004102AB"/>
    <w:rsid w:val="004110F0"/>
    <w:rsid w:val="004136F1"/>
    <w:rsid w:val="00414139"/>
    <w:rsid w:val="00414169"/>
    <w:rsid w:val="004147BE"/>
    <w:rsid w:val="00416361"/>
    <w:rsid w:val="00416882"/>
    <w:rsid w:val="004175FD"/>
    <w:rsid w:val="00417C1A"/>
    <w:rsid w:val="0042027A"/>
    <w:rsid w:val="004219E2"/>
    <w:rsid w:val="00422CF5"/>
    <w:rsid w:val="00422FC0"/>
    <w:rsid w:val="0042301B"/>
    <w:rsid w:val="00423ABA"/>
    <w:rsid w:val="00423E0C"/>
    <w:rsid w:val="0042724D"/>
    <w:rsid w:val="004304F4"/>
    <w:rsid w:val="004314E5"/>
    <w:rsid w:val="00431619"/>
    <w:rsid w:val="00433893"/>
    <w:rsid w:val="00434058"/>
    <w:rsid w:val="00434563"/>
    <w:rsid w:val="00434DF6"/>
    <w:rsid w:val="00435858"/>
    <w:rsid w:val="0043606D"/>
    <w:rsid w:val="00436CFA"/>
    <w:rsid w:val="0044011A"/>
    <w:rsid w:val="004413D5"/>
    <w:rsid w:val="00441467"/>
    <w:rsid w:val="004418AF"/>
    <w:rsid w:val="00442DFF"/>
    <w:rsid w:val="00442F75"/>
    <w:rsid w:val="00444FCA"/>
    <w:rsid w:val="004467BC"/>
    <w:rsid w:val="00446DF0"/>
    <w:rsid w:val="00451E4D"/>
    <w:rsid w:val="00452EB2"/>
    <w:rsid w:val="0045352F"/>
    <w:rsid w:val="00453908"/>
    <w:rsid w:val="004542C8"/>
    <w:rsid w:val="0045505B"/>
    <w:rsid w:val="004560B4"/>
    <w:rsid w:val="004561B0"/>
    <w:rsid w:val="004565C2"/>
    <w:rsid w:val="0045677F"/>
    <w:rsid w:val="0046023F"/>
    <w:rsid w:val="00461B58"/>
    <w:rsid w:val="00461B7B"/>
    <w:rsid w:val="00461D83"/>
    <w:rsid w:val="00462601"/>
    <w:rsid w:val="004627F7"/>
    <w:rsid w:val="00463305"/>
    <w:rsid w:val="004634CF"/>
    <w:rsid w:val="004634E7"/>
    <w:rsid w:val="00463842"/>
    <w:rsid w:val="004654B4"/>
    <w:rsid w:val="00467509"/>
    <w:rsid w:val="0046793F"/>
    <w:rsid w:val="00470117"/>
    <w:rsid w:val="0047032E"/>
    <w:rsid w:val="00470F2D"/>
    <w:rsid w:val="00470FE9"/>
    <w:rsid w:val="00472D2A"/>
    <w:rsid w:val="00472F0B"/>
    <w:rsid w:val="00473731"/>
    <w:rsid w:val="004746F9"/>
    <w:rsid w:val="00474908"/>
    <w:rsid w:val="00474AE5"/>
    <w:rsid w:val="00477B25"/>
    <w:rsid w:val="00481E40"/>
    <w:rsid w:val="004825E5"/>
    <w:rsid w:val="0048400E"/>
    <w:rsid w:val="004840E3"/>
    <w:rsid w:val="00484AA8"/>
    <w:rsid w:val="00485659"/>
    <w:rsid w:val="004862FD"/>
    <w:rsid w:val="004865EC"/>
    <w:rsid w:val="00490ABB"/>
    <w:rsid w:val="00491B6D"/>
    <w:rsid w:val="004953E8"/>
    <w:rsid w:val="004967D2"/>
    <w:rsid w:val="00496DED"/>
    <w:rsid w:val="00496FFE"/>
    <w:rsid w:val="00497F7D"/>
    <w:rsid w:val="004A10FC"/>
    <w:rsid w:val="004A2A1E"/>
    <w:rsid w:val="004A2CE5"/>
    <w:rsid w:val="004A423F"/>
    <w:rsid w:val="004A4C4F"/>
    <w:rsid w:val="004A4CEF"/>
    <w:rsid w:val="004A717F"/>
    <w:rsid w:val="004A747A"/>
    <w:rsid w:val="004A7587"/>
    <w:rsid w:val="004A7CB8"/>
    <w:rsid w:val="004B0039"/>
    <w:rsid w:val="004B081C"/>
    <w:rsid w:val="004B08D3"/>
    <w:rsid w:val="004B0F7B"/>
    <w:rsid w:val="004B1283"/>
    <w:rsid w:val="004B27A6"/>
    <w:rsid w:val="004B2CAC"/>
    <w:rsid w:val="004B4907"/>
    <w:rsid w:val="004B6255"/>
    <w:rsid w:val="004B6AD0"/>
    <w:rsid w:val="004B72D6"/>
    <w:rsid w:val="004B7470"/>
    <w:rsid w:val="004B7562"/>
    <w:rsid w:val="004B7828"/>
    <w:rsid w:val="004C0645"/>
    <w:rsid w:val="004C0A36"/>
    <w:rsid w:val="004C0FEF"/>
    <w:rsid w:val="004C171B"/>
    <w:rsid w:val="004C2847"/>
    <w:rsid w:val="004C2F7B"/>
    <w:rsid w:val="004C40CD"/>
    <w:rsid w:val="004C5FDD"/>
    <w:rsid w:val="004C72E5"/>
    <w:rsid w:val="004D110A"/>
    <w:rsid w:val="004D1D6E"/>
    <w:rsid w:val="004D2224"/>
    <w:rsid w:val="004D24B8"/>
    <w:rsid w:val="004D4A6F"/>
    <w:rsid w:val="004D4EFE"/>
    <w:rsid w:val="004D500B"/>
    <w:rsid w:val="004D6095"/>
    <w:rsid w:val="004D6EF6"/>
    <w:rsid w:val="004D7080"/>
    <w:rsid w:val="004D747B"/>
    <w:rsid w:val="004D79B4"/>
    <w:rsid w:val="004D7AB7"/>
    <w:rsid w:val="004E0F5B"/>
    <w:rsid w:val="004E20B6"/>
    <w:rsid w:val="004E4BF5"/>
    <w:rsid w:val="004E61DD"/>
    <w:rsid w:val="004E7E93"/>
    <w:rsid w:val="004F0721"/>
    <w:rsid w:val="004F2003"/>
    <w:rsid w:val="004F3304"/>
    <w:rsid w:val="004F3753"/>
    <w:rsid w:val="004F39BF"/>
    <w:rsid w:val="004F4A8D"/>
    <w:rsid w:val="004F518C"/>
    <w:rsid w:val="004F65FB"/>
    <w:rsid w:val="004F6727"/>
    <w:rsid w:val="004F67DB"/>
    <w:rsid w:val="004F6E31"/>
    <w:rsid w:val="004F6E3B"/>
    <w:rsid w:val="004F7D7D"/>
    <w:rsid w:val="004F7E26"/>
    <w:rsid w:val="005000FF"/>
    <w:rsid w:val="00500B73"/>
    <w:rsid w:val="00501135"/>
    <w:rsid w:val="005029E2"/>
    <w:rsid w:val="00503762"/>
    <w:rsid w:val="005037C9"/>
    <w:rsid w:val="00504198"/>
    <w:rsid w:val="005043B0"/>
    <w:rsid w:val="00505146"/>
    <w:rsid w:val="005066AC"/>
    <w:rsid w:val="00506C73"/>
    <w:rsid w:val="0050704B"/>
    <w:rsid w:val="005104B2"/>
    <w:rsid w:val="005112DC"/>
    <w:rsid w:val="00511515"/>
    <w:rsid w:val="005125A4"/>
    <w:rsid w:val="00512AFB"/>
    <w:rsid w:val="0051421B"/>
    <w:rsid w:val="00514AC5"/>
    <w:rsid w:val="00515246"/>
    <w:rsid w:val="0051727F"/>
    <w:rsid w:val="00521409"/>
    <w:rsid w:val="00521F39"/>
    <w:rsid w:val="0052431A"/>
    <w:rsid w:val="0052664D"/>
    <w:rsid w:val="00526CF3"/>
    <w:rsid w:val="005279BE"/>
    <w:rsid w:val="00530184"/>
    <w:rsid w:val="00531BC4"/>
    <w:rsid w:val="00535ADA"/>
    <w:rsid w:val="0053665D"/>
    <w:rsid w:val="00540071"/>
    <w:rsid w:val="00542A3A"/>
    <w:rsid w:val="00542EDA"/>
    <w:rsid w:val="0054718B"/>
    <w:rsid w:val="00547658"/>
    <w:rsid w:val="005478C4"/>
    <w:rsid w:val="005510A6"/>
    <w:rsid w:val="005516AB"/>
    <w:rsid w:val="005516C1"/>
    <w:rsid w:val="00551D12"/>
    <w:rsid w:val="0055211A"/>
    <w:rsid w:val="005529C6"/>
    <w:rsid w:val="005542A6"/>
    <w:rsid w:val="005554E3"/>
    <w:rsid w:val="0055596B"/>
    <w:rsid w:val="00555AA5"/>
    <w:rsid w:val="00555C6F"/>
    <w:rsid w:val="00556F3D"/>
    <w:rsid w:val="00557310"/>
    <w:rsid w:val="0056033C"/>
    <w:rsid w:val="00560A47"/>
    <w:rsid w:val="00560A8B"/>
    <w:rsid w:val="00561D17"/>
    <w:rsid w:val="00562E84"/>
    <w:rsid w:val="00563D06"/>
    <w:rsid w:val="005645AF"/>
    <w:rsid w:val="00564662"/>
    <w:rsid w:val="00564D17"/>
    <w:rsid w:val="0056533B"/>
    <w:rsid w:val="00566513"/>
    <w:rsid w:val="00566AB1"/>
    <w:rsid w:val="00567338"/>
    <w:rsid w:val="0056740B"/>
    <w:rsid w:val="00567EFB"/>
    <w:rsid w:val="005702A7"/>
    <w:rsid w:val="00572511"/>
    <w:rsid w:val="00572D5B"/>
    <w:rsid w:val="00572FBA"/>
    <w:rsid w:val="005737FC"/>
    <w:rsid w:val="00573B92"/>
    <w:rsid w:val="005740C0"/>
    <w:rsid w:val="00575595"/>
    <w:rsid w:val="00576E91"/>
    <w:rsid w:val="0057785C"/>
    <w:rsid w:val="00580874"/>
    <w:rsid w:val="00581546"/>
    <w:rsid w:val="0058169E"/>
    <w:rsid w:val="00581B33"/>
    <w:rsid w:val="00581EEB"/>
    <w:rsid w:val="00582DAB"/>
    <w:rsid w:val="0058398F"/>
    <w:rsid w:val="00584705"/>
    <w:rsid w:val="00584D85"/>
    <w:rsid w:val="00586B62"/>
    <w:rsid w:val="00586D01"/>
    <w:rsid w:val="00587FF8"/>
    <w:rsid w:val="00590039"/>
    <w:rsid w:val="005933A5"/>
    <w:rsid w:val="005944CB"/>
    <w:rsid w:val="00595B89"/>
    <w:rsid w:val="00595BAC"/>
    <w:rsid w:val="00596694"/>
    <w:rsid w:val="005974BE"/>
    <w:rsid w:val="005979B4"/>
    <w:rsid w:val="00597E29"/>
    <w:rsid w:val="00597F00"/>
    <w:rsid w:val="005A0F05"/>
    <w:rsid w:val="005A17BE"/>
    <w:rsid w:val="005A2343"/>
    <w:rsid w:val="005A2F26"/>
    <w:rsid w:val="005A3E74"/>
    <w:rsid w:val="005A423D"/>
    <w:rsid w:val="005A4714"/>
    <w:rsid w:val="005A4B6F"/>
    <w:rsid w:val="005A5686"/>
    <w:rsid w:val="005A6210"/>
    <w:rsid w:val="005A697F"/>
    <w:rsid w:val="005B37A0"/>
    <w:rsid w:val="005B4090"/>
    <w:rsid w:val="005B4AE3"/>
    <w:rsid w:val="005B4F44"/>
    <w:rsid w:val="005B6407"/>
    <w:rsid w:val="005B6736"/>
    <w:rsid w:val="005C0B6B"/>
    <w:rsid w:val="005C0C67"/>
    <w:rsid w:val="005C129A"/>
    <w:rsid w:val="005C16C3"/>
    <w:rsid w:val="005C30CE"/>
    <w:rsid w:val="005C45A7"/>
    <w:rsid w:val="005C5372"/>
    <w:rsid w:val="005D14B5"/>
    <w:rsid w:val="005D15BE"/>
    <w:rsid w:val="005D1A1C"/>
    <w:rsid w:val="005D21B2"/>
    <w:rsid w:val="005D2A3F"/>
    <w:rsid w:val="005D3B5B"/>
    <w:rsid w:val="005D4578"/>
    <w:rsid w:val="005D62C8"/>
    <w:rsid w:val="005D73F4"/>
    <w:rsid w:val="005D7811"/>
    <w:rsid w:val="005D794A"/>
    <w:rsid w:val="005D7E98"/>
    <w:rsid w:val="005E0D95"/>
    <w:rsid w:val="005E1565"/>
    <w:rsid w:val="005E17D3"/>
    <w:rsid w:val="005E19D1"/>
    <w:rsid w:val="005E259F"/>
    <w:rsid w:val="005E54E6"/>
    <w:rsid w:val="005E5A26"/>
    <w:rsid w:val="005E7604"/>
    <w:rsid w:val="005E768A"/>
    <w:rsid w:val="005E78D9"/>
    <w:rsid w:val="005E7FD4"/>
    <w:rsid w:val="005F0B1A"/>
    <w:rsid w:val="005F13F4"/>
    <w:rsid w:val="005F2A59"/>
    <w:rsid w:val="005F3847"/>
    <w:rsid w:val="005F38E4"/>
    <w:rsid w:val="005F40C4"/>
    <w:rsid w:val="005F4F24"/>
    <w:rsid w:val="005F54AC"/>
    <w:rsid w:val="005F62F6"/>
    <w:rsid w:val="005F6777"/>
    <w:rsid w:val="005F7C59"/>
    <w:rsid w:val="005F7DF9"/>
    <w:rsid w:val="00602403"/>
    <w:rsid w:val="00602C3A"/>
    <w:rsid w:val="00603226"/>
    <w:rsid w:val="0060346A"/>
    <w:rsid w:val="006052CB"/>
    <w:rsid w:val="00605413"/>
    <w:rsid w:val="00605B25"/>
    <w:rsid w:val="00605EED"/>
    <w:rsid w:val="00607636"/>
    <w:rsid w:val="00607682"/>
    <w:rsid w:val="00613385"/>
    <w:rsid w:val="006134A0"/>
    <w:rsid w:val="0061371B"/>
    <w:rsid w:val="0061382E"/>
    <w:rsid w:val="00614869"/>
    <w:rsid w:val="00616E8A"/>
    <w:rsid w:val="00617571"/>
    <w:rsid w:val="0062022D"/>
    <w:rsid w:val="006206D3"/>
    <w:rsid w:val="00622449"/>
    <w:rsid w:val="00623DA5"/>
    <w:rsid w:val="00624755"/>
    <w:rsid w:val="0062476C"/>
    <w:rsid w:val="006252B2"/>
    <w:rsid w:val="0062583C"/>
    <w:rsid w:val="00625A72"/>
    <w:rsid w:val="00625C28"/>
    <w:rsid w:val="00626B24"/>
    <w:rsid w:val="0062717D"/>
    <w:rsid w:val="00627663"/>
    <w:rsid w:val="00630779"/>
    <w:rsid w:val="00630ADC"/>
    <w:rsid w:val="00631ED9"/>
    <w:rsid w:val="00634B57"/>
    <w:rsid w:val="00635627"/>
    <w:rsid w:val="0063656E"/>
    <w:rsid w:val="00641006"/>
    <w:rsid w:val="00641DD7"/>
    <w:rsid w:val="00642135"/>
    <w:rsid w:val="0064263E"/>
    <w:rsid w:val="00642871"/>
    <w:rsid w:val="00643338"/>
    <w:rsid w:val="00643572"/>
    <w:rsid w:val="00643D89"/>
    <w:rsid w:val="00644264"/>
    <w:rsid w:val="006444DF"/>
    <w:rsid w:val="00644665"/>
    <w:rsid w:val="006447B9"/>
    <w:rsid w:val="0064593A"/>
    <w:rsid w:val="00645B49"/>
    <w:rsid w:val="006463E6"/>
    <w:rsid w:val="00647CFE"/>
    <w:rsid w:val="00647E88"/>
    <w:rsid w:val="006503FF"/>
    <w:rsid w:val="0065055B"/>
    <w:rsid w:val="00650BF8"/>
    <w:rsid w:val="006514F8"/>
    <w:rsid w:val="00651F21"/>
    <w:rsid w:val="00652AFE"/>
    <w:rsid w:val="00652B90"/>
    <w:rsid w:val="006530A7"/>
    <w:rsid w:val="00653EC3"/>
    <w:rsid w:val="00653F1E"/>
    <w:rsid w:val="00655B6A"/>
    <w:rsid w:val="00656397"/>
    <w:rsid w:val="00656647"/>
    <w:rsid w:val="0065682E"/>
    <w:rsid w:val="00656E04"/>
    <w:rsid w:val="00656FB3"/>
    <w:rsid w:val="0065714A"/>
    <w:rsid w:val="006572E8"/>
    <w:rsid w:val="006573D4"/>
    <w:rsid w:val="006600CE"/>
    <w:rsid w:val="00660479"/>
    <w:rsid w:val="006609E3"/>
    <w:rsid w:val="00660EEE"/>
    <w:rsid w:val="00662D10"/>
    <w:rsid w:val="00663245"/>
    <w:rsid w:val="00663823"/>
    <w:rsid w:val="0066397A"/>
    <w:rsid w:val="006660EE"/>
    <w:rsid w:val="00666920"/>
    <w:rsid w:val="00667D42"/>
    <w:rsid w:val="00670501"/>
    <w:rsid w:val="00670EAF"/>
    <w:rsid w:val="00671819"/>
    <w:rsid w:val="00671D73"/>
    <w:rsid w:val="00672433"/>
    <w:rsid w:val="00672880"/>
    <w:rsid w:val="0067292D"/>
    <w:rsid w:val="00673423"/>
    <w:rsid w:val="0067356C"/>
    <w:rsid w:val="00673FED"/>
    <w:rsid w:val="0067724C"/>
    <w:rsid w:val="00677D9E"/>
    <w:rsid w:val="00680957"/>
    <w:rsid w:val="00681F36"/>
    <w:rsid w:val="006845BF"/>
    <w:rsid w:val="00684C91"/>
    <w:rsid w:val="0068526A"/>
    <w:rsid w:val="006860F7"/>
    <w:rsid w:val="0068686E"/>
    <w:rsid w:val="00686B6E"/>
    <w:rsid w:val="00686F2A"/>
    <w:rsid w:val="00687A98"/>
    <w:rsid w:val="00690769"/>
    <w:rsid w:val="0069176D"/>
    <w:rsid w:val="0069183F"/>
    <w:rsid w:val="00691B07"/>
    <w:rsid w:val="00691B32"/>
    <w:rsid w:val="00692D6C"/>
    <w:rsid w:val="00693150"/>
    <w:rsid w:val="0069341F"/>
    <w:rsid w:val="006943A1"/>
    <w:rsid w:val="006956E2"/>
    <w:rsid w:val="00695BCC"/>
    <w:rsid w:val="00696D4E"/>
    <w:rsid w:val="006977FD"/>
    <w:rsid w:val="00697C9C"/>
    <w:rsid w:val="00697CBA"/>
    <w:rsid w:val="006A0A6B"/>
    <w:rsid w:val="006A18C4"/>
    <w:rsid w:val="006A1C9C"/>
    <w:rsid w:val="006A312A"/>
    <w:rsid w:val="006A34FE"/>
    <w:rsid w:val="006A3992"/>
    <w:rsid w:val="006A69D7"/>
    <w:rsid w:val="006A71EC"/>
    <w:rsid w:val="006A7B11"/>
    <w:rsid w:val="006B0769"/>
    <w:rsid w:val="006B0DA7"/>
    <w:rsid w:val="006B11FE"/>
    <w:rsid w:val="006B14D2"/>
    <w:rsid w:val="006B170E"/>
    <w:rsid w:val="006B1FC6"/>
    <w:rsid w:val="006B361A"/>
    <w:rsid w:val="006B3E21"/>
    <w:rsid w:val="006B45C4"/>
    <w:rsid w:val="006B59A2"/>
    <w:rsid w:val="006B6D6C"/>
    <w:rsid w:val="006B7413"/>
    <w:rsid w:val="006C0D89"/>
    <w:rsid w:val="006C1146"/>
    <w:rsid w:val="006C1C65"/>
    <w:rsid w:val="006C2F2D"/>
    <w:rsid w:val="006C4B24"/>
    <w:rsid w:val="006C6664"/>
    <w:rsid w:val="006C7127"/>
    <w:rsid w:val="006D1187"/>
    <w:rsid w:val="006D1C22"/>
    <w:rsid w:val="006D2456"/>
    <w:rsid w:val="006D2855"/>
    <w:rsid w:val="006D2DF4"/>
    <w:rsid w:val="006D3C84"/>
    <w:rsid w:val="006D669B"/>
    <w:rsid w:val="006D67E5"/>
    <w:rsid w:val="006D75FA"/>
    <w:rsid w:val="006D7CD2"/>
    <w:rsid w:val="006E2EFB"/>
    <w:rsid w:val="006E3845"/>
    <w:rsid w:val="006E470B"/>
    <w:rsid w:val="006E5923"/>
    <w:rsid w:val="006E68B0"/>
    <w:rsid w:val="006E7378"/>
    <w:rsid w:val="006E77F4"/>
    <w:rsid w:val="006F0F9D"/>
    <w:rsid w:val="006F1751"/>
    <w:rsid w:val="006F237E"/>
    <w:rsid w:val="006F2693"/>
    <w:rsid w:val="006F3860"/>
    <w:rsid w:val="006F4FB3"/>
    <w:rsid w:val="007018DB"/>
    <w:rsid w:val="00702A4C"/>
    <w:rsid w:val="007038DF"/>
    <w:rsid w:val="007047EA"/>
    <w:rsid w:val="00705FFB"/>
    <w:rsid w:val="00706402"/>
    <w:rsid w:val="0070693F"/>
    <w:rsid w:val="00707186"/>
    <w:rsid w:val="00707F28"/>
    <w:rsid w:val="00710A9F"/>
    <w:rsid w:val="00710D8A"/>
    <w:rsid w:val="00711C25"/>
    <w:rsid w:val="0071404A"/>
    <w:rsid w:val="007169B4"/>
    <w:rsid w:val="00716D81"/>
    <w:rsid w:val="00716DF9"/>
    <w:rsid w:val="007177C6"/>
    <w:rsid w:val="00717D13"/>
    <w:rsid w:val="0072112F"/>
    <w:rsid w:val="00722931"/>
    <w:rsid w:val="007230AF"/>
    <w:rsid w:val="007245C5"/>
    <w:rsid w:val="00725D57"/>
    <w:rsid w:val="00727C70"/>
    <w:rsid w:val="00727D0D"/>
    <w:rsid w:val="00727D4A"/>
    <w:rsid w:val="00730D1C"/>
    <w:rsid w:val="00733BFC"/>
    <w:rsid w:val="00734E9C"/>
    <w:rsid w:val="00734F1B"/>
    <w:rsid w:val="00736BD2"/>
    <w:rsid w:val="00736D33"/>
    <w:rsid w:val="00737360"/>
    <w:rsid w:val="00737A92"/>
    <w:rsid w:val="00740377"/>
    <w:rsid w:val="0074129D"/>
    <w:rsid w:val="00741393"/>
    <w:rsid w:val="007415A8"/>
    <w:rsid w:val="00742B02"/>
    <w:rsid w:val="007436FC"/>
    <w:rsid w:val="00743DC9"/>
    <w:rsid w:val="00745B49"/>
    <w:rsid w:val="00747CCB"/>
    <w:rsid w:val="00752506"/>
    <w:rsid w:val="00754175"/>
    <w:rsid w:val="0075508B"/>
    <w:rsid w:val="00755318"/>
    <w:rsid w:val="0075557E"/>
    <w:rsid w:val="00756414"/>
    <w:rsid w:val="00756930"/>
    <w:rsid w:val="007570D9"/>
    <w:rsid w:val="00757508"/>
    <w:rsid w:val="00760258"/>
    <w:rsid w:val="007602FA"/>
    <w:rsid w:val="00762437"/>
    <w:rsid w:val="0076475F"/>
    <w:rsid w:val="00765B9E"/>
    <w:rsid w:val="00765BD4"/>
    <w:rsid w:val="007662CF"/>
    <w:rsid w:val="00767112"/>
    <w:rsid w:val="0077177E"/>
    <w:rsid w:val="00771A66"/>
    <w:rsid w:val="00772371"/>
    <w:rsid w:val="007723FC"/>
    <w:rsid w:val="0077241A"/>
    <w:rsid w:val="00773AA5"/>
    <w:rsid w:val="00774343"/>
    <w:rsid w:val="00776568"/>
    <w:rsid w:val="007767FE"/>
    <w:rsid w:val="007768D4"/>
    <w:rsid w:val="007771D8"/>
    <w:rsid w:val="007773A0"/>
    <w:rsid w:val="007777E4"/>
    <w:rsid w:val="00777CFC"/>
    <w:rsid w:val="00780560"/>
    <w:rsid w:val="007812C8"/>
    <w:rsid w:val="00781FAD"/>
    <w:rsid w:val="00784645"/>
    <w:rsid w:val="00784E41"/>
    <w:rsid w:val="00785E85"/>
    <w:rsid w:val="00786D2A"/>
    <w:rsid w:val="00787907"/>
    <w:rsid w:val="00790338"/>
    <w:rsid w:val="007927AF"/>
    <w:rsid w:val="00793114"/>
    <w:rsid w:val="00793428"/>
    <w:rsid w:val="007938B4"/>
    <w:rsid w:val="0079408D"/>
    <w:rsid w:val="007945C4"/>
    <w:rsid w:val="007949E9"/>
    <w:rsid w:val="00795C73"/>
    <w:rsid w:val="00797281"/>
    <w:rsid w:val="0079751F"/>
    <w:rsid w:val="007A117A"/>
    <w:rsid w:val="007A13B2"/>
    <w:rsid w:val="007A2089"/>
    <w:rsid w:val="007A3324"/>
    <w:rsid w:val="007A3B0F"/>
    <w:rsid w:val="007A4118"/>
    <w:rsid w:val="007A59E5"/>
    <w:rsid w:val="007A5AA1"/>
    <w:rsid w:val="007A5DAB"/>
    <w:rsid w:val="007A6136"/>
    <w:rsid w:val="007A6708"/>
    <w:rsid w:val="007B144D"/>
    <w:rsid w:val="007B1739"/>
    <w:rsid w:val="007B1FD8"/>
    <w:rsid w:val="007B359A"/>
    <w:rsid w:val="007B3CCC"/>
    <w:rsid w:val="007B4262"/>
    <w:rsid w:val="007B538A"/>
    <w:rsid w:val="007B5CA9"/>
    <w:rsid w:val="007B6556"/>
    <w:rsid w:val="007B789A"/>
    <w:rsid w:val="007B78EC"/>
    <w:rsid w:val="007B79EC"/>
    <w:rsid w:val="007C25EE"/>
    <w:rsid w:val="007C33C8"/>
    <w:rsid w:val="007C4235"/>
    <w:rsid w:val="007C48CA"/>
    <w:rsid w:val="007C4F4C"/>
    <w:rsid w:val="007C5B77"/>
    <w:rsid w:val="007C76B9"/>
    <w:rsid w:val="007C77AC"/>
    <w:rsid w:val="007C7DC8"/>
    <w:rsid w:val="007D09C2"/>
    <w:rsid w:val="007D109B"/>
    <w:rsid w:val="007D1D29"/>
    <w:rsid w:val="007D2D8D"/>
    <w:rsid w:val="007D3691"/>
    <w:rsid w:val="007D4593"/>
    <w:rsid w:val="007D5290"/>
    <w:rsid w:val="007D5EF8"/>
    <w:rsid w:val="007D7B67"/>
    <w:rsid w:val="007E17DB"/>
    <w:rsid w:val="007E1FA2"/>
    <w:rsid w:val="007E39C7"/>
    <w:rsid w:val="007E54C1"/>
    <w:rsid w:val="007E6B05"/>
    <w:rsid w:val="007E6F1E"/>
    <w:rsid w:val="007E7807"/>
    <w:rsid w:val="007F015F"/>
    <w:rsid w:val="007F1076"/>
    <w:rsid w:val="007F161E"/>
    <w:rsid w:val="007F1BDC"/>
    <w:rsid w:val="007F23B0"/>
    <w:rsid w:val="007F459D"/>
    <w:rsid w:val="007F50BF"/>
    <w:rsid w:val="007F52FF"/>
    <w:rsid w:val="007F5C37"/>
    <w:rsid w:val="007F5E7D"/>
    <w:rsid w:val="007F6A1B"/>
    <w:rsid w:val="007F75AE"/>
    <w:rsid w:val="0080027C"/>
    <w:rsid w:val="008002A7"/>
    <w:rsid w:val="00801AB6"/>
    <w:rsid w:val="0080253E"/>
    <w:rsid w:val="00803372"/>
    <w:rsid w:val="00805B44"/>
    <w:rsid w:val="00805FBE"/>
    <w:rsid w:val="008078E1"/>
    <w:rsid w:val="00810F83"/>
    <w:rsid w:val="008120AB"/>
    <w:rsid w:val="00812A91"/>
    <w:rsid w:val="00812CDA"/>
    <w:rsid w:val="008159B7"/>
    <w:rsid w:val="00817941"/>
    <w:rsid w:val="00821FB5"/>
    <w:rsid w:val="00823B1D"/>
    <w:rsid w:val="00823C45"/>
    <w:rsid w:val="00824909"/>
    <w:rsid w:val="00824CB3"/>
    <w:rsid w:val="00824E16"/>
    <w:rsid w:val="00824E96"/>
    <w:rsid w:val="00824EF6"/>
    <w:rsid w:val="008256C0"/>
    <w:rsid w:val="0083009D"/>
    <w:rsid w:val="00833BFC"/>
    <w:rsid w:val="00834AA5"/>
    <w:rsid w:val="008352CD"/>
    <w:rsid w:val="0083653D"/>
    <w:rsid w:val="008367C4"/>
    <w:rsid w:val="008370E0"/>
    <w:rsid w:val="0083793A"/>
    <w:rsid w:val="00840E9F"/>
    <w:rsid w:val="0084182B"/>
    <w:rsid w:val="0084199D"/>
    <w:rsid w:val="0084261B"/>
    <w:rsid w:val="008456B4"/>
    <w:rsid w:val="0084581F"/>
    <w:rsid w:val="0084598E"/>
    <w:rsid w:val="008476D9"/>
    <w:rsid w:val="00850665"/>
    <w:rsid w:val="00850A4E"/>
    <w:rsid w:val="00850C03"/>
    <w:rsid w:val="008526D3"/>
    <w:rsid w:val="0085379E"/>
    <w:rsid w:val="008540D0"/>
    <w:rsid w:val="00854788"/>
    <w:rsid w:val="008548AD"/>
    <w:rsid w:val="00857041"/>
    <w:rsid w:val="00857DB7"/>
    <w:rsid w:val="00857E2F"/>
    <w:rsid w:val="00860DB4"/>
    <w:rsid w:val="008613D6"/>
    <w:rsid w:val="00861E29"/>
    <w:rsid w:val="00862DA6"/>
    <w:rsid w:val="00863B82"/>
    <w:rsid w:val="00865FB0"/>
    <w:rsid w:val="0086682A"/>
    <w:rsid w:val="00866D78"/>
    <w:rsid w:val="00866F0D"/>
    <w:rsid w:val="00867120"/>
    <w:rsid w:val="008674B6"/>
    <w:rsid w:val="008705BE"/>
    <w:rsid w:val="008706FA"/>
    <w:rsid w:val="00871097"/>
    <w:rsid w:val="0087178E"/>
    <w:rsid w:val="00872948"/>
    <w:rsid w:val="00873109"/>
    <w:rsid w:val="008744FA"/>
    <w:rsid w:val="0087459A"/>
    <w:rsid w:val="00875040"/>
    <w:rsid w:val="00875963"/>
    <w:rsid w:val="008762F2"/>
    <w:rsid w:val="00876386"/>
    <w:rsid w:val="00876452"/>
    <w:rsid w:val="00876616"/>
    <w:rsid w:val="00876701"/>
    <w:rsid w:val="00876CF4"/>
    <w:rsid w:val="00877AEA"/>
    <w:rsid w:val="00880807"/>
    <w:rsid w:val="0088537D"/>
    <w:rsid w:val="00885DC0"/>
    <w:rsid w:val="0088686B"/>
    <w:rsid w:val="00887EB0"/>
    <w:rsid w:val="0089008E"/>
    <w:rsid w:val="00890635"/>
    <w:rsid w:val="008906EA"/>
    <w:rsid w:val="008909F7"/>
    <w:rsid w:val="00890DC6"/>
    <w:rsid w:val="00891349"/>
    <w:rsid w:val="00892106"/>
    <w:rsid w:val="008945DA"/>
    <w:rsid w:val="00895912"/>
    <w:rsid w:val="00895A68"/>
    <w:rsid w:val="00895C0E"/>
    <w:rsid w:val="00896CC2"/>
    <w:rsid w:val="0089715D"/>
    <w:rsid w:val="00897C08"/>
    <w:rsid w:val="008A0228"/>
    <w:rsid w:val="008A07A8"/>
    <w:rsid w:val="008A2D1F"/>
    <w:rsid w:val="008A3EAD"/>
    <w:rsid w:val="008A4959"/>
    <w:rsid w:val="008A5C3E"/>
    <w:rsid w:val="008A74A8"/>
    <w:rsid w:val="008A74E0"/>
    <w:rsid w:val="008B0199"/>
    <w:rsid w:val="008B10AE"/>
    <w:rsid w:val="008B156B"/>
    <w:rsid w:val="008B179A"/>
    <w:rsid w:val="008B1B1F"/>
    <w:rsid w:val="008B3BC8"/>
    <w:rsid w:val="008B3BF8"/>
    <w:rsid w:val="008B4DB3"/>
    <w:rsid w:val="008B55E9"/>
    <w:rsid w:val="008B695A"/>
    <w:rsid w:val="008B701E"/>
    <w:rsid w:val="008C06DA"/>
    <w:rsid w:val="008C0BE3"/>
    <w:rsid w:val="008C14EF"/>
    <w:rsid w:val="008C4EFE"/>
    <w:rsid w:val="008C6420"/>
    <w:rsid w:val="008C69CC"/>
    <w:rsid w:val="008C7405"/>
    <w:rsid w:val="008C797A"/>
    <w:rsid w:val="008D0087"/>
    <w:rsid w:val="008D1A89"/>
    <w:rsid w:val="008D2E75"/>
    <w:rsid w:val="008D3242"/>
    <w:rsid w:val="008D5BD4"/>
    <w:rsid w:val="008D6137"/>
    <w:rsid w:val="008D6F01"/>
    <w:rsid w:val="008D76FD"/>
    <w:rsid w:val="008D7704"/>
    <w:rsid w:val="008D77BB"/>
    <w:rsid w:val="008E0986"/>
    <w:rsid w:val="008E1463"/>
    <w:rsid w:val="008E1D4A"/>
    <w:rsid w:val="008E2D12"/>
    <w:rsid w:val="008E68B9"/>
    <w:rsid w:val="008E7061"/>
    <w:rsid w:val="008E71BB"/>
    <w:rsid w:val="008E73A1"/>
    <w:rsid w:val="008E7FC1"/>
    <w:rsid w:val="008F01B2"/>
    <w:rsid w:val="008F07D0"/>
    <w:rsid w:val="008F2CF3"/>
    <w:rsid w:val="008F54AD"/>
    <w:rsid w:val="008F55AD"/>
    <w:rsid w:val="008F596B"/>
    <w:rsid w:val="008F657F"/>
    <w:rsid w:val="008F68F2"/>
    <w:rsid w:val="008F6BB9"/>
    <w:rsid w:val="0090051C"/>
    <w:rsid w:val="00901076"/>
    <w:rsid w:val="00901203"/>
    <w:rsid w:val="00901B81"/>
    <w:rsid w:val="009027E1"/>
    <w:rsid w:val="00902CF4"/>
    <w:rsid w:val="009034CF"/>
    <w:rsid w:val="00904137"/>
    <w:rsid w:val="0090524C"/>
    <w:rsid w:val="00905592"/>
    <w:rsid w:val="00905AA5"/>
    <w:rsid w:val="0090678E"/>
    <w:rsid w:val="00910216"/>
    <w:rsid w:val="00911381"/>
    <w:rsid w:val="00911A34"/>
    <w:rsid w:val="009129E7"/>
    <w:rsid w:val="00912C5D"/>
    <w:rsid w:val="009135C3"/>
    <w:rsid w:val="009137B4"/>
    <w:rsid w:val="00913E91"/>
    <w:rsid w:val="00914991"/>
    <w:rsid w:val="00914AD8"/>
    <w:rsid w:val="00915178"/>
    <w:rsid w:val="00916477"/>
    <w:rsid w:val="00917944"/>
    <w:rsid w:val="009179BF"/>
    <w:rsid w:val="00920FBF"/>
    <w:rsid w:val="009218BF"/>
    <w:rsid w:val="009221A9"/>
    <w:rsid w:val="009252BA"/>
    <w:rsid w:val="00925EF0"/>
    <w:rsid w:val="00926B71"/>
    <w:rsid w:val="00927D79"/>
    <w:rsid w:val="0093066C"/>
    <w:rsid w:val="0093097D"/>
    <w:rsid w:val="009310C7"/>
    <w:rsid w:val="00931C18"/>
    <w:rsid w:val="00931CC8"/>
    <w:rsid w:val="00931F77"/>
    <w:rsid w:val="00933006"/>
    <w:rsid w:val="00933DA2"/>
    <w:rsid w:val="0093513B"/>
    <w:rsid w:val="009357B3"/>
    <w:rsid w:val="00935E40"/>
    <w:rsid w:val="009362C0"/>
    <w:rsid w:val="00936738"/>
    <w:rsid w:val="0093678A"/>
    <w:rsid w:val="00936ABE"/>
    <w:rsid w:val="00936CEA"/>
    <w:rsid w:val="00937B45"/>
    <w:rsid w:val="00937DE9"/>
    <w:rsid w:val="009400C0"/>
    <w:rsid w:val="00940149"/>
    <w:rsid w:val="009412D4"/>
    <w:rsid w:val="00942C94"/>
    <w:rsid w:val="00942D03"/>
    <w:rsid w:val="00943C9F"/>
    <w:rsid w:val="009444F7"/>
    <w:rsid w:val="0094466E"/>
    <w:rsid w:val="00944D57"/>
    <w:rsid w:val="00945DA7"/>
    <w:rsid w:val="0094635E"/>
    <w:rsid w:val="00946CC6"/>
    <w:rsid w:val="00947951"/>
    <w:rsid w:val="00950020"/>
    <w:rsid w:val="00950099"/>
    <w:rsid w:val="00950172"/>
    <w:rsid w:val="009507D6"/>
    <w:rsid w:val="00950F95"/>
    <w:rsid w:val="009519C7"/>
    <w:rsid w:val="00951A7F"/>
    <w:rsid w:val="0095318A"/>
    <w:rsid w:val="00953655"/>
    <w:rsid w:val="00953F84"/>
    <w:rsid w:val="00954D80"/>
    <w:rsid w:val="00956F8B"/>
    <w:rsid w:val="00957565"/>
    <w:rsid w:val="00960181"/>
    <w:rsid w:val="00960CB7"/>
    <w:rsid w:val="009625F0"/>
    <w:rsid w:val="009628C7"/>
    <w:rsid w:val="009629E7"/>
    <w:rsid w:val="0096513B"/>
    <w:rsid w:val="00965AF9"/>
    <w:rsid w:val="00967217"/>
    <w:rsid w:val="00967547"/>
    <w:rsid w:val="009676F8"/>
    <w:rsid w:val="00967979"/>
    <w:rsid w:val="00970D81"/>
    <w:rsid w:val="0097135D"/>
    <w:rsid w:val="0097147E"/>
    <w:rsid w:val="00974681"/>
    <w:rsid w:val="00975A9B"/>
    <w:rsid w:val="00975F91"/>
    <w:rsid w:val="0097638E"/>
    <w:rsid w:val="0098144D"/>
    <w:rsid w:val="0098387D"/>
    <w:rsid w:val="00984136"/>
    <w:rsid w:val="00985C51"/>
    <w:rsid w:val="00987A4A"/>
    <w:rsid w:val="00987CC5"/>
    <w:rsid w:val="00990DA2"/>
    <w:rsid w:val="009913D2"/>
    <w:rsid w:val="0099143E"/>
    <w:rsid w:val="00994F29"/>
    <w:rsid w:val="00997DFC"/>
    <w:rsid w:val="009A0459"/>
    <w:rsid w:val="009A1739"/>
    <w:rsid w:val="009A18E4"/>
    <w:rsid w:val="009A2F41"/>
    <w:rsid w:val="009A3041"/>
    <w:rsid w:val="009A305B"/>
    <w:rsid w:val="009A4359"/>
    <w:rsid w:val="009A4760"/>
    <w:rsid w:val="009A4F38"/>
    <w:rsid w:val="009A55B0"/>
    <w:rsid w:val="009A5BB7"/>
    <w:rsid w:val="009A6540"/>
    <w:rsid w:val="009A6B52"/>
    <w:rsid w:val="009A718E"/>
    <w:rsid w:val="009B0832"/>
    <w:rsid w:val="009B366B"/>
    <w:rsid w:val="009B4330"/>
    <w:rsid w:val="009B4D69"/>
    <w:rsid w:val="009B51E1"/>
    <w:rsid w:val="009B7704"/>
    <w:rsid w:val="009C02D8"/>
    <w:rsid w:val="009C0B2C"/>
    <w:rsid w:val="009C0EF9"/>
    <w:rsid w:val="009C228B"/>
    <w:rsid w:val="009C288B"/>
    <w:rsid w:val="009C3E9A"/>
    <w:rsid w:val="009C4697"/>
    <w:rsid w:val="009C65CB"/>
    <w:rsid w:val="009C681A"/>
    <w:rsid w:val="009C68F6"/>
    <w:rsid w:val="009C7315"/>
    <w:rsid w:val="009C769E"/>
    <w:rsid w:val="009D04D1"/>
    <w:rsid w:val="009D06A8"/>
    <w:rsid w:val="009D156F"/>
    <w:rsid w:val="009D18E1"/>
    <w:rsid w:val="009D1988"/>
    <w:rsid w:val="009D1B26"/>
    <w:rsid w:val="009D3456"/>
    <w:rsid w:val="009D38F2"/>
    <w:rsid w:val="009D5456"/>
    <w:rsid w:val="009D5CB8"/>
    <w:rsid w:val="009D5CFE"/>
    <w:rsid w:val="009D6357"/>
    <w:rsid w:val="009D689E"/>
    <w:rsid w:val="009D69AC"/>
    <w:rsid w:val="009D6D4F"/>
    <w:rsid w:val="009D78F9"/>
    <w:rsid w:val="009D7EA8"/>
    <w:rsid w:val="009E0229"/>
    <w:rsid w:val="009E0B09"/>
    <w:rsid w:val="009E17C2"/>
    <w:rsid w:val="009E1B05"/>
    <w:rsid w:val="009E1EB0"/>
    <w:rsid w:val="009E31AF"/>
    <w:rsid w:val="009E3AC9"/>
    <w:rsid w:val="009E44E4"/>
    <w:rsid w:val="009E47FE"/>
    <w:rsid w:val="009E5087"/>
    <w:rsid w:val="009E6B44"/>
    <w:rsid w:val="009E6D6F"/>
    <w:rsid w:val="009E6F38"/>
    <w:rsid w:val="009E7E1E"/>
    <w:rsid w:val="009F02B4"/>
    <w:rsid w:val="009F0330"/>
    <w:rsid w:val="009F08F3"/>
    <w:rsid w:val="009F0BE5"/>
    <w:rsid w:val="009F0FBD"/>
    <w:rsid w:val="009F1FA2"/>
    <w:rsid w:val="009F2066"/>
    <w:rsid w:val="009F21B1"/>
    <w:rsid w:val="009F452E"/>
    <w:rsid w:val="009F4730"/>
    <w:rsid w:val="009F5568"/>
    <w:rsid w:val="009F55DD"/>
    <w:rsid w:val="009F5C2B"/>
    <w:rsid w:val="009F736F"/>
    <w:rsid w:val="009F7573"/>
    <w:rsid w:val="00A003FF"/>
    <w:rsid w:val="00A00542"/>
    <w:rsid w:val="00A03812"/>
    <w:rsid w:val="00A0580E"/>
    <w:rsid w:val="00A05CED"/>
    <w:rsid w:val="00A0620D"/>
    <w:rsid w:val="00A06452"/>
    <w:rsid w:val="00A066B7"/>
    <w:rsid w:val="00A07B50"/>
    <w:rsid w:val="00A07D66"/>
    <w:rsid w:val="00A10B08"/>
    <w:rsid w:val="00A10E7A"/>
    <w:rsid w:val="00A10E9B"/>
    <w:rsid w:val="00A10EDC"/>
    <w:rsid w:val="00A12B7E"/>
    <w:rsid w:val="00A1354F"/>
    <w:rsid w:val="00A145AB"/>
    <w:rsid w:val="00A14965"/>
    <w:rsid w:val="00A151E3"/>
    <w:rsid w:val="00A159CC"/>
    <w:rsid w:val="00A15C08"/>
    <w:rsid w:val="00A16248"/>
    <w:rsid w:val="00A16492"/>
    <w:rsid w:val="00A17149"/>
    <w:rsid w:val="00A1722B"/>
    <w:rsid w:val="00A172E5"/>
    <w:rsid w:val="00A22941"/>
    <w:rsid w:val="00A237D6"/>
    <w:rsid w:val="00A2584A"/>
    <w:rsid w:val="00A30826"/>
    <w:rsid w:val="00A32FC3"/>
    <w:rsid w:val="00A3396E"/>
    <w:rsid w:val="00A34E5E"/>
    <w:rsid w:val="00A36700"/>
    <w:rsid w:val="00A368CF"/>
    <w:rsid w:val="00A36A94"/>
    <w:rsid w:val="00A37614"/>
    <w:rsid w:val="00A3768D"/>
    <w:rsid w:val="00A376D7"/>
    <w:rsid w:val="00A4028D"/>
    <w:rsid w:val="00A414D9"/>
    <w:rsid w:val="00A44611"/>
    <w:rsid w:val="00A45FB0"/>
    <w:rsid w:val="00A46BDE"/>
    <w:rsid w:val="00A4745D"/>
    <w:rsid w:val="00A502F9"/>
    <w:rsid w:val="00A50AC8"/>
    <w:rsid w:val="00A50C0B"/>
    <w:rsid w:val="00A5105D"/>
    <w:rsid w:val="00A5428A"/>
    <w:rsid w:val="00A54F29"/>
    <w:rsid w:val="00A557E0"/>
    <w:rsid w:val="00A570F5"/>
    <w:rsid w:val="00A60F7C"/>
    <w:rsid w:val="00A62238"/>
    <w:rsid w:val="00A63593"/>
    <w:rsid w:val="00A642A9"/>
    <w:rsid w:val="00A64AFB"/>
    <w:rsid w:val="00A65F71"/>
    <w:rsid w:val="00A66092"/>
    <w:rsid w:val="00A6648B"/>
    <w:rsid w:val="00A668F3"/>
    <w:rsid w:val="00A70F04"/>
    <w:rsid w:val="00A72E38"/>
    <w:rsid w:val="00A734A7"/>
    <w:rsid w:val="00A7669C"/>
    <w:rsid w:val="00A76BDD"/>
    <w:rsid w:val="00A77A39"/>
    <w:rsid w:val="00A77D19"/>
    <w:rsid w:val="00A77E3A"/>
    <w:rsid w:val="00A80B6C"/>
    <w:rsid w:val="00A82FEE"/>
    <w:rsid w:val="00A85856"/>
    <w:rsid w:val="00A86242"/>
    <w:rsid w:val="00A90930"/>
    <w:rsid w:val="00A922E4"/>
    <w:rsid w:val="00A9262C"/>
    <w:rsid w:val="00A93C46"/>
    <w:rsid w:val="00A9403B"/>
    <w:rsid w:val="00A9406F"/>
    <w:rsid w:val="00A94F9F"/>
    <w:rsid w:val="00A95414"/>
    <w:rsid w:val="00A96B0D"/>
    <w:rsid w:val="00A97E9B"/>
    <w:rsid w:val="00AA00DA"/>
    <w:rsid w:val="00AA0898"/>
    <w:rsid w:val="00AA2714"/>
    <w:rsid w:val="00AA35A8"/>
    <w:rsid w:val="00AA3917"/>
    <w:rsid w:val="00AA4536"/>
    <w:rsid w:val="00AA555C"/>
    <w:rsid w:val="00AA5A3A"/>
    <w:rsid w:val="00AA5E64"/>
    <w:rsid w:val="00AA5FF3"/>
    <w:rsid w:val="00AA65B3"/>
    <w:rsid w:val="00AA67E5"/>
    <w:rsid w:val="00AA7017"/>
    <w:rsid w:val="00AA742C"/>
    <w:rsid w:val="00AA7712"/>
    <w:rsid w:val="00AA7C3C"/>
    <w:rsid w:val="00AB178B"/>
    <w:rsid w:val="00AB1892"/>
    <w:rsid w:val="00AB1966"/>
    <w:rsid w:val="00AB1D7D"/>
    <w:rsid w:val="00AB2944"/>
    <w:rsid w:val="00AB2C42"/>
    <w:rsid w:val="00AB3E52"/>
    <w:rsid w:val="00AB47D4"/>
    <w:rsid w:val="00AB5162"/>
    <w:rsid w:val="00AB58B5"/>
    <w:rsid w:val="00AB5DDF"/>
    <w:rsid w:val="00AB6281"/>
    <w:rsid w:val="00AB755D"/>
    <w:rsid w:val="00AC541C"/>
    <w:rsid w:val="00AC553B"/>
    <w:rsid w:val="00AC6629"/>
    <w:rsid w:val="00AD041D"/>
    <w:rsid w:val="00AD054B"/>
    <w:rsid w:val="00AD2DB9"/>
    <w:rsid w:val="00AD42F5"/>
    <w:rsid w:val="00AD44D2"/>
    <w:rsid w:val="00AD4CE0"/>
    <w:rsid w:val="00AD6429"/>
    <w:rsid w:val="00AD7A82"/>
    <w:rsid w:val="00AE0FAF"/>
    <w:rsid w:val="00AE1B08"/>
    <w:rsid w:val="00AE209D"/>
    <w:rsid w:val="00AE2120"/>
    <w:rsid w:val="00AF09C5"/>
    <w:rsid w:val="00AF288E"/>
    <w:rsid w:val="00AF3B94"/>
    <w:rsid w:val="00AF44CB"/>
    <w:rsid w:val="00AF451D"/>
    <w:rsid w:val="00AF4BFD"/>
    <w:rsid w:val="00AF50C0"/>
    <w:rsid w:val="00AF6143"/>
    <w:rsid w:val="00AF7D55"/>
    <w:rsid w:val="00B02051"/>
    <w:rsid w:val="00B02F2F"/>
    <w:rsid w:val="00B064CD"/>
    <w:rsid w:val="00B0670A"/>
    <w:rsid w:val="00B07040"/>
    <w:rsid w:val="00B0709A"/>
    <w:rsid w:val="00B07256"/>
    <w:rsid w:val="00B07343"/>
    <w:rsid w:val="00B07699"/>
    <w:rsid w:val="00B07B66"/>
    <w:rsid w:val="00B104BF"/>
    <w:rsid w:val="00B10C02"/>
    <w:rsid w:val="00B11987"/>
    <w:rsid w:val="00B13A9C"/>
    <w:rsid w:val="00B13E43"/>
    <w:rsid w:val="00B144AB"/>
    <w:rsid w:val="00B145AF"/>
    <w:rsid w:val="00B160F4"/>
    <w:rsid w:val="00B17C8D"/>
    <w:rsid w:val="00B17E79"/>
    <w:rsid w:val="00B214ED"/>
    <w:rsid w:val="00B22561"/>
    <w:rsid w:val="00B2279B"/>
    <w:rsid w:val="00B24101"/>
    <w:rsid w:val="00B24FA4"/>
    <w:rsid w:val="00B2502A"/>
    <w:rsid w:val="00B2703E"/>
    <w:rsid w:val="00B303E8"/>
    <w:rsid w:val="00B30A91"/>
    <w:rsid w:val="00B310F7"/>
    <w:rsid w:val="00B311B8"/>
    <w:rsid w:val="00B32676"/>
    <w:rsid w:val="00B32AED"/>
    <w:rsid w:val="00B32DE2"/>
    <w:rsid w:val="00B3349A"/>
    <w:rsid w:val="00B350D0"/>
    <w:rsid w:val="00B36494"/>
    <w:rsid w:val="00B36979"/>
    <w:rsid w:val="00B37AA7"/>
    <w:rsid w:val="00B40527"/>
    <w:rsid w:val="00B40934"/>
    <w:rsid w:val="00B4181B"/>
    <w:rsid w:val="00B43A60"/>
    <w:rsid w:val="00B44208"/>
    <w:rsid w:val="00B454D2"/>
    <w:rsid w:val="00B4569F"/>
    <w:rsid w:val="00B45FFA"/>
    <w:rsid w:val="00B46E92"/>
    <w:rsid w:val="00B46FE4"/>
    <w:rsid w:val="00B47C72"/>
    <w:rsid w:val="00B47E4B"/>
    <w:rsid w:val="00B508A5"/>
    <w:rsid w:val="00B51114"/>
    <w:rsid w:val="00B55E9B"/>
    <w:rsid w:val="00B576CD"/>
    <w:rsid w:val="00B60CF5"/>
    <w:rsid w:val="00B61476"/>
    <w:rsid w:val="00B620F2"/>
    <w:rsid w:val="00B6223A"/>
    <w:rsid w:val="00B6417D"/>
    <w:rsid w:val="00B64904"/>
    <w:rsid w:val="00B65B5B"/>
    <w:rsid w:val="00B66827"/>
    <w:rsid w:val="00B6686C"/>
    <w:rsid w:val="00B67115"/>
    <w:rsid w:val="00B673B3"/>
    <w:rsid w:val="00B673E3"/>
    <w:rsid w:val="00B67433"/>
    <w:rsid w:val="00B6745B"/>
    <w:rsid w:val="00B703A4"/>
    <w:rsid w:val="00B71354"/>
    <w:rsid w:val="00B739E7"/>
    <w:rsid w:val="00B73DA2"/>
    <w:rsid w:val="00B742B7"/>
    <w:rsid w:val="00B7486A"/>
    <w:rsid w:val="00B74AAE"/>
    <w:rsid w:val="00B75B8B"/>
    <w:rsid w:val="00B75D6A"/>
    <w:rsid w:val="00B76027"/>
    <w:rsid w:val="00B763AC"/>
    <w:rsid w:val="00B76910"/>
    <w:rsid w:val="00B773DE"/>
    <w:rsid w:val="00B7764B"/>
    <w:rsid w:val="00B7778B"/>
    <w:rsid w:val="00B77B26"/>
    <w:rsid w:val="00B77C19"/>
    <w:rsid w:val="00B80709"/>
    <w:rsid w:val="00B81888"/>
    <w:rsid w:val="00B81D55"/>
    <w:rsid w:val="00B81EBF"/>
    <w:rsid w:val="00B838A5"/>
    <w:rsid w:val="00B853EF"/>
    <w:rsid w:val="00B86FF1"/>
    <w:rsid w:val="00B87EEB"/>
    <w:rsid w:val="00B9081B"/>
    <w:rsid w:val="00B90DA8"/>
    <w:rsid w:val="00B91820"/>
    <w:rsid w:val="00B91AA0"/>
    <w:rsid w:val="00B924F5"/>
    <w:rsid w:val="00B9402C"/>
    <w:rsid w:val="00B94104"/>
    <w:rsid w:val="00B94275"/>
    <w:rsid w:val="00B95803"/>
    <w:rsid w:val="00BA010F"/>
    <w:rsid w:val="00BA0968"/>
    <w:rsid w:val="00BA0B6A"/>
    <w:rsid w:val="00BA1135"/>
    <w:rsid w:val="00BA2168"/>
    <w:rsid w:val="00BA32F9"/>
    <w:rsid w:val="00BA45E8"/>
    <w:rsid w:val="00BA570C"/>
    <w:rsid w:val="00BA5E9C"/>
    <w:rsid w:val="00BB0146"/>
    <w:rsid w:val="00BB0C94"/>
    <w:rsid w:val="00BB171E"/>
    <w:rsid w:val="00BB2E2E"/>
    <w:rsid w:val="00BB367C"/>
    <w:rsid w:val="00BB5177"/>
    <w:rsid w:val="00BB5E74"/>
    <w:rsid w:val="00BB748D"/>
    <w:rsid w:val="00BB7B3E"/>
    <w:rsid w:val="00BC016D"/>
    <w:rsid w:val="00BC148E"/>
    <w:rsid w:val="00BC1730"/>
    <w:rsid w:val="00BC2116"/>
    <w:rsid w:val="00BC2464"/>
    <w:rsid w:val="00BC2B11"/>
    <w:rsid w:val="00BC38B7"/>
    <w:rsid w:val="00BC6A1C"/>
    <w:rsid w:val="00BC774C"/>
    <w:rsid w:val="00BD0029"/>
    <w:rsid w:val="00BD0C2C"/>
    <w:rsid w:val="00BD0EE1"/>
    <w:rsid w:val="00BD1779"/>
    <w:rsid w:val="00BD1FBF"/>
    <w:rsid w:val="00BD3803"/>
    <w:rsid w:val="00BD4D53"/>
    <w:rsid w:val="00BD57FA"/>
    <w:rsid w:val="00BD587E"/>
    <w:rsid w:val="00BD70A6"/>
    <w:rsid w:val="00BD7810"/>
    <w:rsid w:val="00BD7C6D"/>
    <w:rsid w:val="00BE151E"/>
    <w:rsid w:val="00BE2E86"/>
    <w:rsid w:val="00BE3B34"/>
    <w:rsid w:val="00BE4C5E"/>
    <w:rsid w:val="00BE4CE4"/>
    <w:rsid w:val="00BE748B"/>
    <w:rsid w:val="00BF20E9"/>
    <w:rsid w:val="00BF2B3A"/>
    <w:rsid w:val="00BF45DD"/>
    <w:rsid w:val="00BF45E7"/>
    <w:rsid w:val="00BF4A50"/>
    <w:rsid w:val="00BF55CC"/>
    <w:rsid w:val="00BF6608"/>
    <w:rsid w:val="00BF6EA9"/>
    <w:rsid w:val="00C01640"/>
    <w:rsid w:val="00C02573"/>
    <w:rsid w:val="00C032CF"/>
    <w:rsid w:val="00C032FD"/>
    <w:rsid w:val="00C06A76"/>
    <w:rsid w:val="00C1007A"/>
    <w:rsid w:val="00C11A48"/>
    <w:rsid w:val="00C14B68"/>
    <w:rsid w:val="00C14EB0"/>
    <w:rsid w:val="00C167AD"/>
    <w:rsid w:val="00C17752"/>
    <w:rsid w:val="00C17CBB"/>
    <w:rsid w:val="00C20AD9"/>
    <w:rsid w:val="00C217A3"/>
    <w:rsid w:val="00C22327"/>
    <w:rsid w:val="00C22BAA"/>
    <w:rsid w:val="00C24AB3"/>
    <w:rsid w:val="00C24DA1"/>
    <w:rsid w:val="00C2560F"/>
    <w:rsid w:val="00C260C3"/>
    <w:rsid w:val="00C26F72"/>
    <w:rsid w:val="00C32637"/>
    <w:rsid w:val="00C32C61"/>
    <w:rsid w:val="00C337A2"/>
    <w:rsid w:val="00C35DC1"/>
    <w:rsid w:val="00C36832"/>
    <w:rsid w:val="00C36BCD"/>
    <w:rsid w:val="00C41282"/>
    <w:rsid w:val="00C4171A"/>
    <w:rsid w:val="00C41D85"/>
    <w:rsid w:val="00C423CE"/>
    <w:rsid w:val="00C4262C"/>
    <w:rsid w:val="00C42C80"/>
    <w:rsid w:val="00C44925"/>
    <w:rsid w:val="00C4623B"/>
    <w:rsid w:val="00C462C3"/>
    <w:rsid w:val="00C472FF"/>
    <w:rsid w:val="00C47DEE"/>
    <w:rsid w:val="00C51F5A"/>
    <w:rsid w:val="00C51F74"/>
    <w:rsid w:val="00C522DD"/>
    <w:rsid w:val="00C527EC"/>
    <w:rsid w:val="00C5511C"/>
    <w:rsid w:val="00C55D67"/>
    <w:rsid w:val="00C55ECB"/>
    <w:rsid w:val="00C57113"/>
    <w:rsid w:val="00C574D6"/>
    <w:rsid w:val="00C5750E"/>
    <w:rsid w:val="00C57B20"/>
    <w:rsid w:val="00C620EF"/>
    <w:rsid w:val="00C622C3"/>
    <w:rsid w:val="00C62B7B"/>
    <w:rsid w:val="00C62E1F"/>
    <w:rsid w:val="00C6369D"/>
    <w:rsid w:val="00C6505A"/>
    <w:rsid w:val="00C6551F"/>
    <w:rsid w:val="00C65D0B"/>
    <w:rsid w:val="00C669EA"/>
    <w:rsid w:val="00C67CEC"/>
    <w:rsid w:val="00C70957"/>
    <w:rsid w:val="00C71E4E"/>
    <w:rsid w:val="00C73A3C"/>
    <w:rsid w:val="00C74ABB"/>
    <w:rsid w:val="00C74EEA"/>
    <w:rsid w:val="00C76308"/>
    <w:rsid w:val="00C765C9"/>
    <w:rsid w:val="00C77B90"/>
    <w:rsid w:val="00C80ACC"/>
    <w:rsid w:val="00C80B5D"/>
    <w:rsid w:val="00C80F8E"/>
    <w:rsid w:val="00C81D9F"/>
    <w:rsid w:val="00C82160"/>
    <w:rsid w:val="00C84191"/>
    <w:rsid w:val="00C84AC4"/>
    <w:rsid w:val="00C85299"/>
    <w:rsid w:val="00C85638"/>
    <w:rsid w:val="00C85791"/>
    <w:rsid w:val="00C859D4"/>
    <w:rsid w:val="00C868A7"/>
    <w:rsid w:val="00C8721B"/>
    <w:rsid w:val="00C905E8"/>
    <w:rsid w:val="00C90D0E"/>
    <w:rsid w:val="00C91268"/>
    <w:rsid w:val="00C912F2"/>
    <w:rsid w:val="00C918A7"/>
    <w:rsid w:val="00C91FB2"/>
    <w:rsid w:val="00C92737"/>
    <w:rsid w:val="00C92F33"/>
    <w:rsid w:val="00C93110"/>
    <w:rsid w:val="00C93E9C"/>
    <w:rsid w:val="00C94114"/>
    <w:rsid w:val="00C941F3"/>
    <w:rsid w:val="00C95894"/>
    <w:rsid w:val="00C95986"/>
    <w:rsid w:val="00C95CBF"/>
    <w:rsid w:val="00C96E0E"/>
    <w:rsid w:val="00C97203"/>
    <w:rsid w:val="00C97ED4"/>
    <w:rsid w:val="00CA00C7"/>
    <w:rsid w:val="00CA0567"/>
    <w:rsid w:val="00CA2D1E"/>
    <w:rsid w:val="00CA3098"/>
    <w:rsid w:val="00CA57B7"/>
    <w:rsid w:val="00CA644E"/>
    <w:rsid w:val="00CA677E"/>
    <w:rsid w:val="00CA6B83"/>
    <w:rsid w:val="00CA723A"/>
    <w:rsid w:val="00CB0AAF"/>
    <w:rsid w:val="00CB3F3B"/>
    <w:rsid w:val="00CB4820"/>
    <w:rsid w:val="00CB6110"/>
    <w:rsid w:val="00CB6D7D"/>
    <w:rsid w:val="00CB776F"/>
    <w:rsid w:val="00CC0B57"/>
    <w:rsid w:val="00CC12C5"/>
    <w:rsid w:val="00CC131C"/>
    <w:rsid w:val="00CC16AA"/>
    <w:rsid w:val="00CC24FF"/>
    <w:rsid w:val="00CC38B2"/>
    <w:rsid w:val="00CC3F26"/>
    <w:rsid w:val="00CC5739"/>
    <w:rsid w:val="00CC5B01"/>
    <w:rsid w:val="00CC6DC9"/>
    <w:rsid w:val="00CC77E0"/>
    <w:rsid w:val="00CD0259"/>
    <w:rsid w:val="00CD05C0"/>
    <w:rsid w:val="00CD168D"/>
    <w:rsid w:val="00CD1761"/>
    <w:rsid w:val="00CD3736"/>
    <w:rsid w:val="00CD3D11"/>
    <w:rsid w:val="00CD4576"/>
    <w:rsid w:val="00CD4687"/>
    <w:rsid w:val="00CD46EB"/>
    <w:rsid w:val="00CD53C1"/>
    <w:rsid w:val="00CD5A83"/>
    <w:rsid w:val="00CD5F16"/>
    <w:rsid w:val="00CD6460"/>
    <w:rsid w:val="00CD650D"/>
    <w:rsid w:val="00CD68D2"/>
    <w:rsid w:val="00CD6C97"/>
    <w:rsid w:val="00CD6D53"/>
    <w:rsid w:val="00CD7A1C"/>
    <w:rsid w:val="00CD7C1B"/>
    <w:rsid w:val="00CD7F09"/>
    <w:rsid w:val="00CE0727"/>
    <w:rsid w:val="00CE08CC"/>
    <w:rsid w:val="00CE09F9"/>
    <w:rsid w:val="00CE178D"/>
    <w:rsid w:val="00CE366B"/>
    <w:rsid w:val="00CE47E6"/>
    <w:rsid w:val="00CE4BC7"/>
    <w:rsid w:val="00CE61DD"/>
    <w:rsid w:val="00CE7FD9"/>
    <w:rsid w:val="00CF0761"/>
    <w:rsid w:val="00CF1DD1"/>
    <w:rsid w:val="00CF2735"/>
    <w:rsid w:val="00CF29BC"/>
    <w:rsid w:val="00CF35D3"/>
    <w:rsid w:val="00CF36D4"/>
    <w:rsid w:val="00CF5122"/>
    <w:rsid w:val="00CF54E5"/>
    <w:rsid w:val="00CF5502"/>
    <w:rsid w:val="00CF59D1"/>
    <w:rsid w:val="00CF5E63"/>
    <w:rsid w:val="00CF68CA"/>
    <w:rsid w:val="00CF78E7"/>
    <w:rsid w:val="00CF7902"/>
    <w:rsid w:val="00D00019"/>
    <w:rsid w:val="00D003B5"/>
    <w:rsid w:val="00D01850"/>
    <w:rsid w:val="00D01F07"/>
    <w:rsid w:val="00D02DDB"/>
    <w:rsid w:val="00D03D86"/>
    <w:rsid w:val="00D05B09"/>
    <w:rsid w:val="00D06452"/>
    <w:rsid w:val="00D075DD"/>
    <w:rsid w:val="00D07A4E"/>
    <w:rsid w:val="00D07F99"/>
    <w:rsid w:val="00D10123"/>
    <w:rsid w:val="00D102ED"/>
    <w:rsid w:val="00D12672"/>
    <w:rsid w:val="00D133DD"/>
    <w:rsid w:val="00D13772"/>
    <w:rsid w:val="00D15DF4"/>
    <w:rsid w:val="00D17B57"/>
    <w:rsid w:val="00D200C1"/>
    <w:rsid w:val="00D211DC"/>
    <w:rsid w:val="00D219C4"/>
    <w:rsid w:val="00D22205"/>
    <w:rsid w:val="00D227B6"/>
    <w:rsid w:val="00D244D3"/>
    <w:rsid w:val="00D24864"/>
    <w:rsid w:val="00D255B9"/>
    <w:rsid w:val="00D25AF6"/>
    <w:rsid w:val="00D26301"/>
    <w:rsid w:val="00D264D3"/>
    <w:rsid w:val="00D27DF9"/>
    <w:rsid w:val="00D317E6"/>
    <w:rsid w:val="00D3201A"/>
    <w:rsid w:val="00D320D3"/>
    <w:rsid w:val="00D32307"/>
    <w:rsid w:val="00D3482A"/>
    <w:rsid w:val="00D36413"/>
    <w:rsid w:val="00D3668D"/>
    <w:rsid w:val="00D373DC"/>
    <w:rsid w:val="00D37F72"/>
    <w:rsid w:val="00D41454"/>
    <w:rsid w:val="00D4316E"/>
    <w:rsid w:val="00D432D5"/>
    <w:rsid w:val="00D43E33"/>
    <w:rsid w:val="00D44BB1"/>
    <w:rsid w:val="00D44F6F"/>
    <w:rsid w:val="00D45517"/>
    <w:rsid w:val="00D464B3"/>
    <w:rsid w:val="00D468ED"/>
    <w:rsid w:val="00D47687"/>
    <w:rsid w:val="00D47AE4"/>
    <w:rsid w:val="00D5042A"/>
    <w:rsid w:val="00D51457"/>
    <w:rsid w:val="00D52300"/>
    <w:rsid w:val="00D536B4"/>
    <w:rsid w:val="00D54315"/>
    <w:rsid w:val="00D551F3"/>
    <w:rsid w:val="00D5580C"/>
    <w:rsid w:val="00D55EE8"/>
    <w:rsid w:val="00D5606E"/>
    <w:rsid w:val="00D56435"/>
    <w:rsid w:val="00D57EE5"/>
    <w:rsid w:val="00D62017"/>
    <w:rsid w:val="00D6299B"/>
    <w:rsid w:val="00D63411"/>
    <w:rsid w:val="00D635DA"/>
    <w:rsid w:val="00D647F9"/>
    <w:rsid w:val="00D65D42"/>
    <w:rsid w:val="00D66BD4"/>
    <w:rsid w:val="00D672B2"/>
    <w:rsid w:val="00D67CE6"/>
    <w:rsid w:val="00D70ECF"/>
    <w:rsid w:val="00D70F9E"/>
    <w:rsid w:val="00D72096"/>
    <w:rsid w:val="00D7246F"/>
    <w:rsid w:val="00D724D1"/>
    <w:rsid w:val="00D72C39"/>
    <w:rsid w:val="00D74641"/>
    <w:rsid w:val="00D74756"/>
    <w:rsid w:val="00D75A9B"/>
    <w:rsid w:val="00D75F3A"/>
    <w:rsid w:val="00D76D00"/>
    <w:rsid w:val="00D7747E"/>
    <w:rsid w:val="00D80210"/>
    <w:rsid w:val="00D806E2"/>
    <w:rsid w:val="00D81B1B"/>
    <w:rsid w:val="00D823A9"/>
    <w:rsid w:val="00D83F31"/>
    <w:rsid w:val="00D841B1"/>
    <w:rsid w:val="00D8667B"/>
    <w:rsid w:val="00D86E89"/>
    <w:rsid w:val="00D8786F"/>
    <w:rsid w:val="00D878DF"/>
    <w:rsid w:val="00D87A79"/>
    <w:rsid w:val="00D90D7C"/>
    <w:rsid w:val="00D93114"/>
    <w:rsid w:val="00D93E04"/>
    <w:rsid w:val="00D93FC7"/>
    <w:rsid w:val="00D944B6"/>
    <w:rsid w:val="00D94CEB"/>
    <w:rsid w:val="00D95539"/>
    <w:rsid w:val="00D96061"/>
    <w:rsid w:val="00D968B5"/>
    <w:rsid w:val="00D96A63"/>
    <w:rsid w:val="00DA179D"/>
    <w:rsid w:val="00DA1D68"/>
    <w:rsid w:val="00DA27B0"/>
    <w:rsid w:val="00DA2CA9"/>
    <w:rsid w:val="00DA36AC"/>
    <w:rsid w:val="00DA56D7"/>
    <w:rsid w:val="00DA5909"/>
    <w:rsid w:val="00DA69C5"/>
    <w:rsid w:val="00DA6D7C"/>
    <w:rsid w:val="00DA7C65"/>
    <w:rsid w:val="00DB0F5E"/>
    <w:rsid w:val="00DB14F3"/>
    <w:rsid w:val="00DB202C"/>
    <w:rsid w:val="00DB2304"/>
    <w:rsid w:val="00DB29BB"/>
    <w:rsid w:val="00DB2A46"/>
    <w:rsid w:val="00DB2B06"/>
    <w:rsid w:val="00DB4162"/>
    <w:rsid w:val="00DB42A1"/>
    <w:rsid w:val="00DB4461"/>
    <w:rsid w:val="00DB5283"/>
    <w:rsid w:val="00DB5430"/>
    <w:rsid w:val="00DB6744"/>
    <w:rsid w:val="00DB7EA2"/>
    <w:rsid w:val="00DC034C"/>
    <w:rsid w:val="00DC09D3"/>
    <w:rsid w:val="00DC0C13"/>
    <w:rsid w:val="00DC18CF"/>
    <w:rsid w:val="00DC299D"/>
    <w:rsid w:val="00DC3A7E"/>
    <w:rsid w:val="00DC4F0E"/>
    <w:rsid w:val="00DC529E"/>
    <w:rsid w:val="00DC556A"/>
    <w:rsid w:val="00DC5C84"/>
    <w:rsid w:val="00DD0E3B"/>
    <w:rsid w:val="00DD198D"/>
    <w:rsid w:val="00DD1AD0"/>
    <w:rsid w:val="00DD26EC"/>
    <w:rsid w:val="00DD27A0"/>
    <w:rsid w:val="00DD35F7"/>
    <w:rsid w:val="00DD3753"/>
    <w:rsid w:val="00DD3B0D"/>
    <w:rsid w:val="00DD3F66"/>
    <w:rsid w:val="00DD4227"/>
    <w:rsid w:val="00DD49EF"/>
    <w:rsid w:val="00DD5B53"/>
    <w:rsid w:val="00DD63CD"/>
    <w:rsid w:val="00DD6EE9"/>
    <w:rsid w:val="00DD745C"/>
    <w:rsid w:val="00DD7F9A"/>
    <w:rsid w:val="00DE0028"/>
    <w:rsid w:val="00DE03A5"/>
    <w:rsid w:val="00DE0773"/>
    <w:rsid w:val="00DE0F20"/>
    <w:rsid w:val="00DE3747"/>
    <w:rsid w:val="00DE4A57"/>
    <w:rsid w:val="00DE4C28"/>
    <w:rsid w:val="00DE4EB4"/>
    <w:rsid w:val="00DE5738"/>
    <w:rsid w:val="00DE771F"/>
    <w:rsid w:val="00DE7BC0"/>
    <w:rsid w:val="00DF084B"/>
    <w:rsid w:val="00DF15E8"/>
    <w:rsid w:val="00DF1E63"/>
    <w:rsid w:val="00DF1FAF"/>
    <w:rsid w:val="00DF329D"/>
    <w:rsid w:val="00DF3495"/>
    <w:rsid w:val="00DF5315"/>
    <w:rsid w:val="00DF58BE"/>
    <w:rsid w:val="00DF69F9"/>
    <w:rsid w:val="00DF6C69"/>
    <w:rsid w:val="00DF6F7E"/>
    <w:rsid w:val="00DF7845"/>
    <w:rsid w:val="00DF7FF1"/>
    <w:rsid w:val="00E0011C"/>
    <w:rsid w:val="00E00CB3"/>
    <w:rsid w:val="00E017B5"/>
    <w:rsid w:val="00E03DDE"/>
    <w:rsid w:val="00E04DA8"/>
    <w:rsid w:val="00E05128"/>
    <w:rsid w:val="00E06428"/>
    <w:rsid w:val="00E101B4"/>
    <w:rsid w:val="00E1048E"/>
    <w:rsid w:val="00E104F1"/>
    <w:rsid w:val="00E11029"/>
    <w:rsid w:val="00E1137F"/>
    <w:rsid w:val="00E11A6D"/>
    <w:rsid w:val="00E133EB"/>
    <w:rsid w:val="00E1381D"/>
    <w:rsid w:val="00E13C3A"/>
    <w:rsid w:val="00E13E14"/>
    <w:rsid w:val="00E13FC8"/>
    <w:rsid w:val="00E14596"/>
    <w:rsid w:val="00E1459C"/>
    <w:rsid w:val="00E17AA5"/>
    <w:rsid w:val="00E17C96"/>
    <w:rsid w:val="00E22859"/>
    <w:rsid w:val="00E23017"/>
    <w:rsid w:val="00E231CF"/>
    <w:rsid w:val="00E23872"/>
    <w:rsid w:val="00E24C73"/>
    <w:rsid w:val="00E25160"/>
    <w:rsid w:val="00E26435"/>
    <w:rsid w:val="00E276DE"/>
    <w:rsid w:val="00E27AB9"/>
    <w:rsid w:val="00E3054F"/>
    <w:rsid w:val="00E3206D"/>
    <w:rsid w:val="00E33418"/>
    <w:rsid w:val="00E33977"/>
    <w:rsid w:val="00E34616"/>
    <w:rsid w:val="00E34F0F"/>
    <w:rsid w:val="00E35441"/>
    <w:rsid w:val="00E35568"/>
    <w:rsid w:val="00E35FE5"/>
    <w:rsid w:val="00E374C5"/>
    <w:rsid w:val="00E37A2D"/>
    <w:rsid w:val="00E37DC0"/>
    <w:rsid w:val="00E40FB6"/>
    <w:rsid w:val="00E42070"/>
    <w:rsid w:val="00E42253"/>
    <w:rsid w:val="00E4377F"/>
    <w:rsid w:val="00E4407F"/>
    <w:rsid w:val="00E44326"/>
    <w:rsid w:val="00E44CC7"/>
    <w:rsid w:val="00E44F9F"/>
    <w:rsid w:val="00E4523A"/>
    <w:rsid w:val="00E458D9"/>
    <w:rsid w:val="00E46790"/>
    <w:rsid w:val="00E4698A"/>
    <w:rsid w:val="00E46CC4"/>
    <w:rsid w:val="00E507E1"/>
    <w:rsid w:val="00E537B7"/>
    <w:rsid w:val="00E5447A"/>
    <w:rsid w:val="00E559E2"/>
    <w:rsid w:val="00E562B4"/>
    <w:rsid w:val="00E56362"/>
    <w:rsid w:val="00E564FF"/>
    <w:rsid w:val="00E569FC"/>
    <w:rsid w:val="00E60A3A"/>
    <w:rsid w:val="00E60DA9"/>
    <w:rsid w:val="00E61535"/>
    <w:rsid w:val="00E6180A"/>
    <w:rsid w:val="00E62E7F"/>
    <w:rsid w:val="00E63B76"/>
    <w:rsid w:val="00E63DA8"/>
    <w:rsid w:val="00E63DC7"/>
    <w:rsid w:val="00E64966"/>
    <w:rsid w:val="00E65386"/>
    <w:rsid w:val="00E656D3"/>
    <w:rsid w:val="00E65CD3"/>
    <w:rsid w:val="00E6697D"/>
    <w:rsid w:val="00E67D13"/>
    <w:rsid w:val="00E7044A"/>
    <w:rsid w:val="00E71492"/>
    <w:rsid w:val="00E7413E"/>
    <w:rsid w:val="00E74D5B"/>
    <w:rsid w:val="00E74F10"/>
    <w:rsid w:val="00E7500C"/>
    <w:rsid w:val="00E763AD"/>
    <w:rsid w:val="00E764C8"/>
    <w:rsid w:val="00E77ED0"/>
    <w:rsid w:val="00E8167B"/>
    <w:rsid w:val="00E8188A"/>
    <w:rsid w:val="00E83979"/>
    <w:rsid w:val="00E83E60"/>
    <w:rsid w:val="00E84667"/>
    <w:rsid w:val="00E85487"/>
    <w:rsid w:val="00E90DCB"/>
    <w:rsid w:val="00E915BD"/>
    <w:rsid w:val="00E91661"/>
    <w:rsid w:val="00E923ED"/>
    <w:rsid w:val="00E929BA"/>
    <w:rsid w:val="00E92E2B"/>
    <w:rsid w:val="00E935E9"/>
    <w:rsid w:val="00E93AEE"/>
    <w:rsid w:val="00E94072"/>
    <w:rsid w:val="00E950B6"/>
    <w:rsid w:val="00E95427"/>
    <w:rsid w:val="00E97AB7"/>
    <w:rsid w:val="00EA5506"/>
    <w:rsid w:val="00EA5715"/>
    <w:rsid w:val="00EA6723"/>
    <w:rsid w:val="00EA79D1"/>
    <w:rsid w:val="00EB1C4C"/>
    <w:rsid w:val="00EB207B"/>
    <w:rsid w:val="00EB25EA"/>
    <w:rsid w:val="00EB3E02"/>
    <w:rsid w:val="00EB3E54"/>
    <w:rsid w:val="00EB575D"/>
    <w:rsid w:val="00EB622D"/>
    <w:rsid w:val="00EC1101"/>
    <w:rsid w:val="00EC20A6"/>
    <w:rsid w:val="00EC4D3A"/>
    <w:rsid w:val="00EC74A0"/>
    <w:rsid w:val="00EC7F6E"/>
    <w:rsid w:val="00ED0108"/>
    <w:rsid w:val="00ED16E9"/>
    <w:rsid w:val="00ED1C4A"/>
    <w:rsid w:val="00ED221F"/>
    <w:rsid w:val="00ED3C06"/>
    <w:rsid w:val="00ED47E6"/>
    <w:rsid w:val="00ED5657"/>
    <w:rsid w:val="00ED59D4"/>
    <w:rsid w:val="00ED5EBB"/>
    <w:rsid w:val="00ED65C4"/>
    <w:rsid w:val="00EE052D"/>
    <w:rsid w:val="00EE3537"/>
    <w:rsid w:val="00EE45FB"/>
    <w:rsid w:val="00EE5772"/>
    <w:rsid w:val="00EE579C"/>
    <w:rsid w:val="00EE5902"/>
    <w:rsid w:val="00EE5BA3"/>
    <w:rsid w:val="00EE71A6"/>
    <w:rsid w:val="00EE7719"/>
    <w:rsid w:val="00EE7C58"/>
    <w:rsid w:val="00EF17C5"/>
    <w:rsid w:val="00EF1D2C"/>
    <w:rsid w:val="00EF24FD"/>
    <w:rsid w:val="00EF28AE"/>
    <w:rsid w:val="00EF39D7"/>
    <w:rsid w:val="00EF422E"/>
    <w:rsid w:val="00EF4860"/>
    <w:rsid w:val="00EF53D3"/>
    <w:rsid w:val="00EF6066"/>
    <w:rsid w:val="00EF6759"/>
    <w:rsid w:val="00EF6813"/>
    <w:rsid w:val="00F00B9A"/>
    <w:rsid w:val="00F02118"/>
    <w:rsid w:val="00F02571"/>
    <w:rsid w:val="00F03D4D"/>
    <w:rsid w:val="00F03DFC"/>
    <w:rsid w:val="00F04002"/>
    <w:rsid w:val="00F04486"/>
    <w:rsid w:val="00F05AC9"/>
    <w:rsid w:val="00F05CA7"/>
    <w:rsid w:val="00F06C1E"/>
    <w:rsid w:val="00F07794"/>
    <w:rsid w:val="00F0780A"/>
    <w:rsid w:val="00F10AC5"/>
    <w:rsid w:val="00F10F6D"/>
    <w:rsid w:val="00F11D8E"/>
    <w:rsid w:val="00F14042"/>
    <w:rsid w:val="00F163CE"/>
    <w:rsid w:val="00F1737E"/>
    <w:rsid w:val="00F17CFD"/>
    <w:rsid w:val="00F17DD9"/>
    <w:rsid w:val="00F21C45"/>
    <w:rsid w:val="00F239C2"/>
    <w:rsid w:val="00F2590A"/>
    <w:rsid w:val="00F25AED"/>
    <w:rsid w:val="00F27297"/>
    <w:rsid w:val="00F306BE"/>
    <w:rsid w:val="00F3128C"/>
    <w:rsid w:val="00F31EAF"/>
    <w:rsid w:val="00F3205E"/>
    <w:rsid w:val="00F32556"/>
    <w:rsid w:val="00F34DCC"/>
    <w:rsid w:val="00F354CF"/>
    <w:rsid w:val="00F35D31"/>
    <w:rsid w:val="00F371F1"/>
    <w:rsid w:val="00F3723B"/>
    <w:rsid w:val="00F379C9"/>
    <w:rsid w:val="00F41428"/>
    <w:rsid w:val="00F419BA"/>
    <w:rsid w:val="00F41A2F"/>
    <w:rsid w:val="00F41DD5"/>
    <w:rsid w:val="00F429C9"/>
    <w:rsid w:val="00F438A5"/>
    <w:rsid w:val="00F43999"/>
    <w:rsid w:val="00F44A3D"/>
    <w:rsid w:val="00F455C6"/>
    <w:rsid w:val="00F465FD"/>
    <w:rsid w:val="00F47898"/>
    <w:rsid w:val="00F5004B"/>
    <w:rsid w:val="00F5022B"/>
    <w:rsid w:val="00F50319"/>
    <w:rsid w:val="00F50AB4"/>
    <w:rsid w:val="00F50C12"/>
    <w:rsid w:val="00F5616C"/>
    <w:rsid w:val="00F567C9"/>
    <w:rsid w:val="00F56F0B"/>
    <w:rsid w:val="00F57228"/>
    <w:rsid w:val="00F57EF9"/>
    <w:rsid w:val="00F60F90"/>
    <w:rsid w:val="00F61FBF"/>
    <w:rsid w:val="00F641BB"/>
    <w:rsid w:val="00F64B70"/>
    <w:rsid w:val="00F65649"/>
    <w:rsid w:val="00F65889"/>
    <w:rsid w:val="00F66E91"/>
    <w:rsid w:val="00F67916"/>
    <w:rsid w:val="00F70519"/>
    <w:rsid w:val="00F70F4C"/>
    <w:rsid w:val="00F717A1"/>
    <w:rsid w:val="00F72453"/>
    <w:rsid w:val="00F72533"/>
    <w:rsid w:val="00F72994"/>
    <w:rsid w:val="00F72F3B"/>
    <w:rsid w:val="00F72F7C"/>
    <w:rsid w:val="00F735D0"/>
    <w:rsid w:val="00F73AB7"/>
    <w:rsid w:val="00F746C8"/>
    <w:rsid w:val="00F74849"/>
    <w:rsid w:val="00F7525D"/>
    <w:rsid w:val="00F76EAD"/>
    <w:rsid w:val="00F77484"/>
    <w:rsid w:val="00F774FA"/>
    <w:rsid w:val="00F8014A"/>
    <w:rsid w:val="00F802CF"/>
    <w:rsid w:val="00F80913"/>
    <w:rsid w:val="00F80A0C"/>
    <w:rsid w:val="00F81A2B"/>
    <w:rsid w:val="00F820BB"/>
    <w:rsid w:val="00F84122"/>
    <w:rsid w:val="00F85B2A"/>
    <w:rsid w:val="00F86920"/>
    <w:rsid w:val="00F8775F"/>
    <w:rsid w:val="00F911E7"/>
    <w:rsid w:val="00F91CCE"/>
    <w:rsid w:val="00F92474"/>
    <w:rsid w:val="00F9422D"/>
    <w:rsid w:val="00F945BB"/>
    <w:rsid w:val="00F9523C"/>
    <w:rsid w:val="00F96106"/>
    <w:rsid w:val="00F965AA"/>
    <w:rsid w:val="00F97F54"/>
    <w:rsid w:val="00FA0011"/>
    <w:rsid w:val="00FA00AD"/>
    <w:rsid w:val="00FA0C19"/>
    <w:rsid w:val="00FA11C2"/>
    <w:rsid w:val="00FA160C"/>
    <w:rsid w:val="00FA17DC"/>
    <w:rsid w:val="00FA2BFE"/>
    <w:rsid w:val="00FA3844"/>
    <w:rsid w:val="00FA40CE"/>
    <w:rsid w:val="00FA46EB"/>
    <w:rsid w:val="00FA4A4D"/>
    <w:rsid w:val="00FA5254"/>
    <w:rsid w:val="00FA5B88"/>
    <w:rsid w:val="00FA7335"/>
    <w:rsid w:val="00FA7401"/>
    <w:rsid w:val="00FB20FF"/>
    <w:rsid w:val="00FB361B"/>
    <w:rsid w:val="00FB3C1C"/>
    <w:rsid w:val="00FB4344"/>
    <w:rsid w:val="00FB5604"/>
    <w:rsid w:val="00FB5ED1"/>
    <w:rsid w:val="00FB77A6"/>
    <w:rsid w:val="00FC00A0"/>
    <w:rsid w:val="00FC00D2"/>
    <w:rsid w:val="00FC0556"/>
    <w:rsid w:val="00FC27D8"/>
    <w:rsid w:val="00FC6E0F"/>
    <w:rsid w:val="00FD0825"/>
    <w:rsid w:val="00FD1072"/>
    <w:rsid w:val="00FD1A87"/>
    <w:rsid w:val="00FD1B0F"/>
    <w:rsid w:val="00FD2710"/>
    <w:rsid w:val="00FD38C1"/>
    <w:rsid w:val="00FD3CDE"/>
    <w:rsid w:val="00FD448B"/>
    <w:rsid w:val="00FD46CE"/>
    <w:rsid w:val="00FD4BA6"/>
    <w:rsid w:val="00FD6C8C"/>
    <w:rsid w:val="00FD7E67"/>
    <w:rsid w:val="00FE06AB"/>
    <w:rsid w:val="00FE0ACD"/>
    <w:rsid w:val="00FE14CC"/>
    <w:rsid w:val="00FE24F9"/>
    <w:rsid w:val="00FE340E"/>
    <w:rsid w:val="00FE39E7"/>
    <w:rsid w:val="00FE3D50"/>
    <w:rsid w:val="00FE5617"/>
    <w:rsid w:val="00FE5773"/>
    <w:rsid w:val="00FE5E9E"/>
    <w:rsid w:val="00FE7825"/>
    <w:rsid w:val="00FE791D"/>
    <w:rsid w:val="00FF023E"/>
    <w:rsid w:val="00FF06E3"/>
    <w:rsid w:val="00FF08CB"/>
    <w:rsid w:val="00FF105D"/>
    <w:rsid w:val="00FF1291"/>
    <w:rsid w:val="00FF408B"/>
    <w:rsid w:val="00FF423F"/>
    <w:rsid w:val="00FF4298"/>
    <w:rsid w:val="00FF4F8A"/>
    <w:rsid w:val="00FF6238"/>
    <w:rsid w:val="00FF68E7"/>
    <w:rsid w:val="00FF7D6A"/>
    <w:rsid w:val="00FF7FB1"/>
    <w:rsid w:val="058B234A"/>
    <w:rsid w:val="112A0ED9"/>
    <w:rsid w:val="14D35947"/>
    <w:rsid w:val="1C5F7690"/>
    <w:rsid w:val="22D87A71"/>
    <w:rsid w:val="22DC3D1D"/>
    <w:rsid w:val="271A5D39"/>
    <w:rsid w:val="2C202670"/>
    <w:rsid w:val="2E7A5E1D"/>
    <w:rsid w:val="2F2A298E"/>
    <w:rsid w:val="33CB3D73"/>
    <w:rsid w:val="348E4CE3"/>
    <w:rsid w:val="3FC30721"/>
    <w:rsid w:val="44F75BB8"/>
    <w:rsid w:val="49FD7B74"/>
    <w:rsid w:val="58057CF0"/>
    <w:rsid w:val="5AC549EE"/>
    <w:rsid w:val="5EE60FEE"/>
    <w:rsid w:val="61C67296"/>
    <w:rsid w:val="67667C59"/>
    <w:rsid w:val="708B4AAE"/>
    <w:rsid w:val="75DA07E5"/>
    <w:rsid w:val="79C518C9"/>
    <w:rsid w:val="7E7D18C0"/>
  </w:rsids>
  <w:docVars>
    <w:docVar w:name="commondata" w:val="eyJoZGlkIjoiOWI5MmEzNDM0ODI0OGFmMzM3MmU2Y2M5Y2JkMmZkOD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unhideWhenUsed="0"/>
    <w:lsdException w:name="toc 1" w:uiPriority="39"/>
    <w:lsdException w:name="toc 2" w:uiPriority="39"/>
    <w:lsdException w:name="toc 3" w:uiPriority="0" w:unhideWhenUsed="0"/>
    <w:lsdException w:name="toc 4" w:uiPriority="39"/>
    <w:lsdException w:name="toc 5" w:uiPriority="39"/>
    <w:lsdException w:name="toc 6" w:uiPriority="39"/>
    <w:lsdException w:name="toc 7" w:uiPriority="0" w:unhideWhenUsed="0"/>
    <w:lsdException w:name="toc 8" w:uiPriority="39"/>
    <w:lsdException w:name="toc 9" w:uiPriority="39"/>
    <w:lsdException w:name="Normal Inden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caption" w:uiPriority="35" w:qFormat="1"/>
    <w:lsdException w:name="annotation reference" w:semiHidden="0" w:uiPriority="0" w:unhideWhenUsed="0"/>
    <w:lsdException w:name="page number" w:semiHidden="0" w:uiPriority="0" w:unhideWhenUsed="0"/>
    <w:lsdException w:name="Title" w:semiHidden="0" w:uiPriority="10" w:unhideWhenUsed="0" w:qFormat="1"/>
    <w:lsdException w:name="Default Paragraph Font" w:semiHidden="0" w:uiPriority="1"/>
    <w:lsdException w:name="Body Text" w:semiHidden="0" w:uiPriority="0" w:unhideWhenUsed="0"/>
    <w:lsdException w:name="Body Text Indent" w:semiHidden="0" w:uiPriority="0" w:unhideWhenUsed="0"/>
    <w:lsdException w:name="Subtitle" w:semiHidden="0" w:uiPriority="11" w:unhideWhenUsed="0" w:qFormat="1"/>
    <w:lsdException w:name="Date" w:semiHidden="0" w:uiPriority="0" w:unhideWhenUsed="0"/>
    <w:lsdException w:name="Body Text First Indent"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20" w:unhideWhenUsed="0" w:qFormat="1"/>
    <w:lsdException w:name="Document Map" w:uiPriority="0" w:unhideWhenUsed="0"/>
    <w:lsdException w:name="Plain Text" w:semiHidden="0" w:uiPriority="0" w:unhideWhenUsed="0"/>
    <w:lsdException w:name="Normal (Web)" w:semiHidden="0" w:unhideWhenUsed="0"/>
    <w:lsdException w:name="Normal Table" w:semiHidden="0" w:qFormat="1"/>
    <w:lsdException w:name="annotation subject" w:semiHidden="0" w:uiPriority="0" w:unhideWhenUsed="0"/>
    <w:lsdException w:name="Balloon Text" w:semiHidden="0" w:uiPriority="0" w:unhideWhenUsed="0"/>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adjustRightInd w:val="0"/>
      <w:spacing w:line="312" w:lineRule="atLeast"/>
      <w:jc w:val="both"/>
      <w:textAlignment w:val="baseline"/>
    </w:pPr>
    <w:rPr>
      <w:sz w:val="21"/>
      <w:lang w:val="en-US" w:eastAsia="zh-CN" w:bidi="ar-SA"/>
    </w:rPr>
  </w:style>
  <w:style w:type="paragraph" w:styleId="Heading1">
    <w:name w:val="heading 1"/>
    <w:basedOn w:val="Normal"/>
    <w:next w:val="Normal"/>
    <w:qFormat/>
    <w:pPr>
      <w:keepNext/>
      <w:keepLines/>
      <w:spacing w:before="120" w:after="120" w:line="360" w:lineRule="auto"/>
      <w:outlineLvl w:val="0"/>
    </w:pPr>
    <w:rPr>
      <w:rFonts w:ascii="黑体" w:eastAsia="黑体" w:hAnsi="Arial"/>
      <w:b/>
      <w:sz w:val="24"/>
    </w:rPr>
  </w:style>
  <w:style w:type="paragraph" w:styleId="Heading2">
    <w:name w:val="heading 2"/>
    <w:basedOn w:val="Normal"/>
    <w:next w:val="Normal"/>
    <w:qFormat/>
    <w:pPr>
      <w:keepNext/>
      <w:keepLines/>
      <w:spacing w:line="360" w:lineRule="auto"/>
      <w:outlineLvl w:val="1"/>
    </w:pPr>
    <w:rPr>
      <w:rFonts w:ascii="Arial" w:eastAsia="黑体" w:hAnsi="Arial"/>
      <w:b/>
      <w:sz w:val="24"/>
    </w:rPr>
  </w:style>
  <w:style w:type="paragraph" w:styleId="Heading3">
    <w:name w:val="heading 3"/>
    <w:basedOn w:val="Normal"/>
    <w:next w:val="NormalIndent"/>
    <w:qFormat/>
    <w:pPr>
      <w:keepNext/>
      <w:autoSpaceDE w:val="0"/>
      <w:autoSpaceDN w:val="0"/>
      <w:snapToGrid w:val="0"/>
      <w:spacing w:before="120" w:after="120" w:line="360" w:lineRule="auto"/>
      <w:jc w:val="left"/>
      <w:outlineLvl w:val="2"/>
    </w:pPr>
    <w:rPr>
      <w:rFonts w:ascii="宋体"/>
      <w:snapToGrid w:val="0"/>
      <w:spacing w:val="4"/>
      <w:sz w:val="24"/>
    </w:rPr>
  </w:style>
  <w:style w:type="paragraph" w:styleId="Heading4">
    <w:name w:val="heading 4"/>
    <w:basedOn w:val="Normal"/>
    <w:next w:val="Normal"/>
    <w:qFormat/>
    <w:pPr>
      <w:keepNext/>
      <w:adjustRightInd/>
      <w:spacing w:line="240" w:lineRule="auto"/>
      <w:jc w:val="center"/>
      <w:textAlignment w:val="auto"/>
      <w:outlineLvl w:val="3"/>
    </w:pPr>
    <w:rPr>
      <w:rFonts w:ascii="仿宋_GB2312" w:eastAsia="仿宋_GB2312" w:hAnsi="宋体"/>
      <w:b/>
      <w:w w:val="90"/>
      <w:kern w:val="2"/>
      <w:sz w:val="24"/>
    </w:rPr>
  </w:style>
  <w:style w:type="character" w:default="1" w:styleId="DefaultParagraphFont">
    <w:name w:val="Default Paragraph Font"/>
    <w:uiPriority w:val="1"/>
    <w:unhideWhenUsed/>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NormalIndent">
    <w:name w:val="Normal Indent"/>
    <w:basedOn w:val="Normal"/>
    <w:link w:val="a"/>
    <w:pPr>
      <w:ind w:firstLine="420" w:firstLineChars="200"/>
    </w:pPr>
  </w:style>
  <w:style w:type="character" w:customStyle="1" w:styleId="a">
    <w:name w:val="正文缩进 字符"/>
    <w:link w:val="NormalIndent"/>
    <w:rPr>
      <w:sz w:val="21"/>
    </w:rPr>
  </w:style>
  <w:style w:type="paragraph" w:styleId="TOC7">
    <w:name w:val="toc 7"/>
    <w:basedOn w:val="Normal"/>
    <w:next w:val="Normal"/>
    <w:semiHidden/>
    <w:pPr>
      <w:spacing w:line="360" w:lineRule="auto"/>
      <w:ind w:left="2520" w:leftChars="1200"/>
    </w:pPr>
    <w:rPr>
      <w:rFonts w:ascii="仿宋_GB2312" w:eastAsia="仿宋_GB2312"/>
      <w:sz w:val="24"/>
      <w:szCs w:val="24"/>
    </w:rPr>
  </w:style>
  <w:style w:type="paragraph" w:styleId="DocumentMap">
    <w:name w:val="Document Map"/>
    <w:basedOn w:val="Normal"/>
    <w:semiHidden/>
    <w:pPr>
      <w:shd w:val="clear" w:color="auto" w:fill="000080"/>
    </w:pPr>
  </w:style>
  <w:style w:type="paragraph" w:styleId="CommentText">
    <w:name w:val="annotation text"/>
    <w:basedOn w:val="Normal"/>
    <w:pPr>
      <w:jc w:val="left"/>
    </w:pPr>
  </w:style>
  <w:style w:type="paragraph" w:styleId="BodyText3">
    <w:name w:val="Body Text 3"/>
    <w:basedOn w:val="Normal"/>
    <w:pPr>
      <w:adjustRightInd/>
      <w:spacing w:before="120" w:line="360" w:lineRule="auto"/>
      <w:textAlignment w:val="auto"/>
    </w:pPr>
    <w:rPr>
      <w:b/>
      <w:kern w:val="10"/>
      <w:sz w:val="24"/>
    </w:rPr>
  </w:style>
  <w:style w:type="paragraph" w:styleId="BodyText">
    <w:name w:val="Body Text"/>
    <w:basedOn w:val="Normal"/>
    <w:pPr>
      <w:spacing w:after="120"/>
    </w:pPr>
  </w:style>
  <w:style w:type="paragraph" w:styleId="BodyTextIndent">
    <w:name w:val="Body Text Indent"/>
    <w:basedOn w:val="Normal"/>
    <w:pPr>
      <w:spacing w:line="360" w:lineRule="auto"/>
      <w:ind w:firstLine="480" w:firstLineChars="200"/>
    </w:pPr>
    <w:rPr>
      <w:rFonts w:ascii="宋体"/>
      <w:sz w:val="24"/>
    </w:rPr>
  </w:style>
  <w:style w:type="paragraph" w:styleId="TOC3">
    <w:name w:val="toc 3"/>
    <w:basedOn w:val="Normal"/>
    <w:next w:val="Normal"/>
    <w:semiHidden/>
    <w:pPr>
      <w:snapToGrid w:val="0"/>
      <w:spacing w:line="360" w:lineRule="auto"/>
      <w:ind w:left="480" w:firstLine="200" w:firstLineChars="200"/>
      <w:jc w:val="left"/>
    </w:pPr>
    <w:rPr>
      <w:i/>
      <w:snapToGrid w:val="0"/>
      <w:spacing w:val="4"/>
      <w:sz w:val="24"/>
    </w:rPr>
  </w:style>
  <w:style w:type="paragraph" w:styleId="PlainText">
    <w:name w:val="Plain Text"/>
    <w:basedOn w:val="Normal"/>
    <w:pPr>
      <w:adjustRightInd/>
      <w:spacing w:line="240" w:lineRule="auto"/>
      <w:textAlignment w:val="auto"/>
    </w:pPr>
    <w:rPr>
      <w:rFonts w:ascii="宋体" w:hAnsi="Courier New"/>
      <w:kern w:val="2"/>
    </w:rPr>
  </w:style>
  <w:style w:type="paragraph" w:styleId="Date">
    <w:name w:val="Date"/>
    <w:basedOn w:val="Normal"/>
    <w:next w:val="Normal"/>
    <w:pPr>
      <w:adjustRightInd/>
      <w:spacing w:line="240" w:lineRule="auto"/>
      <w:textAlignment w:val="auto"/>
    </w:pPr>
    <w:rPr>
      <w:rFonts w:ascii="仿宋_GB2312" w:eastAsia="仿宋_GB2312"/>
      <w:kern w:val="2"/>
      <w:sz w:val="28"/>
    </w:rPr>
  </w:style>
  <w:style w:type="paragraph" w:styleId="BodyTextIndent2">
    <w:name w:val="Body Text Indent 2"/>
    <w:basedOn w:val="Normal"/>
    <w:pPr>
      <w:adjustRightInd/>
      <w:spacing w:line="500" w:lineRule="exact"/>
      <w:ind w:firstLine="556"/>
      <w:textAlignment w:val="auto"/>
    </w:pPr>
    <w:rPr>
      <w:rFonts w:ascii="仿宋_GB2312" w:eastAsia="仿宋_GB2312"/>
      <w:kern w:val="2"/>
      <w:sz w:val="28"/>
    </w:rPr>
  </w:style>
  <w:style w:type="paragraph" w:styleId="BalloonText">
    <w:name w:val="Balloon Text"/>
    <w:basedOn w:val="Normal"/>
    <w:rPr>
      <w:sz w:val="18"/>
    </w:rPr>
  </w:style>
  <w:style w:type="paragraph" w:styleId="Footer">
    <w:name w:val="footer"/>
    <w:basedOn w:val="Normal"/>
    <w:pPr>
      <w:tabs>
        <w:tab w:val="center" w:pos="4153"/>
        <w:tab w:val="right" w:pos="8306"/>
      </w:tabs>
      <w:snapToGrid w:val="0"/>
      <w:spacing w:line="240" w:lineRule="atLeast"/>
      <w:jc w:val="left"/>
    </w:pPr>
    <w:rPr>
      <w:sz w:val="18"/>
    </w:rPr>
  </w:style>
  <w:style w:type="paragraph" w:styleId="Header">
    <w:name w:val="header"/>
    <w:basedOn w:val="Normal"/>
    <w:pPr>
      <w:pBdr>
        <w:bottom w:val="single" w:sz="6" w:space="1" w:color="auto"/>
      </w:pBdr>
      <w:tabs>
        <w:tab w:val="center" w:pos="4153"/>
        <w:tab w:val="right" w:pos="8306"/>
      </w:tabs>
      <w:snapToGrid w:val="0"/>
      <w:spacing w:line="240" w:lineRule="atLeast"/>
      <w:jc w:val="center"/>
    </w:pPr>
    <w:rPr>
      <w:sz w:val="18"/>
    </w:rPr>
  </w:style>
  <w:style w:type="paragraph" w:styleId="BodyTextIndent3">
    <w:name w:val="Body Text Indent 3"/>
    <w:basedOn w:val="Normal"/>
    <w:pPr>
      <w:adjustRightInd/>
      <w:spacing w:line="360" w:lineRule="auto"/>
      <w:ind w:firstLine="560" w:firstLineChars="200"/>
      <w:textAlignment w:val="auto"/>
    </w:pPr>
    <w:rPr>
      <w:rFonts w:ascii="仿宋_GB2312" w:eastAsia="仿宋_GB2312" w:hAnsi="宋体"/>
      <w:color w:val="000000"/>
      <w:kern w:val="2"/>
      <w:sz w:val="28"/>
    </w:rPr>
  </w:style>
  <w:style w:type="paragraph" w:styleId="BodyText2">
    <w:name w:val="Body Text 2"/>
    <w:basedOn w:val="Normal"/>
    <w:rPr>
      <w:rFonts w:eastAsia="仿宋_GB2312"/>
      <w:sz w:val="28"/>
    </w:rPr>
  </w:style>
  <w:style w:type="paragraph" w:styleId="NormalWeb">
    <w:name w:val="Normal (Web)"/>
    <w:basedOn w:val="Normal"/>
    <w:uiPriority w:val="99"/>
    <w:pPr>
      <w:widowControl/>
      <w:adjustRightInd/>
      <w:spacing w:before="100" w:beforeAutospacing="1" w:after="100" w:afterAutospacing="1" w:line="240" w:lineRule="auto"/>
      <w:jc w:val="left"/>
      <w:textAlignment w:val="auto"/>
    </w:pPr>
    <w:rPr>
      <w:rFonts w:ascii="宋体" w:hAnsi="宋体"/>
      <w:sz w:val="24"/>
    </w:rPr>
  </w:style>
  <w:style w:type="paragraph" w:styleId="Index1">
    <w:name w:val="index 1"/>
    <w:basedOn w:val="Normal"/>
    <w:next w:val="Normal"/>
    <w:semiHidden/>
    <w:pPr>
      <w:spacing w:line="240" w:lineRule="auto"/>
      <w:jc w:val="center"/>
    </w:pPr>
    <w:rPr>
      <w:rFonts w:ascii="仿宋_GB2312" w:eastAsia="仿宋_GB2312" w:hAnsi="宋体"/>
      <w:color w:val="000000"/>
      <w:sz w:val="24"/>
    </w:rPr>
  </w:style>
  <w:style w:type="paragraph" w:styleId="CommentSubject">
    <w:name w:val="annotation subject"/>
    <w:basedOn w:val="CommentText"/>
    <w:next w:val="CommentText"/>
    <w:rPr>
      <w:b/>
    </w:rPr>
  </w:style>
  <w:style w:type="paragraph" w:styleId="BodyTextFirstIndent">
    <w:name w:val="Body Text First Indent"/>
    <w:basedOn w:val="BodyText"/>
    <w:link w:val="a0"/>
    <w:pPr>
      <w:ind w:firstLine="420" w:firstLineChars="100"/>
    </w:pPr>
  </w:style>
  <w:style w:type="character" w:customStyle="1" w:styleId="a0">
    <w:name w:val="正文文本首行缩进 字符"/>
    <w:link w:val="BodyTextFirstIndent"/>
    <w:rPr>
      <w:sz w:val="21"/>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qFormat/>
    <w:rPr>
      <w:b/>
    </w:rPr>
  </w:style>
  <w:style w:type="character" w:styleId="PageNumber">
    <w:name w:val="page number"/>
    <w:basedOn w:val="DefaultParagraphFont"/>
  </w:style>
  <w:style w:type="character" w:styleId="FollowedHyperlink">
    <w:name w:val="FollowedHyperlink"/>
    <w:rPr>
      <w:color w:val="800080"/>
      <w:u w:val="single"/>
    </w:rPr>
  </w:style>
  <w:style w:type="character" w:styleId="Emphasis">
    <w:name w:val="Emphasis"/>
    <w:uiPriority w:val="20"/>
    <w:qFormat/>
    <w:rPr>
      <w:color w:val="CC0033"/>
    </w:rPr>
  </w:style>
  <w:style w:type="character" w:styleId="Hyperlink">
    <w:name w:val="Hyperlink"/>
    <w:rPr>
      <w:color w:val="000000"/>
      <w:u w:val="single"/>
    </w:rPr>
  </w:style>
  <w:style w:type="character" w:styleId="CommentReference">
    <w:name w:val="annotation reference"/>
    <w:rPr>
      <w:sz w:val="21"/>
    </w:rPr>
  </w:style>
  <w:style w:type="character" w:customStyle="1" w:styleId="CharChar">
    <w:name w:val="表格居中 Char Char"/>
    <w:link w:val="Char"/>
    <w:rPr>
      <w:rFonts w:ascii="宋体" w:hAnsi="宋体"/>
      <w:w w:val="90"/>
      <w:sz w:val="24"/>
      <w:szCs w:val="24"/>
    </w:rPr>
  </w:style>
  <w:style w:type="paragraph" w:customStyle="1" w:styleId="Char">
    <w:name w:val="表格居中 Char"/>
    <w:basedOn w:val="Normal"/>
    <w:link w:val="CharChar"/>
    <w:pPr>
      <w:adjustRightInd/>
      <w:spacing w:line="240" w:lineRule="auto"/>
      <w:jc w:val="center"/>
      <w:textAlignment w:val="auto"/>
    </w:pPr>
    <w:rPr>
      <w:rFonts w:ascii="宋体" w:hAnsi="宋体"/>
      <w:w w:val="90"/>
      <w:sz w:val="24"/>
      <w:szCs w:val="24"/>
    </w:rPr>
  </w:style>
  <w:style w:type="character" w:customStyle="1" w:styleId="Char0">
    <w:name w:val="Char"/>
    <w:rPr>
      <w:rFonts w:ascii="宋体" w:hAnsi="Courier New"/>
      <w:kern w:val="2"/>
      <w:sz w:val="21"/>
    </w:rPr>
  </w:style>
  <w:style w:type="character" w:customStyle="1" w:styleId="CharCharChar">
    <w:name w:val="表格正文 Char Char Char"/>
    <w:rPr>
      <w:rFonts w:ascii="宋体" w:eastAsia="宋体"/>
      <w:snapToGrid w:val="0"/>
      <w:spacing w:val="4"/>
      <w:w w:val="90"/>
      <w:kern w:val="18"/>
      <w:sz w:val="24"/>
      <w:lang w:val="en-US" w:eastAsia="zh-CN"/>
    </w:rPr>
  </w:style>
  <w:style w:type="character" w:customStyle="1" w:styleId="aaChar">
    <w:name w:val="aa正文 Char"/>
    <w:link w:val="aa"/>
    <w:locked/>
    <w:rPr>
      <w:sz w:val="24"/>
    </w:rPr>
  </w:style>
  <w:style w:type="paragraph" w:customStyle="1" w:styleId="aa">
    <w:name w:val="aa正文"/>
    <w:basedOn w:val="Normal"/>
    <w:link w:val="aaChar"/>
    <w:qFormat/>
    <w:pPr>
      <w:snapToGrid w:val="0"/>
      <w:spacing w:line="360" w:lineRule="auto"/>
      <w:ind w:firstLine="200" w:firstLineChars="200"/>
    </w:pPr>
    <w:rPr>
      <w:sz w:val="24"/>
    </w:rPr>
  </w:style>
  <w:style w:type="character" w:customStyle="1" w:styleId="hh1">
    <w:name w:val="hh1"/>
    <w:rPr>
      <w:u w:val="none"/>
    </w:rPr>
  </w:style>
  <w:style w:type="character" w:customStyle="1" w:styleId="ttag">
    <w:name w:val="t_tag"/>
    <w:basedOn w:val="DefaultParagraphFont"/>
  </w:style>
  <w:style w:type="character" w:customStyle="1" w:styleId="WW-">
    <w:name w:val="WW-编号"/>
  </w:style>
  <w:style w:type="character" w:customStyle="1" w:styleId="a1">
    <w:name w:val="样式 宋体 小四"/>
    <w:rPr>
      <w:rFonts w:ascii="宋体" w:eastAsia="宋体" w:hAnsi="宋体"/>
      <w:sz w:val="24"/>
    </w:rPr>
  </w:style>
  <w:style w:type="character" w:customStyle="1" w:styleId="Char1">
    <w:name w:val="表格正文 Char1"/>
    <w:link w:val="a2"/>
    <w:rPr>
      <w:rFonts w:ascii="宋体"/>
      <w:snapToGrid/>
      <w:spacing w:val="4"/>
      <w:w w:val="90"/>
      <w:sz w:val="24"/>
    </w:rPr>
  </w:style>
  <w:style w:type="paragraph" w:customStyle="1" w:styleId="a2">
    <w:name w:val="表格正文"/>
    <w:basedOn w:val="Normal"/>
    <w:next w:val="Normal"/>
    <w:link w:val="Char1"/>
    <w:pPr>
      <w:snapToGrid w:val="0"/>
      <w:spacing w:line="240" w:lineRule="auto"/>
      <w:jc w:val="center"/>
    </w:pPr>
    <w:rPr>
      <w:rFonts w:ascii="宋体"/>
      <w:snapToGrid w:val="0"/>
      <w:spacing w:val="4"/>
      <w:w w:val="90"/>
      <w:sz w:val="24"/>
    </w:rPr>
  </w:style>
  <w:style w:type="paragraph" w:customStyle="1" w:styleId="a3">
    <w:name w:val="正文样式"/>
    <w:basedOn w:val="Normal"/>
    <w:pPr>
      <w:adjustRightInd/>
      <w:spacing w:line="360" w:lineRule="auto"/>
      <w:ind w:right="170" w:firstLine="480" w:firstLineChars="200"/>
      <w:textAlignment w:val="auto"/>
    </w:pPr>
    <w:rPr>
      <w:rFonts w:hAnsi="宋体"/>
      <w:kern w:val="2"/>
      <w:sz w:val="24"/>
      <w:szCs w:val="24"/>
    </w:rPr>
  </w:style>
  <w:style w:type="paragraph" w:customStyle="1" w:styleId="-6">
    <w:name w:val="胡奔流-标题6"/>
    <w:basedOn w:val="Normal"/>
    <w:pPr>
      <w:snapToGrid w:val="0"/>
      <w:spacing w:line="360" w:lineRule="auto"/>
    </w:pPr>
    <w:rPr>
      <w:rFonts w:ascii="宋体"/>
      <w:snapToGrid w:val="0"/>
      <w:spacing w:val="10"/>
      <w:sz w:val="24"/>
    </w:rPr>
  </w:style>
  <w:style w:type="paragraph" w:customStyle="1" w:styleId="1">
    <w:name w:val="纯文本1"/>
    <w:basedOn w:val="Normal"/>
    <w:pPr>
      <w:autoSpaceDE w:val="0"/>
      <w:autoSpaceDN w:val="0"/>
      <w:spacing w:line="240" w:lineRule="auto"/>
    </w:pPr>
    <w:rPr>
      <w:rFonts w:ascii="Courier New" w:hAnsi="Courier New"/>
      <w:kern w:val="2"/>
      <w:sz w:val="15"/>
    </w:rPr>
  </w:style>
  <w:style w:type="paragraph" w:customStyle="1" w:styleId="a4">
    <w:name w:val="文本正文"/>
    <w:basedOn w:val="Normal"/>
    <w:pPr>
      <w:adjustRightInd/>
      <w:snapToGrid w:val="0"/>
      <w:spacing w:line="360" w:lineRule="auto"/>
      <w:ind w:firstLine="200" w:firstLineChars="200"/>
      <w:jc w:val="left"/>
      <w:textAlignment w:val="auto"/>
    </w:pPr>
    <w:rPr>
      <w:rFonts w:ascii="宋体"/>
      <w:spacing w:val="4"/>
      <w:kern w:val="24"/>
      <w:sz w:val="24"/>
      <w:szCs w:val="24"/>
      <w:lang w:val="zh-CN"/>
    </w:rPr>
  </w:style>
  <w:style w:type="paragraph" w:customStyle="1" w:styleId="4">
    <w:name w:val="标题4"/>
    <w:basedOn w:val="Normal"/>
    <w:pPr>
      <w:snapToGrid w:val="0"/>
      <w:spacing w:line="360" w:lineRule="auto"/>
      <w:ind w:left="496" w:leftChars="200"/>
      <w:textAlignment w:val="auto"/>
    </w:pPr>
    <w:rPr>
      <w:rFonts w:ascii="宋体" w:hAnsi="宋体"/>
      <w:snapToGrid w:val="0"/>
      <w:spacing w:val="4"/>
      <w:sz w:val="24"/>
    </w:rPr>
  </w:style>
  <w:style w:type="paragraph" w:customStyle="1" w:styleId="CharCharCharCharCharCharCharCharCharCharCharChar">
    <w:name w:val="Char Char Char Char Char Char Char Char Char Char Char Char"/>
    <w:basedOn w:val="Normal"/>
    <w:pPr>
      <w:adjustRightInd/>
      <w:spacing w:line="240" w:lineRule="auto"/>
      <w:textAlignment w:val="auto"/>
    </w:pPr>
    <w:rPr>
      <w:kern w:val="2"/>
      <w:sz w:val="24"/>
    </w:rPr>
  </w:style>
  <w:style w:type="paragraph" w:customStyle="1" w:styleId="10">
    <w:name w:val="列出段落1"/>
    <w:basedOn w:val="Normal"/>
    <w:qFormat/>
    <w:pPr>
      <w:snapToGrid w:val="0"/>
      <w:jc w:val="center"/>
    </w:pPr>
    <w:rPr>
      <w:szCs w:val="22"/>
    </w:rPr>
  </w:style>
  <w:style w:type="paragraph" w:customStyle="1" w:styleId="a5">
    <w:name w:val="段"/>
    <w:pPr>
      <w:autoSpaceDE w:val="0"/>
      <w:autoSpaceDN w:val="0"/>
      <w:ind w:firstLine="200" w:firstLineChars="200"/>
      <w:jc w:val="both"/>
    </w:pPr>
    <w:rPr>
      <w:rFonts w:ascii="宋体"/>
      <w:sz w:val="21"/>
      <w:lang w:val="en-US" w:eastAsia="zh-CN" w:bidi="ar-SA"/>
    </w:rPr>
  </w:style>
  <w:style w:type="paragraph" w:customStyle="1" w:styleId="a6">
    <w:name w:val="小四+首行缩进"/>
    <w:basedOn w:val="Normal"/>
    <w:pPr>
      <w:adjustRightInd/>
      <w:spacing w:line="360" w:lineRule="auto"/>
      <w:ind w:firstLine="482"/>
      <w:textAlignment w:val="auto"/>
    </w:pPr>
    <w:rPr>
      <w:rFonts w:ascii="宋体" w:hAnsi="宋体" w:cs="宋体"/>
      <w:kern w:val="2"/>
      <w:sz w:val="24"/>
    </w:rPr>
  </w:style>
  <w:style w:type="paragraph" w:customStyle="1" w:styleId="a7">
    <w:name w:val="附录五级条标题"/>
    <w:basedOn w:val="a8"/>
    <w:next w:val="a5"/>
    <w:pPr>
      <w:outlineLvl w:val="6"/>
    </w:pPr>
  </w:style>
  <w:style w:type="paragraph" w:customStyle="1" w:styleId="a8">
    <w:name w:val="附录四级条标题"/>
    <w:basedOn w:val="a9"/>
    <w:next w:val="a5"/>
    <w:pPr>
      <w:outlineLvl w:val="5"/>
    </w:pPr>
  </w:style>
  <w:style w:type="paragraph" w:customStyle="1" w:styleId="a9">
    <w:name w:val="附录三级条标题"/>
    <w:basedOn w:val="a10"/>
    <w:next w:val="a5"/>
    <w:pPr>
      <w:outlineLvl w:val="4"/>
    </w:pPr>
  </w:style>
  <w:style w:type="paragraph" w:customStyle="1" w:styleId="a10">
    <w:name w:val="附录二级条标题"/>
    <w:basedOn w:val="a11"/>
    <w:next w:val="a5"/>
    <w:pPr>
      <w:outlineLvl w:val="3"/>
    </w:pPr>
  </w:style>
  <w:style w:type="paragraph" w:customStyle="1" w:styleId="a11">
    <w:name w:val="附录一级条标题"/>
    <w:basedOn w:val="a12"/>
    <w:next w:val="a5"/>
    <w:pPr>
      <w:autoSpaceDN w:val="0"/>
      <w:spacing w:beforeLines="0" w:afterLines="0"/>
      <w:outlineLvl w:val="2"/>
    </w:pPr>
  </w:style>
  <w:style w:type="paragraph" w:customStyle="1" w:styleId="a12">
    <w:name w:val="附录章标题"/>
    <w:next w:val="a5"/>
    <w:pPr>
      <w:wordWrap w:val="0"/>
      <w:overflowPunct w:val="0"/>
      <w:autoSpaceDE w:val="0"/>
      <w:spacing w:beforeLines="50" w:afterLines="50"/>
      <w:jc w:val="both"/>
      <w:textAlignment w:val="baseline"/>
      <w:outlineLvl w:val="1"/>
    </w:pPr>
    <w:rPr>
      <w:rFonts w:ascii="黑体" w:eastAsia="黑体"/>
      <w:kern w:val="21"/>
      <w:sz w:val="21"/>
      <w:lang w:val="en-US" w:eastAsia="zh-CN" w:bidi="ar-SA"/>
    </w:rPr>
  </w:style>
  <w:style w:type="paragraph" w:customStyle="1" w:styleId="CharCharCharCharCharCharCharCharCharCharCharCharCharCharCharCharCharChar">
    <w:name w:val="Char Char Char Char Char Char Char Char Char Char Char Char Char Char Char Char Char Char"/>
    <w:basedOn w:val="Normal"/>
    <w:pPr>
      <w:adjustRightInd/>
      <w:spacing w:line="240" w:lineRule="auto"/>
      <w:textAlignment w:val="auto"/>
    </w:pPr>
    <w:rPr>
      <w:kern w:val="2"/>
      <w:sz w:val="24"/>
    </w:rPr>
  </w:style>
  <w:style w:type="paragraph" w:customStyle="1" w:styleId="ParaChar">
    <w:name w:val="默认段落字体 Para Char"/>
    <w:basedOn w:val="Normal"/>
    <w:pPr>
      <w:adjustRightInd/>
      <w:spacing w:line="240" w:lineRule="auto"/>
      <w:textAlignment w:val="auto"/>
    </w:pPr>
    <w:rPr>
      <w:rFonts w:ascii="Arial" w:hAnsi="Arial"/>
      <w:kern w:val="2"/>
    </w:rPr>
  </w:style>
  <w:style w:type="paragraph" w:customStyle="1" w:styleId="a13">
    <w:name w:val="中文报告书样式"/>
    <w:basedOn w:val="Normal"/>
    <w:pPr>
      <w:spacing w:line="480" w:lineRule="atLeast"/>
      <w:ind w:firstLine="482"/>
    </w:pPr>
    <w:rPr>
      <w:kern w:val="24"/>
      <w:sz w:val="24"/>
    </w:rPr>
  </w:style>
  <w:style w:type="paragraph" w:customStyle="1" w:styleId="Char10">
    <w:name w:val="Char1"/>
    <w:basedOn w:val="Normal"/>
    <w:pPr>
      <w:adjustRightInd/>
      <w:spacing w:line="240" w:lineRule="auto"/>
      <w:textAlignment w:val="auto"/>
    </w:pPr>
    <w:rPr>
      <w:kern w:val="2"/>
      <w:szCs w:val="24"/>
    </w:rPr>
  </w:style>
  <w:style w:type="paragraph" w:customStyle="1" w:styleId="11">
    <w:name w:val="1"/>
    <w:basedOn w:val="Normal"/>
    <w:next w:val="BodyText"/>
    <w:pPr>
      <w:spacing w:after="120"/>
    </w:pPr>
    <w:rPr>
      <w:rFonts w:ascii="宋体"/>
      <w:spacing w:val="4"/>
      <w:kern w:val="21"/>
      <w:sz w:val="24"/>
    </w:rPr>
  </w:style>
  <w:style w:type="paragraph" w:customStyle="1" w:styleId="CharCharCharCharCharCharCharCharCharCharCharCharChar">
    <w:name w:val="Char Char Char Char Char Char Char Char Char Char Char Char Char 字元 字元"/>
    <w:basedOn w:val="Normal"/>
    <w:pPr>
      <w:adjustRightInd/>
      <w:spacing w:line="240" w:lineRule="auto"/>
      <w:textAlignment w:val="auto"/>
    </w:pPr>
    <w:rPr>
      <w:kern w:val="2"/>
      <w:sz w:val="24"/>
    </w:rPr>
  </w:style>
  <w:style w:type="paragraph" w:customStyle="1" w:styleId="a14">
    <w:name w:val="居中正文"/>
    <w:basedOn w:val="BodyTextFirstIndent"/>
    <w:pPr>
      <w:spacing w:before="120" w:after="0" w:line="360" w:lineRule="auto"/>
      <w:ind w:firstLine="0" w:firstLineChars="0"/>
      <w:jc w:val="center"/>
    </w:pPr>
    <w:rPr>
      <w:rFonts w:ascii="宋体"/>
      <w:kern w:val="28"/>
      <w:sz w:val="24"/>
    </w:rPr>
  </w:style>
  <w:style w:type="paragraph" w:customStyle="1" w:styleId="21">
    <w:name w:val="正文文本 21"/>
    <w:basedOn w:val="Normal"/>
    <w:pPr>
      <w:spacing w:line="240" w:lineRule="auto"/>
      <w:jc w:val="center"/>
    </w:pPr>
    <w:rPr>
      <w:kern w:val="2"/>
      <w:sz w:val="24"/>
    </w:rPr>
  </w:style>
  <w:style w:type="paragraph" w:customStyle="1" w:styleId="a15">
    <w:name w:val="表格内正文"/>
    <w:basedOn w:val="Normal"/>
    <w:pPr>
      <w:adjustRightInd/>
      <w:spacing w:line="360" w:lineRule="auto"/>
      <w:ind w:firstLine="493"/>
      <w:textAlignment w:val="auto"/>
    </w:pPr>
    <w:rPr>
      <w:rFonts w:ascii="宋体" w:hAnsi="宋体"/>
      <w:spacing w:val="4"/>
      <w:kern w:val="18"/>
      <w:sz w:val="24"/>
      <w:szCs w:val="24"/>
    </w:rPr>
  </w:style>
  <w:style w:type="paragraph" w:customStyle="1" w:styleId="CharChar0">
    <w:name w:val="表格正文 Char Char"/>
    <w:basedOn w:val="Normal"/>
    <w:next w:val="Normal"/>
    <w:pPr>
      <w:snapToGrid w:val="0"/>
      <w:spacing w:line="240" w:lineRule="auto"/>
      <w:jc w:val="center"/>
    </w:pPr>
    <w:rPr>
      <w:rFonts w:ascii="宋体"/>
      <w:snapToGrid w:val="0"/>
      <w:spacing w:val="4"/>
      <w:w w:val="90"/>
      <w:kern w:val="18"/>
      <w:sz w:val="24"/>
    </w:rPr>
  </w:style>
  <w:style w:type="paragraph" w:customStyle="1" w:styleId="HJN-ZZ">
    <w:name w:val="HJN-ZZ"/>
    <w:basedOn w:val="Normal"/>
    <w:pPr>
      <w:spacing w:line="360" w:lineRule="auto"/>
      <w:ind w:firstLine="482"/>
      <w:jc w:val="left"/>
    </w:pPr>
    <w:rPr>
      <w:rFonts w:ascii="宋体" w:hAnsi="宋体"/>
      <w:kern w:val="21"/>
      <w:sz w:val="24"/>
    </w:rPr>
  </w:style>
  <w:style w:type="paragraph" w:customStyle="1" w:styleId="a16">
    <w:name w:val="附录标识"/>
    <w:basedOn w:val="Normal"/>
    <w:pPr>
      <w:widowControl/>
      <w:shd w:val="clear" w:color="FFFFFF" w:fill="FFFFFF"/>
      <w:tabs>
        <w:tab w:val="left" w:pos="6405"/>
      </w:tabs>
      <w:adjustRightInd/>
      <w:spacing w:before="240" w:after="200" w:line="240" w:lineRule="auto"/>
      <w:jc w:val="center"/>
      <w:textAlignment w:val="auto"/>
      <w:outlineLvl w:val="0"/>
    </w:pPr>
    <w:rPr>
      <w:rFonts w:ascii="黑体" w:eastAsia="黑体"/>
    </w:rPr>
  </w:style>
  <w:style w:type="paragraph" w:customStyle="1" w:styleId="12">
    <w:name w:val="样式1"/>
    <w:basedOn w:val="Normal"/>
    <w:pPr>
      <w:adjustRightInd/>
      <w:spacing w:line="360" w:lineRule="auto"/>
      <w:ind w:firstLine="510"/>
      <w:textAlignment w:val="auto"/>
    </w:pPr>
    <w:rPr>
      <w:kern w:val="2"/>
      <w:sz w:val="24"/>
    </w:rPr>
  </w:style>
  <w:style w:type="paragraph" w:customStyle="1" w:styleId="AM">
    <w:name w:val="正本AM"/>
    <w:basedOn w:val="Normal"/>
    <w:pPr>
      <w:snapToGrid w:val="0"/>
      <w:spacing w:line="360" w:lineRule="auto"/>
      <w:ind w:firstLine="576" w:firstLineChars="200"/>
      <w:jc w:val="left"/>
      <w:textAlignment w:val="auto"/>
    </w:pPr>
    <w:rPr>
      <w:rFonts w:eastAsia="仿宋_GB2312"/>
      <w:spacing w:val="4"/>
      <w:kern w:val="18"/>
      <w:sz w:val="28"/>
      <w:szCs w:val="28"/>
    </w:rPr>
  </w:style>
  <w:style w:type="paragraph" w:customStyle="1" w:styleId="-4">
    <w:name w:val="胡奔流-标题4"/>
    <w:basedOn w:val="Normal"/>
    <w:pPr>
      <w:spacing w:before="240" w:after="240" w:line="360" w:lineRule="auto"/>
    </w:pPr>
    <w:rPr>
      <w:rFonts w:ascii="宋体"/>
      <w:spacing w:val="10"/>
      <w:kern w:val="21"/>
      <w:sz w:val="24"/>
    </w:rPr>
  </w:style>
  <w:style w:type="paragraph" w:styleId="Revision">
    <w:name w:val="Revision"/>
    <w:uiPriority w:val="99"/>
    <w:semiHidden/>
    <w:rPr>
      <w:sz w:val="21"/>
      <w:lang w:val="en-US" w:eastAsia="zh-CN" w:bidi="ar-SA"/>
    </w:rPr>
  </w:style>
  <w:style w:type="paragraph" w:customStyle="1" w:styleId="CharCharCharChar">
    <w:name w:val="正文 Char Char Char Char"/>
    <w:basedOn w:val="Normal"/>
    <w:next w:val="Normal"/>
    <w:pPr>
      <w:spacing w:line="360" w:lineRule="auto"/>
      <w:ind w:firstLine="482"/>
      <w:jc w:val="left"/>
    </w:pPr>
    <w:rPr>
      <w:rFonts w:ascii="宋体"/>
      <w:snapToGrid w:val="0"/>
      <w:kern w:val="21"/>
      <w:sz w:val="24"/>
    </w:rPr>
  </w:style>
  <w:style w:type="paragraph" w:customStyle="1" w:styleId="a17">
    <w:name w:val="正文内容"/>
    <w:basedOn w:val="Normal"/>
    <w:pPr>
      <w:snapToGrid w:val="0"/>
      <w:spacing w:line="360" w:lineRule="auto"/>
      <w:ind w:firstLine="496" w:firstLineChars="200"/>
      <w:textAlignment w:val="auto"/>
    </w:pPr>
    <w:rPr>
      <w:rFonts w:ascii="宋体" w:hAnsi="宋体"/>
      <w:snapToGrid w:val="0"/>
      <w:spacing w:val="4"/>
      <w:sz w:val="24"/>
    </w:rPr>
  </w:style>
  <w:style w:type="paragraph" w:customStyle="1" w:styleId="Char2">
    <w:name w:val="表格正文 Char"/>
    <w:basedOn w:val="Normal"/>
    <w:pPr>
      <w:spacing w:line="240" w:lineRule="auto"/>
      <w:jc w:val="center"/>
    </w:pPr>
    <w:rPr>
      <w:rFonts w:ascii="宋体"/>
      <w:color w:val="000000"/>
      <w:spacing w:val="4"/>
      <w:w w:val="90"/>
      <w:sz w:val="24"/>
    </w:rPr>
  </w:style>
  <w:style w:type="paragraph" w:customStyle="1" w:styleId="a18">
    <w:name w:val="报告表正文"/>
    <w:basedOn w:val="Normal"/>
    <w:pPr>
      <w:spacing w:line="312" w:lineRule="auto"/>
      <w:ind w:left="113" w:right="113" w:firstLine="482"/>
      <w:jc w:val="left"/>
    </w:pPr>
    <w:rPr>
      <w:sz w:val="24"/>
    </w:rPr>
  </w:style>
  <w:style w:type="paragraph" w:customStyle="1" w:styleId="CharChar1">
    <w:name w:val="正文 Char Char"/>
    <w:basedOn w:val="Normal"/>
    <w:next w:val="Normal"/>
    <w:pPr>
      <w:spacing w:line="360" w:lineRule="auto"/>
      <w:ind w:firstLine="482"/>
      <w:jc w:val="left"/>
    </w:pPr>
    <w:rPr>
      <w:rFonts w:ascii="宋体"/>
      <w:spacing w:val="4"/>
      <w:kern w:val="21"/>
      <w:sz w:val="24"/>
      <w:szCs w:val="24"/>
    </w:rPr>
  </w:style>
  <w:style w:type="paragraph" w:customStyle="1" w:styleId="40">
    <w:name w:val="表格正文4"/>
    <w:basedOn w:val="Normal"/>
    <w:pPr>
      <w:snapToGrid w:val="0"/>
      <w:spacing w:line="240" w:lineRule="auto"/>
    </w:pPr>
    <w:rPr>
      <w:rFonts w:ascii="宋体"/>
      <w:snapToGrid w:val="0"/>
      <w:w w:val="90"/>
      <w:sz w:val="24"/>
    </w:rPr>
  </w:style>
  <w:style w:type="paragraph" w:customStyle="1" w:styleId="a19">
    <w:name w:val="表格样式"/>
    <w:basedOn w:val="Normal"/>
    <w:pPr>
      <w:snapToGrid w:val="0"/>
      <w:spacing w:line="240" w:lineRule="auto"/>
      <w:jc w:val="center"/>
    </w:pPr>
    <w:rPr>
      <w:rFonts w:ascii="宋体"/>
      <w:snapToGrid w:val="0"/>
      <w:spacing w:val="4"/>
      <w:w w:val="90"/>
      <w:sz w:val="24"/>
      <w:szCs w:val="24"/>
    </w:rPr>
  </w:style>
  <w:style w:type="paragraph" w:customStyle="1" w:styleId="Char3">
    <w:name w:val=" Char"/>
    <w:basedOn w:val="Normal"/>
    <w:pPr>
      <w:adjustRightInd/>
      <w:spacing w:line="240" w:lineRule="auto"/>
      <w:textAlignment w:val="auto"/>
    </w:pPr>
    <w:rPr>
      <w:kern w:val="2"/>
      <w:szCs w:val="24"/>
    </w:rPr>
  </w:style>
  <w:style w:type="paragraph" w:customStyle="1" w:styleId="BodyText20">
    <w:name w:val="Body Text 2"/>
    <w:basedOn w:val="Normal"/>
    <w:pPr>
      <w:spacing w:line="240" w:lineRule="auto"/>
      <w:jc w:val="center"/>
    </w:pPr>
    <w:rPr>
      <w:kern w:val="2"/>
      <w:sz w:val="24"/>
    </w:rPr>
  </w:style>
  <w:style w:type="paragraph" w:customStyle="1" w:styleId="13">
    <w:name w:val="日期1"/>
    <w:basedOn w:val="Normal"/>
    <w:next w:val="Normal"/>
    <w:rPr>
      <w:sz w:val="28"/>
    </w:rPr>
  </w:style>
  <w:style w:type="paragraph" w:customStyle="1" w:styleId="Default1">
    <w:name w:val="Default1"/>
    <w:pPr>
      <w:widowControl w:val="0"/>
      <w:autoSpaceDE w:val="0"/>
      <w:autoSpaceDN w:val="0"/>
      <w:adjustRightInd w:val="0"/>
    </w:pPr>
    <w:rPr>
      <w:rFonts w:ascii="宋体" w:cs="宋体"/>
      <w:color w:val="000000"/>
      <w:sz w:val="24"/>
      <w:szCs w:val="24"/>
      <w:lang w:val="en-US" w:eastAsia="zh-CN" w:bidi="ar-SA"/>
    </w:rPr>
  </w:style>
  <w:style w:type="paragraph" w:customStyle="1" w:styleId="a20">
    <w:name w:val="表格居中"/>
    <w:basedOn w:val="Normal"/>
    <w:pPr>
      <w:adjustRightInd/>
      <w:spacing w:line="240" w:lineRule="auto"/>
      <w:jc w:val="center"/>
      <w:textAlignment w:val="auto"/>
    </w:pPr>
    <w:rPr>
      <w:rFonts w:ascii="宋体" w:hAnsi="宋体"/>
      <w:snapToGrid w:val="0"/>
      <w:spacing w:val="-4"/>
      <w:w w:val="90"/>
      <w:sz w:val="24"/>
    </w:rPr>
  </w:style>
  <w:style w:type="paragraph" w:customStyle="1" w:styleId="a21">
    <w:name w:val="表头"/>
    <w:basedOn w:val="Normal"/>
    <w:pPr>
      <w:snapToGrid w:val="0"/>
      <w:spacing w:line="360" w:lineRule="auto"/>
      <w:jc w:val="center"/>
    </w:pPr>
    <w:rPr>
      <w:rFonts w:ascii="宋体" w:hAnsi="宋体"/>
      <w:snapToGrid w:val="0"/>
      <w:spacing w:val="6"/>
      <w:kern w:val="10"/>
      <w:sz w:val="24"/>
    </w:rPr>
  </w:style>
  <w:style w:type="paragraph" w:customStyle="1" w:styleId="CharCharCharCharCharCharCharCharCharCharCharCharCharCharCharChar">
    <w:name w:val="Char Char Char Char Char Char Char Char Char Char Char Char Char 字元 字元 Char Char Char"/>
    <w:basedOn w:val="Normal"/>
    <w:pPr>
      <w:adjustRightInd/>
      <w:spacing w:line="240" w:lineRule="auto"/>
      <w:textAlignment w:val="auto"/>
    </w:pPr>
    <w:rPr>
      <w:kern w:val="2"/>
      <w:sz w:val="24"/>
    </w:rPr>
  </w:style>
  <w:style w:type="paragraph" w:customStyle="1" w:styleId="CharCharChar0">
    <w:name w:val="Char Char Char"/>
    <w:basedOn w:val="Normal"/>
    <w:pPr>
      <w:adjustRightInd/>
      <w:spacing w:line="240" w:lineRule="auto"/>
      <w:textAlignment w:val="auto"/>
    </w:pPr>
    <w:rPr>
      <w:kern w:val="2"/>
      <w:sz w:val="24"/>
    </w:rPr>
  </w:style>
  <w:style w:type="paragraph" w:customStyle="1" w:styleId="23">
    <w:name w:val="样式 文本正文 + 首行缩进:  2 字符3"/>
    <w:basedOn w:val="Normal"/>
    <w:pPr>
      <w:autoSpaceDE w:val="0"/>
      <w:autoSpaceDN w:val="0"/>
      <w:spacing w:line="360" w:lineRule="auto"/>
      <w:ind w:firstLine="496" w:firstLineChars="200"/>
    </w:pPr>
    <w:rPr>
      <w:rFonts w:ascii="宋体" w:hAnsi="宋体" w:cs="宋体"/>
      <w:snapToGrid w:val="0"/>
      <w:color w:val="000000"/>
      <w:kern w:val="21"/>
      <w:sz w:val="24"/>
      <w:szCs w:val="24"/>
    </w:rPr>
  </w:style>
  <w:style w:type="paragraph" w:customStyle="1" w:styleId="CharChar2">
    <w:name w:val="表格内正文 Char Char"/>
    <w:basedOn w:val="Normal"/>
    <w:pPr>
      <w:adjustRightInd/>
      <w:spacing w:line="360" w:lineRule="auto"/>
      <w:ind w:firstLine="493"/>
      <w:textAlignment w:val="auto"/>
    </w:pPr>
    <w:rPr>
      <w:rFonts w:ascii="宋体" w:hAnsi="宋体"/>
      <w:spacing w:val="4"/>
      <w:kern w:val="18"/>
      <w:sz w:val="24"/>
      <w:szCs w:val="24"/>
    </w:rPr>
  </w:style>
  <w:style w:type="paragraph" w:customStyle="1" w:styleId="CharCharCharCharCharChar">
    <w:name w:val="Char Char Char Char Char Char"/>
    <w:basedOn w:val="Normal"/>
    <w:pPr>
      <w:adjustRightInd/>
      <w:spacing w:line="240" w:lineRule="auto"/>
      <w:textAlignment w:val="auto"/>
    </w:pPr>
    <w:rPr>
      <w:kern w:val="2"/>
      <w:sz w:val="24"/>
      <w:szCs w:val="24"/>
    </w:rPr>
  </w:style>
  <w:style w:type="paragraph" w:customStyle="1" w:styleId="CharCharCharCharCharCharCharCharChar">
    <w:name w:val="Char Char Char Char Char Char Char Char Char"/>
    <w:basedOn w:val="Normal"/>
    <w:pPr>
      <w:adjustRightInd/>
      <w:spacing w:line="240" w:lineRule="auto"/>
      <w:textAlignment w:val="auto"/>
    </w:pPr>
    <w:rPr>
      <w:kern w:val="2"/>
      <w:sz w:val="24"/>
    </w:rPr>
  </w:style>
  <w:style w:type="paragraph" w:customStyle="1" w:styleId="a22">
    <w:name w:val="字元 字元"/>
    <w:basedOn w:val="Normal"/>
    <w:pPr>
      <w:adjustRightInd/>
      <w:spacing w:line="240" w:lineRule="auto"/>
      <w:textAlignment w:val="auto"/>
    </w:pPr>
    <w:rPr>
      <w:kern w:val="2"/>
      <w:sz w:val="24"/>
    </w:rPr>
  </w:style>
  <w:style w:type="paragraph" w:customStyle="1" w:styleId="Style17">
    <w:name w:val="_Style 17"/>
    <w:basedOn w:val="Normal"/>
    <w:next w:val="PlainText"/>
    <w:pPr>
      <w:adjustRightInd/>
      <w:spacing w:line="240" w:lineRule="auto"/>
      <w:textAlignment w:val="auto"/>
    </w:pPr>
    <w:rPr>
      <w:rFonts w:ascii="Courier New" w:hAnsi="Courier New"/>
      <w:kern w:val="2"/>
      <w:sz w:val="15"/>
    </w:rPr>
  </w:style>
  <w:style w:type="paragraph" w:customStyle="1" w:styleId="2GB23122">
    <w:name w:val="样式 正文2 + 仿宋_GB2312 黑色 首行缩进:  2 字符"/>
    <w:basedOn w:val="Normal"/>
    <w:pPr>
      <w:spacing w:line="360" w:lineRule="auto"/>
      <w:ind w:firstLine="496" w:firstLineChars="200"/>
    </w:pPr>
    <w:rPr>
      <w:rFonts w:ascii="仿宋_GB2312" w:eastAsia="仿宋_GB2312" w:hAnsi="仿宋_GB2312"/>
      <w:color w:val="000000"/>
      <w:spacing w:val="4"/>
      <w:kern w:val="18"/>
      <w:sz w:val="28"/>
    </w:rPr>
  </w:style>
  <w:style w:type="paragraph" w:customStyle="1" w:styleId="Default">
    <w:name w:val="Default"/>
    <w:uiPriority w:val="99"/>
    <w:unhideWhenUsed/>
    <w:pPr>
      <w:widowControl w:val="0"/>
      <w:autoSpaceDE w:val="0"/>
      <w:autoSpaceDN w:val="0"/>
      <w:adjustRightInd w:val="0"/>
    </w:pPr>
    <w:rPr>
      <w:rFonts w:ascii="华文中宋" w:eastAsia="华文中宋" w:hAnsi="华文中宋" w:hint="eastAsia"/>
      <w:color w:val="000000"/>
      <w:sz w:val="24"/>
      <w:lang w:val="en-US" w:eastAsia="zh-CN" w:bidi="ar-SA"/>
    </w:rPr>
  </w:style>
  <w:style w:type="paragraph" w:customStyle="1" w:styleId="CharChar3">
    <w:name w:val="小四+首行缩进 Char Char"/>
    <w:basedOn w:val="Normal"/>
    <w:pPr>
      <w:adjustRightInd/>
      <w:spacing w:line="360" w:lineRule="auto"/>
      <w:ind w:firstLine="482"/>
      <w:textAlignment w:val="auto"/>
    </w:pPr>
    <w:rPr>
      <w:rFonts w:ascii="宋体" w:hAnsi="宋体" w:cs="宋体"/>
      <w:snapToGrid w:val="0"/>
      <w:kern w:val="18"/>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00" Type="http://schemas.openxmlformats.org/officeDocument/2006/relationships/footer" Target="footer58.xml" /><Relationship Id="rId101" Type="http://schemas.openxmlformats.org/officeDocument/2006/relationships/footer" Target="footer59.xml" /><Relationship Id="rId102" Type="http://schemas.openxmlformats.org/officeDocument/2006/relationships/header" Target="header40.xml" /><Relationship Id="rId103" Type="http://schemas.openxmlformats.org/officeDocument/2006/relationships/footer" Target="footer60.xml" /><Relationship Id="rId104" Type="http://schemas.openxmlformats.org/officeDocument/2006/relationships/hyperlink" Target="https://d.book118.com/727115104055006044" TargetMode="External" /><Relationship Id="rId105" Type="http://schemas.openxmlformats.org/officeDocument/2006/relationships/header" Target="header41.xml" /><Relationship Id="rId106" Type="http://schemas.openxmlformats.org/officeDocument/2006/relationships/footer" Target="footer61.xml" /><Relationship Id="rId107" Type="http://schemas.openxmlformats.org/officeDocument/2006/relationships/footer" Target="footer62.xml" /><Relationship Id="rId108" Type="http://schemas.openxmlformats.org/officeDocument/2006/relationships/header" Target="header42.xml" /><Relationship Id="rId109" Type="http://schemas.openxmlformats.org/officeDocument/2006/relationships/footer" Target="footer63.xml" /><Relationship Id="rId11" Type="http://schemas.openxmlformats.org/officeDocument/2006/relationships/footer" Target="footer5.xml" /><Relationship Id="rId110" Type="http://schemas.openxmlformats.org/officeDocument/2006/relationships/theme" Target="theme/theme1.xml" /><Relationship Id="rId111" Type="http://schemas.openxmlformats.org/officeDocument/2006/relationships/numbering" Target="numbering.xml" /><Relationship Id="rId112" Type="http://schemas.openxmlformats.org/officeDocument/2006/relationships/styles" Target="styles.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header" Target="header6.xml" /><Relationship Id="rId18" Type="http://schemas.openxmlformats.org/officeDocument/2006/relationships/footer" Target="footer9.xml" /><Relationship Id="rId19" Type="http://schemas.openxmlformats.org/officeDocument/2006/relationships/header" Target="header7.xml" /><Relationship Id="rId2" Type="http://schemas.openxmlformats.org/officeDocument/2006/relationships/webSettings" Target="webSettings.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header" Target="header8.xml" /><Relationship Id="rId23" Type="http://schemas.openxmlformats.org/officeDocument/2006/relationships/footer" Target="footer12.xml" /><Relationship Id="rId24" Type="http://schemas.openxmlformats.org/officeDocument/2006/relationships/header" Target="header9.xml" /><Relationship Id="rId25" Type="http://schemas.openxmlformats.org/officeDocument/2006/relationships/footer" Target="footer13.xml" /><Relationship Id="rId26" Type="http://schemas.openxmlformats.org/officeDocument/2006/relationships/footer" Target="footer14.xml" /><Relationship Id="rId27" Type="http://schemas.openxmlformats.org/officeDocument/2006/relationships/header" Target="header10.xml" /><Relationship Id="rId28" Type="http://schemas.openxmlformats.org/officeDocument/2006/relationships/footer" Target="footer15.xml" /><Relationship Id="rId29" Type="http://schemas.openxmlformats.org/officeDocument/2006/relationships/header" Target="header11.xml" /><Relationship Id="rId3" Type="http://schemas.openxmlformats.org/officeDocument/2006/relationships/fontTable" Target="fontTable.xml" /><Relationship Id="rId30" Type="http://schemas.openxmlformats.org/officeDocument/2006/relationships/footer" Target="footer16.xml" /><Relationship Id="rId31" Type="http://schemas.openxmlformats.org/officeDocument/2006/relationships/footer" Target="footer17.xml" /><Relationship Id="rId32" Type="http://schemas.openxmlformats.org/officeDocument/2006/relationships/header" Target="header12.xml" /><Relationship Id="rId33" Type="http://schemas.openxmlformats.org/officeDocument/2006/relationships/footer" Target="footer18.xml" /><Relationship Id="rId34" Type="http://schemas.openxmlformats.org/officeDocument/2006/relationships/header" Target="header13.xml" /><Relationship Id="rId35" Type="http://schemas.openxmlformats.org/officeDocument/2006/relationships/footer" Target="footer19.xml" /><Relationship Id="rId36" Type="http://schemas.openxmlformats.org/officeDocument/2006/relationships/footer" Target="footer20.xml" /><Relationship Id="rId37" Type="http://schemas.openxmlformats.org/officeDocument/2006/relationships/header" Target="header14.xml" /><Relationship Id="rId38" Type="http://schemas.openxmlformats.org/officeDocument/2006/relationships/footer" Target="footer21.xml" /><Relationship Id="rId39" Type="http://schemas.openxmlformats.org/officeDocument/2006/relationships/header" Target="header15.xml" /><Relationship Id="rId4" Type="http://schemas.openxmlformats.org/officeDocument/2006/relationships/header" Target="header1.xml" /><Relationship Id="rId40" Type="http://schemas.openxmlformats.org/officeDocument/2006/relationships/footer" Target="footer22.xml" /><Relationship Id="rId41" Type="http://schemas.openxmlformats.org/officeDocument/2006/relationships/footer" Target="footer23.xml" /><Relationship Id="rId42" Type="http://schemas.openxmlformats.org/officeDocument/2006/relationships/header" Target="header16.xml" /><Relationship Id="rId43" Type="http://schemas.openxmlformats.org/officeDocument/2006/relationships/footer" Target="footer24.xml" /><Relationship Id="rId44" Type="http://schemas.openxmlformats.org/officeDocument/2006/relationships/header" Target="header17.xml" /><Relationship Id="rId45" Type="http://schemas.openxmlformats.org/officeDocument/2006/relationships/footer" Target="footer25.xml" /><Relationship Id="rId46" Type="http://schemas.openxmlformats.org/officeDocument/2006/relationships/footer" Target="footer26.xml" /><Relationship Id="rId47" Type="http://schemas.openxmlformats.org/officeDocument/2006/relationships/header" Target="header18.xml" /><Relationship Id="rId48" Type="http://schemas.openxmlformats.org/officeDocument/2006/relationships/footer" Target="footer27.xml" /><Relationship Id="rId49" Type="http://schemas.openxmlformats.org/officeDocument/2006/relationships/header" Target="header19.xml" /><Relationship Id="rId5" Type="http://schemas.openxmlformats.org/officeDocument/2006/relationships/footer" Target="footer1.xml" /><Relationship Id="rId50" Type="http://schemas.openxmlformats.org/officeDocument/2006/relationships/footer" Target="footer28.xml" /><Relationship Id="rId51" Type="http://schemas.openxmlformats.org/officeDocument/2006/relationships/footer" Target="footer29.xml" /><Relationship Id="rId52" Type="http://schemas.openxmlformats.org/officeDocument/2006/relationships/header" Target="header20.xml" /><Relationship Id="rId53" Type="http://schemas.openxmlformats.org/officeDocument/2006/relationships/footer" Target="footer30.xml" /><Relationship Id="rId54" Type="http://schemas.openxmlformats.org/officeDocument/2006/relationships/header" Target="header21.xml" /><Relationship Id="rId55" Type="http://schemas.openxmlformats.org/officeDocument/2006/relationships/footer" Target="footer31.xml" /><Relationship Id="rId56" Type="http://schemas.openxmlformats.org/officeDocument/2006/relationships/footer" Target="footer32.xml" /><Relationship Id="rId57" Type="http://schemas.openxmlformats.org/officeDocument/2006/relationships/header" Target="header22.xml" /><Relationship Id="rId58" Type="http://schemas.openxmlformats.org/officeDocument/2006/relationships/footer" Target="footer33.xml" /><Relationship Id="rId59" Type="http://schemas.openxmlformats.org/officeDocument/2006/relationships/header" Target="header23.xml" /><Relationship Id="rId6" Type="http://schemas.openxmlformats.org/officeDocument/2006/relationships/footer" Target="footer2.xml" /><Relationship Id="rId60" Type="http://schemas.openxmlformats.org/officeDocument/2006/relationships/footer" Target="footer34.xml" /><Relationship Id="rId61" Type="http://schemas.openxmlformats.org/officeDocument/2006/relationships/footer" Target="footer35.xml" /><Relationship Id="rId62" Type="http://schemas.openxmlformats.org/officeDocument/2006/relationships/header" Target="header24.xml" /><Relationship Id="rId63" Type="http://schemas.openxmlformats.org/officeDocument/2006/relationships/footer" Target="footer36.xml" /><Relationship Id="rId64" Type="http://schemas.openxmlformats.org/officeDocument/2006/relationships/header" Target="header25.xml" /><Relationship Id="rId65" Type="http://schemas.openxmlformats.org/officeDocument/2006/relationships/footer" Target="footer37.xml" /><Relationship Id="rId66" Type="http://schemas.openxmlformats.org/officeDocument/2006/relationships/footer" Target="footer38.xml" /><Relationship Id="rId67" Type="http://schemas.openxmlformats.org/officeDocument/2006/relationships/header" Target="header26.xml" /><Relationship Id="rId68" Type="http://schemas.openxmlformats.org/officeDocument/2006/relationships/footer" Target="footer39.xml" /><Relationship Id="rId69" Type="http://schemas.openxmlformats.org/officeDocument/2006/relationships/header" Target="header27.xml" /><Relationship Id="rId7" Type="http://schemas.openxmlformats.org/officeDocument/2006/relationships/header" Target="header2.xml" /><Relationship Id="rId70" Type="http://schemas.openxmlformats.org/officeDocument/2006/relationships/footer" Target="footer40.xml" /><Relationship Id="rId71" Type="http://schemas.openxmlformats.org/officeDocument/2006/relationships/footer" Target="footer41.xml" /><Relationship Id="rId72" Type="http://schemas.openxmlformats.org/officeDocument/2006/relationships/header" Target="header28.xml" /><Relationship Id="rId73" Type="http://schemas.openxmlformats.org/officeDocument/2006/relationships/footer" Target="footer42.xml" /><Relationship Id="rId74" Type="http://schemas.openxmlformats.org/officeDocument/2006/relationships/header" Target="header29.xml" /><Relationship Id="rId75" Type="http://schemas.openxmlformats.org/officeDocument/2006/relationships/footer" Target="footer43.xml" /><Relationship Id="rId76" Type="http://schemas.openxmlformats.org/officeDocument/2006/relationships/footer" Target="footer44.xml" /><Relationship Id="rId77" Type="http://schemas.openxmlformats.org/officeDocument/2006/relationships/header" Target="header30.xml" /><Relationship Id="rId78" Type="http://schemas.openxmlformats.org/officeDocument/2006/relationships/footer" Target="footer45.xml" /><Relationship Id="rId79" Type="http://schemas.openxmlformats.org/officeDocument/2006/relationships/header" Target="header31.xml" /><Relationship Id="rId8" Type="http://schemas.openxmlformats.org/officeDocument/2006/relationships/footer" Target="footer3.xml" /><Relationship Id="rId80" Type="http://schemas.openxmlformats.org/officeDocument/2006/relationships/footer" Target="footer46.xml" /><Relationship Id="rId81" Type="http://schemas.openxmlformats.org/officeDocument/2006/relationships/footer" Target="footer47.xml" /><Relationship Id="rId82" Type="http://schemas.openxmlformats.org/officeDocument/2006/relationships/header" Target="header32.xml" /><Relationship Id="rId83" Type="http://schemas.openxmlformats.org/officeDocument/2006/relationships/footer" Target="footer48.xml" /><Relationship Id="rId84" Type="http://schemas.openxmlformats.org/officeDocument/2006/relationships/header" Target="header33.xml" /><Relationship Id="rId85" Type="http://schemas.openxmlformats.org/officeDocument/2006/relationships/footer" Target="footer49.xml" /><Relationship Id="rId86" Type="http://schemas.openxmlformats.org/officeDocument/2006/relationships/footer" Target="footer50.xml" /><Relationship Id="rId87" Type="http://schemas.openxmlformats.org/officeDocument/2006/relationships/header" Target="header34.xml" /><Relationship Id="rId88" Type="http://schemas.openxmlformats.org/officeDocument/2006/relationships/footer" Target="footer51.xml" /><Relationship Id="rId89" Type="http://schemas.openxmlformats.org/officeDocument/2006/relationships/header" Target="header35.xml" /><Relationship Id="rId9" Type="http://schemas.openxmlformats.org/officeDocument/2006/relationships/header" Target="header3.xml" /><Relationship Id="rId90" Type="http://schemas.openxmlformats.org/officeDocument/2006/relationships/footer" Target="footer52.xml" /><Relationship Id="rId91" Type="http://schemas.openxmlformats.org/officeDocument/2006/relationships/footer" Target="footer53.xml" /><Relationship Id="rId92" Type="http://schemas.openxmlformats.org/officeDocument/2006/relationships/header" Target="header36.xml" /><Relationship Id="rId93" Type="http://schemas.openxmlformats.org/officeDocument/2006/relationships/footer" Target="footer54.xml" /><Relationship Id="rId94" Type="http://schemas.openxmlformats.org/officeDocument/2006/relationships/header" Target="header37.xml" /><Relationship Id="rId95" Type="http://schemas.openxmlformats.org/officeDocument/2006/relationships/footer" Target="footer55.xml" /><Relationship Id="rId96" Type="http://schemas.openxmlformats.org/officeDocument/2006/relationships/footer" Target="footer56.xml" /><Relationship Id="rId97" Type="http://schemas.openxmlformats.org/officeDocument/2006/relationships/header" Target="header38.xml" /><Relationship Id="rId98" Type="http://schemas.openxmlformats.org/officeDocument/2006/relationships/footer" Target="footer57.xml" /><Relationship Id="rId99" Type="http://schemas.openxmlformats.org/officeDocument/2006/relationships/header" Target="header39.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5165</Words>
  <Characters>29444</Characters>
  <Application>Microsoft Office Word</Application>
  <DocSecurity>0</DocSecurity>
  <Lines>245</Lines>
  <Paragraphs>69</Paragraphs>
  <ScaleCrop>false</ScaleCrop>
  <Company>neci</Company>
  <LinksUpToDate>false</LinksUpToDate>
  <CharactersWithSpaces>34540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游艇组装</dc:title>
  <dc:creator>envsea</dc:creator>
  <cp:lastModifiedBy>委员</cp:lastModifiedBy>
  <cp:revision>4</cp:revision>
  <cp:lastPrinted>2017-08-24T07:57:00Z</cp:lastPrinted>
  <dcterms:created xsi:type="dcterms:W3CDTF">2015-09-22T09:10:00Z</dcterms:created>
  <dcterms:modified xsi:type="dcterms:W3CDTF">2024-02-19T09:23:43Z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8555A4D6E4324D63957D0A40F776575B_12</vt:lpwstr>
  </property>
  <property fmtid="{D5CDD505-2E9C-101B-9397-08002B2CF9AE}" pid="3" name="KSOProductBuildVer">
    <vt:lpwstr>2052-12.1.0.15712</vt:lpwstr>
  </property>
</Properties>
</file>