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2200" w:firstLineChars="500"/>
        <w:jc w:val="both"/>
        <w:rPr>
          <w:rFonts w:ascii="仿宋_GB2312" w:eastAsia="仿宋_GB2312" w:hAnsi="宋体" w:hint="eastAsia"/>
          <w:b/>
          <w:sz w:val="44"/>
          <w:szCs w:val="44"/>
        </w:rPr>
      </w:pPr>
      <w:r>
        <w:rPr>
          <w:rFonts w:ascii="仿宋_GB2312" w:eastAsia="仿宋_GB2312" w:hAnsi="宋体" w:hint="eastAsia"/>
          <w:b/>
          <w:sz w:val="44"/>
          <w:szCs w:val="44"/>
        </w:rPr>
        <w:t>南京信息职业技术学院</w:t>
      </w:r>
    </w:p>
    <w:p>
      <w:pPr>
        <w:jc w:val="center"/>
        <w:rPr>
          <w:rFonts w:ascii="仿宋_GB2312" w:eastAsia="仿宋_GB2312" w:hint="eastAsia"/>
          <w:b/>
          <w:sz w:val="32"/>
          <w:szCs w:val="32"/>
        </w:rPr>
      </w:pPr>
    </w:p>
    <w:p>
      <w:pPr>
        <w:jc w:val="center"/>
        <w:rPr>
          <w:rFonts w:ascii="仿宋_GB2312" w:eastAsia="仿宋_GB2312" w:hint="eastAsia"/>
          <w:b/>
          <w:sz w:val="72"/>
          <w:szCs w:val="72"/>
        </w:rPr>
      </w:pPr>
      <w:r>
        <w:rPr>
          <w:rFonts w:ascii="仿宋_GB2312" w:eastAsia="仿宋_GB2312" w:hint="eastAsia"/>
          <w:b/>
          <w:sz w:val="72"/>
          <w:szCs w:val="72"/>
        </w:rPr>
        <w:t>毕业设计论文</w:t>
      </w:r>
    </w:p>
    <w:p>
      <w:pPr>
        <w:jc w:val="center"/>
        <w:rPr>
          <w:rFonts w:ascii="仿宋_GB2312" w:eastAsia="仿宋_GB2312" w:hint="eastAsia"/>
          <w:sz w:val="72"/>
          <w:szCs w:val="72"/>
        </w:rPr>
      </w:pPr>
    </w:p>
    <w:p>
      <w:pPr>
        <w:jc w:val="center"/>
        <w:rPr>
          <w:rFonts w:ascii="仿宋_GB2312" w:eastAsia="仿宋_GB2312" w:hint="eastAsia"/>
          <w:sz w:val="72"/>
          <w:szCs w:val="72"/>
        </w:rPr>
      </w:pPr>
    </w:p>
    <w:p>
      <w:pPr>
        <w:spacing w:before="156" w:beforeLines="50" w:line="840" w:lineRule="exact"/>
        <w:ind w:left="1050" w:right="420" w:leftChars="500" w:rightChars="200"/>
        <w:rPr>
          <w:rFonts w:ascii="仿宋_GB2312" w:eastAsia="仿宋_GB2312" w:hint="eastAsia"/>
          <w:sz w:val="30"/>
        </w:rPr>
      </w:pPr>
      <w:r>
        <w:rPr>
          <w:rFonts w:ascii="仿宋_GB2312" w:eastAsia="仿宋_GB2312" w:hint="eastAsia"/>
          <w:sz w:val="30"/>
        </w:rPr>
        <w:t>作者</w:t>
      </w:r>
      <w:r>
        <w:rPr>
          <w:rFonts w:ascii="仿宋_GB2312" w:eastAsia="仿宋_GB2312" w:hint="eastAsia"/>
          <w:sz w:val="30"/>
          <w:u w:val="single"/>
        </w:rPr>
        <w:t xml:space="preserve">     </w:t>
      </w:r>
      <w:r>
        <w:rPr>
          <w:rFonts w:ascii="仿宋_GB2312" w:eastAsia="仿宋_GB2312" w:hint="eastAsia"/>
          <w:sz w:val="30"/>
          <w:u w:val="single"/>
          <w:lang w:val="en-US" w:eastAsia="zh-CN"/>
        </w:rPr>
        <w:t>张澳</w:t>
      </w:r>
      <w:r>
        <w:rPr>
          <w:rFonts w:ascii="仿宋_GB2312" w:eastAsia="仿宋_GB2312" w:hint="eastAsia"/>
          <w:sz w:val="30"/>
          <w:u w:val="single"/>
        </w:rPr>
        <w:t xml:space="preserve"> </w:t>
      </w:r>
      <w:r>
        <w:rPr>
          <w:rFonts w:ascii="仿宋_GB2312" w:eastAsia="仿宋_GB2312" w:hint="eastAsia"/>
          <w:sz w:val="30"/>
          <w:u w:val="single"/>
          <w:lang w:val="en-US" w:eastAsia="zh-CN"/>
        </w:rPr>
        <w:t xml:space="preserve"> </w:t>
      </w:r>
      <w:r>
        <w:rPr>
          <w:rFonts w:ascii="仿宋_GB2312" w:eastAsia="仿宋_GB2312" w:hint="eastAsia"/>
          <w:sz w:val="30"/>
          <w:u w:val="single"/>
        </w:rPr>
        <w:t xml:space="preserve">     </w:t>
      </w:r>
      <w:r>
        <w:rPr>
          <w:rFonts w:ascii="仿宋_GB2312" w:eastAsia="仿宋_GB2312" w:hint="eastAsia"/>
          <w:sz w:val="30"/>
        </w:rPr>
        <w:t xml:space="preserve">     学号</w:t>
      </w:r>
      <w:r>
        <w:rPr>
          <w:rFonts w:ascii="仿宋_GB2312" w:eastAsia="仿宋_GB2312" w:hint="eastAsia"/>
          <w:sz w:val="30"/>
          <w:u w:val="single"/>
        </w:rPr>
        <w:t xml:space="preserve">   </w:t>
      </w:r>
      <w:r>
        <w:rPr>
          <w:rFonts w:ascii="仿宋_GB2312" w:eastAsia="仿宋_GB2312" w:hint="eastAsia"/>
          <w:sz w:val="30"/>
          <w:u w:val="single"/>
          <w:lang w:val="en-US" w:eastAsia="zh-CN"/>
        </w:rPr>
        <w:t>71652P28</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 xml:space="preserve">系部 </w:t>
      </w:r>
      <w:r>
        <w:rPr>
          <w:rFonts w:ascii="仿宋_GB2312" w:eastAsia="仿宋_GB2312" w:hint="eastAsia"/>
          <w:sz w:val="30"/>
          <w:u w:val="single"/>
        </w:rPr>
        <w:t xml:space="preserve">       </w:t>
      </w:r>
      <w:r>
        <w:rPr>
          <w:rFonts w:hint="eastAsia"/>
          <w:sz w:val="30"/>
          <w:u w:val="single"/>
        </w:rPr>
        <w:t>中认新能源技术学院</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专业</w:t>
      </w:r>
      <w:r>
        <w:rPr>
          <w:rFonts w:ascii="仿宋_GB2312" w:eastAsia="仿宋_GB2312" w:hint="eastAsia"/>
          <w:sz w:val="30"/>
          <w:u w:val="single"/>
        </w:rPr>
        <w:t xml:space="preserve">        </w:t>
      </w:r>
      <w:r>
        <w:rPr>
          <w:rFonts w:hint="eastAsia"/>
          <w:sz w:val="30"/>
          <w:u w:val="single"/>
        </w:rPr>
        <w:t>质量管理与认证</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u w:val="single"/>
        </w:rPr>
      </w:pPr>
      <w:r>
        <w:rPr>
          <w:rFonts w:ascii="仿宋_GB2312" w:eastAsia="仿宋_GB2312" w:hint="eastAsia"/>
          <w:sz w:val="30"/>
        </w:rPr>
        <w:t>题目</w:t>
      </w:r>
      <w:r>
        <w:rPr>
          <w:rFonts w:ascii="仿宋_GB2312" w:eastAsia="仿宋_GB2312" w:hint="eastAsia"/>
          <w:sz w:val="30"/>
          <w:u w:val="single"/>
        </w:rPr>
        <w:t xml:space="preserve">     </w:t>
      </w:r>
      <w:r>
        <w:rPr>
          <w:rStyle w:val="spanunedit1"/>
          <w:rFonts w:ascii="宋体" w:eastAsia="宋体" w:hAnsi="宋体" w:cs="宋体"/>
          <w:sz w:val="28"/>
          <w:szCs w:val="28"/>
          <w:u w:val="single"/>
        </w:rPr>
        <w:t>常用农资产品质量检测的简易方法探索</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指导教师</w:t>
      </w:r>
      <w:r>
        <w:rPr>
          <w:rFonts w:ascii="仿宋_GB2312" w:eastAsia="仿宋_GB2312" w:hint="eastAsia"/>
          <w:sz w:val="30"/>
          <w:u w:val="single"/>
        </w:rPr>
        <w:t xml:space="preserve">        </w:t>
      </w:r>
      <w:r>
        <w:rPr>
          <w:rFonts w:ascii="仿宋_GB2312" w:eastAsia="仿宋_GB2312" w:hint="eastAsia"/>
          <w:sz w:val="30"/>
          <w:u w:val="single"/>
          <w:lang w:val="en-US" w:eastAsia="zh-CN"/>
        </w:rPr>
        <w:t>吴文伶</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u w:val="single"/>
        </w:rPr>
      </w:pPr>
      <w:r>
        <w:rPr>
          <w:rFonts w:ascii="仿宋_GB2312" w:eastAsia="仿宋_GB2312" w:hint="eastAsia"/>
          <w:sz w:val="30"/>
        </w:rPr>
        <w:t>评阅教师</w:t>
      </w:r>
      <w:r>
        <w:rPr>
          <w:rFonts w:ascii="仿宋_GB2312" w:eastAsia="仿宋_GB2312" w:hint="eastAsia"/>
          <w:sz w:val="30"/>
          <w:u w:val="single"/>
        </w:rPr>
        <w:t xml:space="preserve">                                   </w:t>
      </w:r>
      <w:r>
        <w:rPr>
          <w:rFonts w:ascii="仿宋_GB2312" w:eastAsia="仿宋_GB2312" w:hint="eastAsia"/>
          <w:sz w:val="30"/>
          <w:u w:val="single"/>
          <w:lang w:val="en-US" w:eastAsia="zh-CN"/>
        </w:rPr>
        <w:t xml:space="preserve"> </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 xml:space="preserve">完成时间：         </w:t>
      </w:r>
      <w:r>
        <w:rPr>
          <w:rFonts w:ascii="仿宋_GB2312" w:eastAsia="仿宋_GB2312" w:hint="eastAsia"/>
          <w:sz w:val="30"/>
          <w:lang w:val="en-US" w:eastAsia="zh-CN"/>
        </w:rPr>
        <w:t>2019</w:t>
      </w:r>
      <w:r>
        <w:rPr>
          <w:rFonts w:ascii="仿宋_GB2312" w:eastAsia="仿宋_GB2312" w:hint="eastAsia"/>
          <w:sz w:val="30"/>
        </w:rPr>
        <w:t xml:space="preserve">年   </w:t>
      </w:r>
      <w:r>
        <w:rPr>
          <w:rFonts w:ascii="仿宋_GB2312" w:eastAsia="仿宋_GB2312" w:hint="eastAsia"/>
          <w:sz w:val="30"/>
          <w:lang w:val="en-US" w:eastAsia="zh-CN"/>
        </w:rPr>
        <w:t>3</w:t>
      </w:r>
      <w:r>
        <w:rPr>
          <w:rFonts w:ascii="仿宋_GB2312" w:eastAsia="仿宋_GB2312" w:hint="eastAsia"/>
          <w:sz w:val="30"/>
        </w:rPr>
        <w:t xml:space="preserve"> 月  </w:t>
      </w:r>
      <w:r>
        <w:rPr>
          <w:rFonts w:ascii="仿宋_GB2312" w:eastAsia="仿宋_GB2312" w:hint="eastAsia"/>
          <w:sz w:val="30"/>
          <w:lang w:val="en-US" w:eastAsia="zh-CN"/>
        </w:rPr>
        <w:t>28</w:t>
      </w:r>
      <w:r>
        <w:rPr>
          <w:rFonts w:ascii="仿宋_GB2312" w:eastAsia="仿宋_GB2312" w:hint="eastAsia"/>
          <w:sz w:val="30"/>
        </w:rPr>
        <w:t xml:space="preserve"> 日 </w:t>
      </w:r>
    </w:p>
    <w:p>
      <w:pPr>
        <w:spacing w:line="480" w:lineRule="auto"/>
        <w:ind w:right="420" w:rightChars="200"/>
        <w:jc w:val="center"/>
        <w:rPr>
          <w:rFonts w:ascii="仿宋_GB2312" w:eastAsia="仿宋_GB2312" w:hint="eastAsia"/>
          <w:b/>
          <w:sz w:val="36"/>
          <w:szCs w:val="36"/>
        </w:rPr>
      </w:pPr>
    </w:p>
    <w:p>
      <w:pPr>
        <w:spacing w:line="480" w:lineRule="auto"/>
        <w:ind w:right="420" w:rightChars="200"/>
        <w:jc w:val="center"/>
        <w:rPr>
          <w:rFonts w:ascii="仿宋_GB2312" w:eastAsia="仿宋_GB2312" w:hint="eastAsia"/>
          <w:b/>
          <w:sz w:val="36"/>
          <w:szCs w:val="36"/>
        </w:rPr>
        <w:sectPr>
          <w:pgSz w:w="11906" w:h="16838"/>
          <w:pgMar w:top="1440" w:right="1800" w:bottom="1440" w:left="1800" w:header="851" w:footer="992" w:gutter="0"/>
          <w:cols w:num="1" w:space="425"/>
          <w:docGrid w:type="lines" w:linePitch="312" w:charSpace="0"/>
        </w:sectPr>
      </w:pPr>
    </w:p>
    <w:p>
      <w:pPr>
        <w:spacing w:line="480" w:lineRule="auto"/>
        <w:ind w:right="420" w:rightChars="200"/>
        <w:jc w:val="center"/>
        <w:rPr>
          <w:rFonts w:ascii="仿宋_GB2312" w:eastAsia="仿宋_GB2312" w:hint="eastAsia"/>
          <w:b/>
          <w:sz w:val="36"/>
          <w:szCs w:val="36"/>
        </w:rPr>
      </w:pPr>
    </w:p>
    <w:p>
      <w:pPr>
        <w:spacing w:line="480" w:lineRule="auto"/>
        <w:ind w:right="420" w:rightChars="200"/>
        <w:jc w:val="center"/>
        <w:rPr>
          <w:rFonts w:ascii="仿宋_GB2312" w:eastAsia="仿宋_GB2312" w:hint="eastAsia"/>
          <w:b/>
          <w:sz w:val="36"/>
          <w:szCs w:val="36"/>
        </w:rPr>
      </w:pPr>
    </w:p>
    <w:p>
      <w:pPr>
        <w:spacing w:line="480" w:lineRule="auto"/>
        <w:ind w:right="420" w:rightChars="200"/>
        <w:jc w:val="center"/>
        <w:rPr>
          <w:rFonts w:ascii="仿宋_GB2312" w:eastAsia="仿宋_GB2312" w:hint="eastAsia"/>
          <w:b/>
          <w:sz w:val="36"/>
          <w:szCs w:val="36"/>
        </w:rPr>
      </w:pPr>
    </w:p>
    <w:p>
      <w:pPr>
        <w:spacing w:line="480" w:lineRule="auto"/>
        <w:ind w:right="420" w:rightChars="200"/>
        <w:jc w:val="center"/>
        <w:rPr>
          <w:rFonts w:ascii="仿宋_GB2312" w:eastAsia="仿宋_GB2312" w:hint="eastAsia"/>
          <w:b/>
          <w:sz w:val="36"/>
          <w:szCs w:val="36"/>
        </w:rPr>
      </w:pPr>
    </w:p>
    <w:p>
      <w:pPr>
        <w:spacing w:line="480" w:lineRule="auto"/>
        <w:ind w:right="420" w:rightChars="200"/>
        <w:jc w:val="center"/>
        <w:rPr>
          <w:rFonts w:ascii="仿宋_GB2312" w:eastAsia="仿宋_GB2312" w:hint="eastAsia"/>
          <w:b/>
          <w:sz w:val="36"/>
          <w:szCs w:val="36"/>
        </w:rPr>
      </w:pPr>
      <w:r>
        <w:rPr>
          <w:rFonts w:ascii="仿宋_GB2312" w:eastAsia="仿宋_GB2312" w:hint="eastAsia"/>
          <w:b/>
          <w:sz w:val="36"/>
          <w:szCs w:val="36"/>
        </w:rPr>
        <w:t>毕业设计(论文)中文摘要</w:t>
      </w:r>
    </w:p>
    <w:tbl>
      <w:tblPr>
        <w:tblStyle w:val="TableNormal"/>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28"/>
      </w:tblGrid>
      <w:tr>
        <w:tblPrEx>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28" w:type="dxa"/>
            <w:noWrap w:val="0"/>
            <w:vAlign w:val="top"/>
          </w:tcPr>
          <w:p>
            <w:pPr>
              <w:spacing w:line="480" w:lineRule="auto"/>
              <w:ind w:right="420" w:rightChars="200"/>
              <w:rPr>
                <w:rFonts w:ascii="仿宋_GB2312" w:eastAsia="仿宋_GB2312" w:hAnsi="宋体" w:hint="eastAsia"/>
                <w:sz w:val="28"/>
              </w:rPr>
            </w:pPr>
            <w:r>
              <w:rPr>
                <w:rFonts w:ascii="仿宋_GB2312" w:eastAsia="仿宋_GB2312" w:hAnsi="宋体" w:hint="eastAsia"/>
                <w:b/>
                <w:bCs/>
                <w:sz w:val="24"/>
                <w:szCs w:val="24"/>
              </w:rPr>
              <w:t>题目</w:t>
            </w:r>
            <w:r>
              <w:rPr>
                <w:rFonts w:ascii="仿宋_GB2312" w:eastAsia="仿宋_GB2312" w:hAnsi="宋体" w:hint="eastAsia"/>
                <w:sz w:val="28"/>
              </w:rPr>
              <w:t>：</w:t>
            </w:r>
            <w:r>
              <w:rPr>
                <w:rStyle w:val="spanunedit1"/>
                <w:rFonts w:ascii="宋体" w:eastAsia="宋体" w:hAnsi="宋体" w:cs="宋体"/>
                <w:sz w:val="28"/>
                <w:szCs w:val="28"/>
              </w:rPr>
              <w:t>常用农资产品质量检测的简易方法探索</w:t>
            </w:r>
          </w:p>
          <w:p>
            <w:pPr>
              <w:spacing w:line="360" w:lineRule="auto"/>
              <w:ind w:right="420" w:rightChars="200"/>
              <w:rPr>
                <w:rFonts w:asciiTheme="minorEastAsia" w:hAnsiTheme="minorEastAsia" w:cstheme="minorEastAsia" w:hint="eastAsia"/>
                <w:sz w:val="24"/>
              </w:rPr>
            </w:pPr>
            <w:r>
              <w:rPr>
                <w:rFonts w:ascii="仿宋_GB2312" w:eastAsia="仿宋_GB2312" w:hAnsi="宋体" w:hint="eastAsia"/>
                <w:b/>
                <w:sz w:val="24"/>
              </w:rPr>
              <w:t>摘要：</w:t>
            </w:r>
            <w:r>
              <w:rPr>
                <w:rFonts w:asciiTheme="minorEastAsia" w:eastAsiaTheme="minorEastAsia" w:hAnsiTheme="minorEastAsia" w:cstheme="minorEastAsia" w:hint="eastAsia"/>
                <w:sz w:val="24"/>
                <w:lang w:val="en-US" w:eastAsia="zh-CN"/>
              </w:rPr>
              <w:t>在我国综合国力不断提高的背景下，我国的农业水平取得了长足的进步，农户的用药水平得到的十分大的提高，但是当用药水平提高是，各种各样复杂的问题也同时暴露了出来。我国目前的农药市场十分混乱，各种进口及国产农药五花八门，经常出现各种质量问题，那么作为农户来讲，土地是全部的心血，我们该如何去避免购买到假冒伪劣产品来保障我们自身的利益呢，本文就从不同农药的自身性质来说起，探寻几种简单的方法来辨别我们所购买到的产品的质量是否合格。</w:t>
            </w: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r>
              <w:rPr>
                <w:rFonts w:ascii="仿宋_GB2312" w:eastAsia="仿宋_GB2312" w:hAnsi="宋体" w:hint="eastAsia"/>
                <w:b/>
                <w:sz w:val="24"/>
                <w:u w:val="single"/>
              </w:rPr>
              <w:t>关键词</w:t>
            </w:r>
            <w:r>
              <w:rPr>
                <w:rFonts w:ascii="仿宋_GB2312" w:eastAsia="仿宋_GB2312" w:hAnsi="宋体" w:hint="eastAsia"/>
                <w:sz w:val="24"/>
              </w:rPr>
              <w:t>：</w:t>
            </w:r>
            <w:r>
              <w:rPr>
                <w:rFonts w:asciiTheme="minorEastAsia" w:eastAsiaTheme="minorEastAsia" w:hAnsiTheme="minorEastAsia" w:cstheme="minorEastAsia" w:hint="eastAsia"/>
                <w:sz w:val="24"/>
                <w:lang w:val="en-US" w:eastAsia="zh-CN"/>
              </w:rPr>
              <w:t>农产品质量</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lang w:val="en-US" w:eastAsia="zh-CN"/>
              </w:rPr>
              <w:t>质量检测</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lang w:val="en-US" w:eastAsia="zh-CN"/>
              </w:rPr>
              <w:t xml:space="preserve"> 质量管理</w:t>
            </w: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tc>
      </w:tr>
    </w:tbl>
    <w:p>
      <w:pPr>
        <w:sectPr>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28"/>
      </w:tblGrid>
      <w:tr>
        <w:tblPrEx>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28" w:type="dxa"/>
            <w:noWrap w:val="0"/>
            <w:vAlign w:val="top"/>
          </w:tcPr>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480" w:lineRule="auto"/>
              <w:ind w:right="420" w:rightChars="200"/>
              <w:rPr>
                <w:rFonts w:ascii="仿宋_GB2312" w:eastAsia="仿宋_GB2312" w:hAnsi="宋体" w:hint="eastAsia"/>
                <w:sz w:val="28"/>
              </w:rPr>
            </w:pPr>
          </w:p>
        </w:tc>
      </w:tr>
    </w:tbl>
    <w:p>
      <w:pPr>
        <w:spacing w:line="480" w:lineRule="auto"/>
        <w:ind w:right="420" w:rightChars="200"/>
        <w:jc w:val="center"/>
        <w:rPr>
          <w:rFonts w:ascii="仿宋_GB2312" w:eastAsia="仿宋_GB2312" w:hint="eastAsia"/>
          <w:b/>
          <w:sz w:val="36"/>
          <w:szCs w:val="36"/>
        </w:rPr>
      </w:pPr>
    </w:p>
    <w:p>
      <w:pPr>
        <w:spacing w:line="480" w:lineRule="auto"/>
        <w:ind w:right="420" w:rightChars="200"/>
        <w:jc w:val="center"/>
        <w:rPr>
          <w:rFonts w:ascii="仿宋_GB2312" w:eastAsia="仿宋_GB2312" w:hint="eastAsia"/>
          <w:b/>
          <w:sz w:val="36"/>
          <w:szCs w:val="36"/>
        </w:rPr>
      </w:pPr>
    </w:p>
    <w:p>
      <w:pPr>
        <w:spacing w:line="480" w:lineRule="auto"/>
        <w:ind w:right="420" w:rightChars="200"/>
        <w:jc w:val="center"/>
        <w:rPr>
          <w:rFonts w:ascii="仿宋_GB2312" w:eastAsia="仿宋_GB2312" w:hint="eastAsia"/>
          <w:b/>
          <w:sz w:val="36"/>
          <w:szCs w:val="36"/>
        </w:rPr>
      </w:pPr>
      <w:r>
        <w:rPr>
          <w:rFonts w:ascii="仿宋_GB2312" w:eastAsia="仿宋_GB2312" w:hint="eastAsia"/>
          <w:b/>
          <w:sz w:val="36"/>
          <w:szCs w:val="36"/>
        </w:rPr>
        <w:t>毕业设计(论文)外文摘要</w:t>
      </w:r>
    </w:p>
    <w:tbl>
      <w:tblPr>
        <w:tblStyle w:val="TableNormal"/>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55"/>
      </w:tblGrid>
      <w:tr>
        <w:tblPrEx>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55" w:type="dxa"/>
            <w:noWrap w:val="0"/>
            <w:vAlign w:val="top"/>
          </w:tcPr>
          <w:p>
            <w:pPr>
              <w:spacing w:line="480" w:lineRule="auto"/>
              <w:ind w:right="420" w:rightChars="200"/>
              <w:rPr>
                <w:rFonts w:ascii="仿宋_GB2312" w:eastAsia="仿宋_GB2312" w:hint="eastAsia"/>
                <w:sz w:val="28"/>
                <w:u w:val="single"/>
              </w:rPr>
            </w:pPr>
            <w:r>
              <w:rPr>
                <w:rFonts w:ascii="仿宋_GB2312" w:eastAsia="仿宋_GB2312" w:hAnsi="宋体" w:hint="eastAsia"/>
                <w:b/>
                <w:bCs/>
                <w:sz w:val="28"/>
                <w:u w:val="single"/>
              </w:rPr>
              <w:t>Title</w:t>
            </w:r>
            <w:r>
              <w:rPr>
                <w:rFonts w:ascii="仿宋_GB2312" w:eastAsia="仿宋_GB2312" w:hAnsi="宋体" w:hint="eastAsia"/>
                <w:b/>
                <w:bCs/>
                <w:sz w:val="28"/>
              </w:rPr>
              <w:t xml:space="preserve"> :</w:t>
            </w:r>
            <w:r>
              <w:rPr>
                <w:rFonts w:ascii="仿宋_GB2312" w:eastAsia="仿宋_GB2312" w:hAnsi="宋体" w:hint="eastAsia"/>
                <w:sz w:val="28"/>
              </w:rPr>
              <w:t xml:space="preserve">   </w:t>
            </w:r>
            <w:r>
              <w:rPr>
                <w:rFonts w:ascii="仿宋_GB2312" w:eastAsia="仿宋_GB2312" w:hAnsi="宋体" w:hint="eastAsia"/>
                <w:sz w:val="28"/>
                <w:u w:val="single"/>
              </w:rPr>
              <w:t xml:space="preserve"> </w:t>
            </w:r>
            <w:r>
              <w:rPr>
                <w:rFonts w:asciiTheme="minorEastAsia" w:eastAsiaTheme="minorEastAsia" w:hAnsiTheme="minorEastAsia" w:cstheme="minorEastAsia" w:hint="eastAsia"/>
                <w:sz w:val="28"/>
                <w:u w:val="single"/>
              </w:rPr>
              <w:t xml:space="preserve"> Exploration of Simple Method for Quality Detection of Common Agricultural Assets </w:t>
            </w:r>
            <w:r>
              <w:rPr>
                <w:rFonts w:ascii="仿宋_GB2312" w:eastAsia="仿宋_GB2312" w:hAnsi="宋体" w:hint="eastAsia"/>
                <w:sz w:val="28"/>
                <w:u w:val="single"/>
              </w:rPr>
              <w:t xml:space="preserve">             </w:t>
            </w:r>
            <w:r>
              <w:rPr>
                <w:rFonts w:ascii="仿宋_GB2312" w:eastAsia="仿宋_GB2312" w:hAnsi="宋体" w:hint="eastAsia"/>
                <w:sz w:val="28"/>
                <w:u w:val="single"/>
                <w:lang w:val="en-US" w:eastAsia="zh-CN"/>
              </w:rPr>
              <w:t xml:space="preserve">               </w:t>
            </w:r>
          </w:p>
          <w:p>
            <w:pPr>
              <w:spacing w:after="0" w:line="480" w:lineRule="auto"/>
              <w:rPr>
                <w:rFonts w:ascii="仿宋_GB2312" w:eastAsia="仿宋_GB2312" w:hAnsi="宋体" w:hint="eastAsia"/>
                <w:sz w:val="24"/>
              </w:rPr>
            </w:pPr>
            <w:r>
              <w:rPr>
                <w:rFonts w:ascii="仿宋_GB2312" w:eastAsia="仿宋_GB2312" w:hint="eastAsia"/>
                <w:sz w:val="28"/>
              </w:rPr>
              <w:t>Abstract:</w:t>
            </w:r>
            <w:r>
              <w:rPr>
                <w:rFonts w:ascii="仿宋_GB2312" w:eastAsia="仿宋_GB2312" w:hAnsi="宋体" w:hint="eastAsia"/>
                <w:sz w:val="24"/>
              </w:rPr>
              <w:t>With</w:t>
            </w:r>
            <w:r>
              <w:rPr>
                <w:rFonts w:ascii="仿宋_GB2312" w:eastAsia="仿宋_GB2312" w:hAnsi="宋体" w:hint="eastAsia"/>
                <w:sz w:val="24"/>
              </w:rPr>
              <w:t xml:space="preserve"> the</w:t>
            </w:r>
            <w:r>
              <w:rPr>
                <w:rFonts w:ascii="仿宋_GB2312" w:eastAsia="仿宋_GB2312" w:hAnsi="宋体" w:hint="eastAsia"/>
                <w:sz w:val="24"/>
              </w:rPr>
              <w:t xml:space="preserve"> continuous</w:t>
            </w:r>
            <w:r>
              <w:rPr>
                <w:rFonts w:ascii="仿宋_GB2312" w:eastAsia="仿宋_GB2312" w:hAnsi="宋体" w:hint="eastAsia"/>
                <w:sz w:val="24"/>
              </w:rPr>
              <w:t xml:space="preserve"> improvement</w:t>
            </w:r>
            <w:r>
              <w:rPr>
                <w:rFonts w:ascii="仿宋_GB2312" w:eastAsia="仿宋_GB2312" w:hAnsi="宋体" w:hint="eastAsia"/>
                <w:sz w:val="24"/>
              </w:rPr>
              <w:t xml:space="preserve"> of</w:t>
            </w:r>
            <w:r>
              <w:rPr>
                <w:rFonts w:ascii="仿宋_GB2312" w:eastAsia="仿宋_GB2312" w:hAnsi="宋体" w:hint="eastAsia"/>
                <w:sz w:val="24"/>
              </w:rPr>
              <w:t xml:space="preserve"> China's</w:t>
            </w:r>
            <w:r>
              <w:rPr>
                <w:rFonts w:ascii="仿宋_GB2312" w:eastAsia="仿宋_GB2312" w:hAnsi="宋体" w:hint="eastAsia"/>
                <w:sz w:val="24"/>
              </w:rPr>
              <w:t xml:space="preserve"> comprehensive</w:t>
            </w:r>
            <w:r>
              <w:rPr>
                <w:rFonts w:ascii="仿宋_GB2312" w:eastAsia="仿宋_GB2312" w:hAnsi="宋体" w:hint="eastAsia"/>
                <w:sz w:val="24"/>
              </w:rPr>
              <w:t xml:space="preserve"> national</w:t>
            </w:r>
            <w:r>
              <w:rPr>
                <w:rFonts w:ascii="仿宋_GB2312" w:eastAsia="仿宋_GB2312" w:hAnsi="宋体" w:hint="eastAsia"/>
                <w:sz w:val="24"/>
              </w:rPr>
              <w:t xml:space="preserve"> strength,</w:t>
            </w:r>
            <w:r>
              <w:rPr>
                <w:rFonts w:ascii="仿宋_GB2312" w:eastAsia="仿宋_GB2312" w:hAnsi="宋体" w:hint="eastAsia"/>
                <w:sz w:val="24"/>
              </w:rPr>
              <w:t xml:space="preserve"> China's</w:t>
            </w:r>
            <w:r>
              <w:rPr>
                <w:rFonts w:ascii="仿宋_GB2312" w:eastAsia="仿宋_GB2312" w:hAnsi="宋体" w:hint="eastAsia"/>
                <w:sz w:val="24"/>
              </w:rPr>
              <w:t xml:space="preserve"> agricultural</w:t>
            </w:r>
            <w:r>
              <w:rPr>
                <w:rFonts w:ascii="仿宋_GB2312" w:eastAsia="仿宋_GB2312" w:hAnsi="宋体" w:hint="eastAsia"/>
                <w:sz w:val="24"/>
              </w:rPr>
              <w:t xml:space="preserve"> level</w:t>
            </w:r>
            <w:r>
              <w:rPr>
                <w:rFonts w:ascii="仿宋_GB2312" w:eastAsia="仿宋_GB2312" w:hAnsi="宋体" w:hint="eastAsia"/>
                <w:sz w:val="24"/>
              </w:rPr>
              <w:t xml:space="preserve"> has</w:t>
            </w:r>
            <w:r>
              <w:rPr>
                <w:rFonts w:ascii="仿宋_GB2312" w:eastAsia="仿宋_GB2312" w:hAnsi="宋体" w:hint="eastAsia"/>
                <w:sz w:val="24"/>
              </w:rPr>
              <w:t xml:space="preserve"> made</w:t>
            </w:r>
            <w:r>
              <w:rPr>
                <w:rFonts w:ascii="仿宋_GB2312" w:eastAsia="仿宋_GB2312" w:hAnsi="宋体" w:hint="eastAsia"/>
                <w:sz w:val="24"/>
              </w:rPr>
              <w:t xml:space="preserve"> considerable</w:t>
            </w:r>
            <w:r>
              <w:rPr>
                <w:rFonts w:ascii="仿宋_GB2312" w:eastAsia="仿宋_GB2312" w:hAnsi="宋体" w:hint="eastAsia"/>
                <w:sz w:val="24"/>
              </w:rPr>
              <w:t xml:space="preserve"> progress,</w:t>
            </w:r>
            <w:r>
              <w:rPr>
                <w:rFonts w:ascii="仿宋_GB2312" w:eastAsia="仿宋_GB2312" w:hAnsi="宋体" w:hint="eastAsia"/>
                <w:sz w:val="24"/>
              </w:rPr>
              <w:t xml:space="preserve"> and</w:t>
            </w:r>
            <w:r>
              <w:rPr>
                <w:rFonts w:ascii="仿宋_GB2312" w:eastAsia="仿宋_GB2312" w:hAnsi="宋体" w:hint="eastAsia"/>
                <w:sz w:val="24"/>
              </w:rPr>
              <w:t xml:space="preserve"> the</w:t>
            </w:r>
            <w:r>
              <w:rPr>
                <w:rFonts w:ascii="仿宋_GB2312" w:eastAsia="仿宋_GB2312" w:hAnsi="宋体" w:hint="eastAsia"/>
                <w:sz w:val="24"/>
              </w:rPr>
              <w:t xml:space="preserve"> level</w:t>
            </w:r>
            <w:r>
              <w:rPr>
                <w:rFonts w:ascii="仿宋_GB2312" w:eastAsia="仿宋_GB2312" w:hAnsi="宋体" w:hint="eastAsia"/>
                <w:sz w:val="24"/>
              </w:rPr>
              <w:t xml:space="preserve"> of</w:t>
            </w:r>
            <w:r>
              <w:rPr>
                <w:rFonts w:ascii="仿宋_GB2312" w:eastAsia="仿宋_GB2312" w:hAnsi="宋体" w:hint="eastAsia"/>
                <w:sz w:val="24"/>
              </w:rPr>
              <w:t xml:space="preserve"> medication</w:t>
            </w:r>
            <w:r>
              <w:rPr>
                <w:rFonts w:ascii="仿宋_GB2312" w:eastAsia="仿宋_GB2312" w:hAnsi="宋体" w:hint="eastAsia"/>
                <w:sz w:val="24"/>
              </w:rPr>
              <w:t xml:space="preserve"> used</w:t>
            </w:r>
            <w:r>
              <w:rPr>
                <w:rFonts w:ascii="仿宋_GB2312" w:eastAsia="仿宋_GB2312" w:hAnsi="宋体" w:hint="eastAsia"/>
                <w:sz w:val="24"/>
              </w:rPr>
              <w:t xml:space="preserve"> by</w:t>
            </w:r>
            <w:r>
              <w:rPr>
                <w:rFonts w:ascii="仿宋_GB2312" w:eastAsia="仿宋_GB2312" w:hAnsi="宋体" w:hint="eastAsia"/>
                <w:sz w:val="24"/>
              </w:rPr>
              <w:t xml:space="preserve"> farmers</w:t>
            </w:r>
            <w:r>
              <w:rPr>
                <w:rFonts w:ascii="仿宋_GB2312" w:eastAsia="仿宋_GB2312" w:hAnsi="宋体" w:hint="eastAsia"/>
                <w:sz w:val="24"/>
              </w:rPr>
              <w:t xml:space="preserve"> has</w:t>
            </w:r>
            <w:r>
              <w:rPr>
                <w:rFonts w:ascii="仿宋_GB2312" w:eastAsia="仿宋_GB2312" w:hAnsi="宋体" w:hint="eastAsia"/>
                <w:sz w:val="24"/>
              </w:rPr>
              <w:t xml:space="preserve"> been</w:t>
            </w:r>
            <w:r>
              <w:rPr>
                <w:rFonts w:ascii="仿宋_GB2312" w:eastAsia="仿宋_GB2312" w:hAnsi="宋体" w:hint="eastAsia"/>
                <w:sz w:val="24"/>
              </w:rPr>
              <w:t xml:space="preserve"> greatly</w:t>
            </w:r>
            <w:r>
              <w:rPr>
                <w:rFonts w:ascii="仿宋_GB2312" w:eastAsia="仿宋_GB2312" w:hAnsi="宋体" w:hint="eastAsia"/>
                <w:sz w:val="24"/>
              </w:rPr>
              <w:t xml:space="preserve"> improved.</w:t>
            </w:r>
            <w:r>
              <w:rPr>
                <w:rFonts w:ascii="仿宋_GB2312" w:eastAsia="仿宋_GB2312" w:hAnsi="宋体" w:hint="eastAsia"/>
                <w:sz w:val="24"/>
              </w:rPr>
              <w:t xml:space="preserve"> However,</w:t>
            </w:r>
            <w:r>
              <w:rPr>
                <w:rFonts w:ascii="仿宋_GB2312" w:eastAsia="仿宋_GB2312" w:hAnsi="宋体" w:hint="eastAsia"/>
                <w:sz w:val="24"/>
              </w:rPr>
              <w:t xml:space="preserve"> when</w:t>
            </w:r>
            <w:r>
              <w:rPr>
                <w:rFonts w:ascii="仿宋_GB2312" w:eastAsia="仿宋_GB2312" w:hAnsi="宋体" w:hint="eastAsia"/>
                <w:sz w:val="24"/>
              </w:rPr>
              <w:t xml:space="preserve"> the</w:t>
            </w:r>
            <w:r>
              <w:rPr>
                <w:rFonts w:ascii="仿宋_GB2312" w:eastAsia="仿宋_GB2312" w:hAnsi="宋体" w:hint="eastAsia"/>
                <w:sz w:val="24"/>
              </w:rPr>
              <w:t xml:space="preserve"> level</w:t>
            </w:r>
            <w:r>
              <w:rPr>
                <w:rFonts w:ascii="仿宋_GB2312" w:eastAsia="仿宋_GB2312" w:hAnsi="宋体" w:hint="eastAsia"/>
                <w:sz w:val="24"/>
              </w:rPr>
              <w:t xml:space="preserve"> of</w:t>
            </w:r>
            <w:r>
              <w:rPr>
                <w:rFonts w:ascii="仿宋_GB2312" w:eastAsia="仿宋_GB2312" w:hAnsi="宋体" w:hint="eastAsia"/>
                <w:sz w:val="24"/>
              </w:rPr>
              <w:t xml:space="preserve"> medication</w:t>
            </w:r>
            <w:r>
              <w:rPr>
                <w:rFonts w:ascii="仿宋_GB2312" w:eastAsia="仿宋_GB2312" w:hAnsi="宋体" w:hint="eastAsia"/>
                <w:sz w:val="24"/>
              </w:rPr>
              <w:t xml:space="preserve"> is</w:t>
            </w:r>
            <w:r>
              <w:rPr>
                <w:rFonts w:ascii="仿宋_GB2312" w:eastAsia="仿宋_GB2312" w:hAnsi="宋体" w:hint="eastAsia"/>
                <w:sz w:val="24"/>
              </w:rPr>
              <w:t xml:space="preserve"> improved,</w:t>
            </w:r>
            <w:r>
              <w:rPr>
                <w:rFonts w:ascii="仿宋_GB2312" w:eastAsia="仿宋_GB2312" w:hAnsi="宋体" w:hint="eastAsia"/>
                <w:sz w:val="24"/>
              </w:rPr>
              <w:t xml:space="preserve"> various</w:t>
            </w:r>
            <w:r>
              <w:rPr>
                <w:rFonts w:ascii="仿宋_GB2312" w:eastAsia="仿宋_GB2312" w:hAnsi="宋体" w:hint="eastAsia"/>
                <w:sz w:val="24"/>
              </w:rPr>
              <w:t xml:space="preserve"> complex</w:t>
            </w:r>
            <w:r>
              <w:rPr>
                <w:rFonts w:ascii="仿宋_GB2312" w:eastAsia="仿宋_GB2312" w:hAnsi="宋体" w:hint="eastAsia"/>
                <w:sz w:val="24"/>
              </w:rPr>
              <w:t xml:space="preserve"> problems</w:t>
            </w:r>
            <w:r>
              <w:rPr>
                <w:rFonts w:ascii="仿宋_GB2312" w:eastAsia="仿宋_GB2312" w:hAnsi="宋体" w:hint="eastAsia"/>
                <w:sz w:val="24"/>
              </w:rPr>
              <w:t xml:space="preserve"> are</w:t>
            </w:r>
            <w:r>
              <w:rPr>
                <w:rFonts w:ascii="仿宋_GB2312" w:eastAsia="仿宋_GB2312" w:hAnsi="宋体" w:hint="eastAsia"/>
                <w:sz w:val="24"/>
              </w:rPr>
              <w:t xml:space="preserve"> exposed</w:t>
            </w:r>
            <w:r>
              <w:rPr>
                <w:rFonts w:ascii="仿宋_GB2312" w:eastAsia="仿宋_GB2312" w:hAnsi="宋体" w:hint="eastAsia"/>
                <w:sz w:val="24"/>
              </w:rPr>
              <w:t xml:space="preserve"> at</w:t>
            </w:r>
            <w:r>
              <w:rPr>
                <w:rFonts w:ascii="仿宋_GB2312" w:eastAsia="仿宋_GB2312" w:hAnsi="宋体" w:hint="eastAsia"/>
                <w:sz w:val="24"/>
              </w:rPr>
              <w:t xml:space="preserve"> the</w:t>
            </w:r>
            <w:r>
              <w:rPr>
                <w:rFonts w:ascii="仿宋_GB2312" w:eastAsia="仿宋_GB2312" w:hAnsi="宋体" w:hint="eastAsia"/>
                <w:sz w:val="24"/>
              </w:rPr>
              <w:t xml:space="preserve"> same</w:t>
            </w:r>
            <w:r>
              <w:rPr>
                <w:rFonts w:ascii="仿宋_GB2312" w:eastAsia="仿宋_GB2312" w:hAnsi="宋体" w:hint="eastAsia"/>
                <w:sz w:val="24"/>
              </w:rPr>
              <w:t xml:space="preserve"> time.</w:t>
            </w:r>
            <w:r>
              <w:rPr>
                <w:rFonts w:ascii="仿宋_GB2312" w:eastAsia="仿宋_GB2312" w:hAnsi="宋体" w:hint="eastAsia"/>
                <w:sz w:val="24"/>
              </w:rPr>
              <w:t xml:space="preserve"> At</w:t>
            </w:r>
            <w:r>
              <w:rPr>
                <w:rFonts w:ascii="仿宋_GB2312" w:eastAsia="仿宋_GB2312" w:hAnsi="宋体" w:hint="eastAsia"/>
                <w:sz w:val="24"/>
              </w:rPr>
              <w:t xml:space="preserve"> present,</w:t>
            </w:r>
            <w:r>
              <w:rPr>
                <w:rFonts w:ascii="仿宋_GB2312" w:eastAsia="仿宋_GB2312" w:hAnsi="宋体" w:hint="eastAsia"/>
                <w:sz w:val="24"/>
              </w:rPr>
              <w:t xml:space="preserve"> the</w:t>
            </w:r>
            <w:r>
              <w:rPr>
                <w:rFonts w:ascii="仿宋_GB2312" w:eastAsia="仿宋_GB2312" w:hAnsi="宋体" w:hint="eastAsia"/>
                <w:sz w:val="24"/>
              </w:rPr>
              <w:t xml:space="preserve"> pesticide</w:t>
            </w:r>
            <w:r>
              <w:rPr>
                <w:rFonts w:ascii="仿宋_GB2312" w:eastAsia="仿宋_GB2312" w:hAnsi="宋体" w:hint="eastAsia"/>
                <w:sz w:val="24"/>
              </w:rPr>
              <w:t xml:space="preserve"> market</w:t>
            </w:r>
            <w:r>
              <w:rPr>
                <w:rFonts w:ascii="仿宋_GB2312" w:eastAsia="仿宋_GB2312" w:hAnsi="宋体" w:hint="eastAsia"/>
                <w:sz w:val="24"/>
              </w:rPr>
              <w:t xml:space="preserve"> in</w:t>
            </w:r>
            <w:r>
              <w:rPr>
                <w:rFonts w:ascii="仿宋_GB2312" w:eastAsia="仿宋_GB2312" w:hAnsi="宋体" w:hint="eastAsia"/>
                <w:sz w:val="24"/>
              </w:rPr>
              <w:t xml:space="preserve"> our</w:t>
            </w:r>
            <w:r>
              <w:rPr>
                <w:rFonts w:ascii="仿宋_GB2312" w:eastAsia="仿宋_GB2312" w:hAnsi="宋体" w:hint="eastAsia"/>
                <w:sz w:val="24"/>
              </w:rPr>
              <w:t xml:space="preserve"> country</w:t>
            </w:r>
            <w:r>
              <w:rPr>
                <w:rFonts w:ascii="仿宋_GB2312" w:eastAsia="仿宋_GB2312" w:hAnsi="宋体" w:hint="eastAsia"/>
                <w:sz w:val="24"/>
              </w:rPr>
              <w:t xml:space="preserve"> is</w:t>
            </w:r>
            <w:r>
              <w:rPr>
                <w:rFonts w:ascii="仿宋_GB2312" w:eastAsia="仿宋_GB2312" w:hAnsi="宋体" w:hint="eastAsia"/>
                <w:sz w:val="24"/>
              </w:rPr>
              <w:t xml:space="preserve"> very</w:t>
            </w:r>
            <w:r>
              <w:rPr>
                <w:rFonts w:ascii="仿宋_GB2312" w:eastAsia="仿宋_GB2312" w:hAnsi="宋体" w:hint="eastAsia"/>
                <w:sz w:val="24"/>
              </w:rPr>
              <w:t xml:space="preserve"> chaotic.</w:t>
            </w:r>
            <w:r>
              <w:rPr>
                <w:rFonts w:ascii="仿宋_GB2312" w:eastAsia="仿宋_GB2312" w:hAnsi="宋体" w:hint="eastAsia"/>
                <w:sz w:val="24"/>
              </w:rPr>
              <w:t xml:space="preserve"> There</w:t>
            </w:r>
            <w:r>
              <w:rPr>
                <w:rFonts w:ascii="仿宋_GB2312" w:eastAsia="仿宋_GB2312" w:hAnsi="宋体" w:hint="eastAsia"/>
                <w:sz w:val="24"/>
              </w:rPr>
              <w:t xml:space="preserve"> are</w:t>
            </w:r>
            <w:r>
              <w:rPr>
                <w:rFonts w:ascii="仿宋_GB2312" w:eastAsia="仿宋_GB2312" w:hAnsi="宋体" w:hint="eastAsia"/>
                <w:sz w:val="24"/>
              </w:rPr>
              <w:t xml:space="preserve"> many</w:t>
            </w:r>
            <w:r>
              <w:rPr>
                <w:rFonts w:ascii="仿宋_GB2312" w:eastAsia="仿宋_GB2312" w:hAnsi="宋体" w:hint="eastAsia"/>
                <w:sz w:val="24"/>
              </w:rPr>
              <w:t xml:space="preserve"> kinds</w:t>
            </w:r>
            <w:r>
              <w:rPr>
                <w:rFonts w:ascii="仿宋_GB2312" w:eastAsia="仿宋_GB2312" w:hAnsi="宋体" w:hint="eastAsia"/>
                <w:sz w:val="24"/>
              </w:rPr>
              <w:t xml:space="preserve"> of</w:t>
            </w:r>
            <w:r>
              <w:rPr>
                <w:rFonts w:ascii="仿宋_GB2312" w:eastAsia="仿宋_GB2312" w:hAnsi="宋体" w:hint="eastAsia"/>
                <w:sz w:val="24"/>
              </w:rPr>
              <w:t xml:space="preserve"> imported</w:t>
            </w:r>
            <w:r>
              <w:rPr>
                <w:rFonts w:ascii="仿宋_GB2312" w:eastAsia="仿宋_GB2312" w:hAnsi="宋体" w:hint="eastAsia"/>
                <w:sz w:val="24"/>
              </w:rPr>
              <w:t xml:space="preserve"> and</w:t>
            </w:r>
            <w:r>
              <w:rPr>
                <w:rFonts w:ascii="仿宋_GB2312" w:eastAsia="仿宋_GB2312" w:hAnsi="宋体" w:hint="eastAsia"/>
                <w:sz w:val="24"/>
              </w:rPr>
              <w:t xml:space="preserve"> domestic</w:t>
            </w:r>
            <w:r>
              <w:rPr>
                <w:rFonts w:ascii="仿宋_GB2312" w:eastAsia="仿宋_GB2312" w:hAnsi="宋体" w:hint="eastAsia"/>
                <w:sz w:val="24"/>
              </w:rPr>
              <w:t xml:space="preserve"> pesticides,</w:t>
            </w:r>
            <w:r>
              <w:rPr>
                <w:rFonts w:ascii="仿宋_GB2312" w:eastAsia="仿宋_GB2312" w:hAnsi="宋体" w:hint="eastAsia"/>
                <w:sz w:val="24"/>
              </w:rPr>
              <w:t xml:space="preserve"> and</w:t>
            </w:r>
            <w:r>
              <w:rPr>
                <w:rFonts w:ascii="仿宋_GB2312" w:eastAsia="仿宋_GB2312" w:hAnsi="宋体" w:hint="eastAsia"/>
                <w:sz w:val="24"/>
              </w:rPr>
              <w:t xml:space="preserve"> there</w:t>
            </w:r>
            <w:r>
              <w:rPr>
                <w:rFonts w:ascii="仿宋_GB2312" w:eastAsia="仿宋_GB2312" w:hAnsi="宋体" w:hint="eastAsia"/>
                <w:sz w:val="24"/>
              </w:rPr>
              <w:t xml:space="preserve"> are</w:t>
            </w:r>
            <w:r>
              <w:rPr>
                <w:rFonts w:ascii="仿宋_GB2312" w:eastAsia="仿宋_GB2312" w:hAnsi="宋体" w:hint="eastAsia"/>
                <w:sz w:val="24"/>
              </w:rPr>
              <w:t xml:space="preserve"> often</w:t>
            </w:r>
            <w:r>
              <w:rPr>
                <w:rFonts w:ascii="仿宋_GB2312" w:eastAsia="仿宋_GB2312" w:hAnsi="宋体" w:hint="eastAsia"/>
                <w:sz w:val="24"/>
              </w:rPr>
              <w:t xml:space="preserve"> various</w:t>
            </w:r>
          </w:p>
        </w:tc>
      </w:tr>
    </w:tbl>
    <w:p>
      <w:pPr>
        <w:sectPr>
          <w:type w:val="nextPage"/>
          <w:pgSz w:w="11906" w:h="16838"/>
          <w:pgMar w:top="1440" w:right="1800" w:bottom="1440" w:left="1800" w:header="851" w:footer="992" w:gutter="0"/>
          <w:pgNumType w:start="3"/>
          <w:cols w:num="1" w:space="425"/>
          <w:titlePg w:val="0"/>
          <w:docGrid w:type="lines" w:linePitch="312" w:charSpace="0"/>
        </w:sectPr>
      </w:pPr>
    </w:p>
    <w:tbl>
      <w:tblPr>
        <w:tblStyle w:val="TableNormal"/>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55"/>
      </w:tblGrid>
      <w:tr>
        <w:tblPrEx>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55" w:type="dxa"/>
            <w:noWrap w:val="0"/>
            <w:vAlign w:val="top"/>
          </w:tcPr>
          <w:p>
            <w:pPr>
              <w:spacing w:before="0" w:line="480" w:lineRule="auto"/>
              <w:rPr>
                <w:rFonts w:ascii="仿宋_GB2312" w:eastAsia="仿宋_GB2312" w:hAnsi="宋体" w:hint="eastAsia"/>
                <w:sz w:val="24"/>
              </w:rPr>
            </w:pPr>
            <w:r>
              <w:rPr>
                <w:rFonts w:ascii="仿宋_GB2312" w:eastAsia="仿宋_GB2312" w:hAnsi="宋体" w:hint="eastAsia"/>
                <w:sz w:val="24"/>
              </w:rPr>
              <w:t xml:space="preserve"> quality</w:t>
            </w:r>
            <w:r>
              <w:rPr>
                <w:rFonts w:ascii="仿宋_GB2312" w:eastAsia="仿宋_GB2312" w:hAnsi="宋体" w:hint="eastAsia"/>
                <w:sz w:val="24"/>
              </w:rPr>
              <w:t xml:space="preserve"> problems.</w:t>
            </w:r>
            <w:r>
              <w:rPr>
                <w:rFonts w:ascii="仿宋_GB2312" w:eastAsia="仿宋_GB2312" w:hAnsi="宋体" w:hint="eastAsia"/>
                <w:sz w:val="24"/>
              </w:rPr>
              <w:t xml:space="preserve"> So</w:t>
            </w:r>
            <w:r>
              <w:rPr>
                <w:rFonts w:ascii="仿宋_GB2312" w:eastAsia="仿宋_GB2312" w:hAnsi="宋体" w:hint="eastAsia"/>
                <w:sz w:val="24"/>
              </w:rPr>
              <w:t xml:space="preserve"> as</w:t>
            </w:r>
            <w:r>
              <w:rPr>
                <w:rFonts w:ascii="仿宋_GB2312" w:eastAsia="仿宋_GB2312" w:hAnsi="宋体" w:hint="eastAsia"/>
                <w:sz w:val="24"/>
              </w:rPr>
              <w:t xml:space="preserve"> a</w:t>
            </w:r>
            <w:r>
              <w:rPr>
                <w:rFonts w:ascii="仿宋_GB2312" w:eastAsia="仿宋_GB2312" w:hAnsi="宋体" w:hint="eastAsia"/>
                <w:sz w:val="24"/>
              </w:rPr>
              <w:t xml:space="preserve"> farmer,</w:t>
            </w:r>
            <w:r>
              <w:rPr>
                <w:rFonts w:ascii="仿宋_GB2312" w:eastAsia="仿宋_GB2312" w:hAnsi="宋体" w:hint="eastAsia"/>
                <w:sz w:val="24"/>
              </w:rPr>
              <w:t xml:space="preserve"> land</w:t>
            </w:r>
            <w:r>
              <w:rPr>
                <w:rFonts w:ascii="仿宋_GB2312" w:eastAsia="仿宋_GB2312" w:hAnsi="宋体" w:hint="eastAsia"/>
                <w:sz w:val="24"/>
              </w:rPr>
              <w:t xml:space="preserve"> is</w:t>
            </w:r>
            <w:r>
              <w:rPr>
                <w:rFonts w:ascii="仿宋_GB2312" w:eastAsia="仿宋_GB2312" w:hAnsi="宋体" w:hint="eastAsia"/>
                <w:sz w:val="24"/>
              </w:rPr>
              <w:t xml:space="preserve"> the</w:t>
            </w:r>
            <w:r>
              <w:rPr>
                <w:rFonts w:ascii="仿宋_GB2312" w:eastAsia="仿宋_GB2312" w:hAnsi="宋体" w:hint="eastAsia"/>
                <w:sz w:val="24"/>
              </w:rPr>
              <w:t xml:space="preserve"> whole</w:t>
            </w:r>
            <w:r>
              <w:rPr>
                <w:rFonts w:ascii="仿宋_GB2312" w:eastAsia="仿宋_GB2312" w:hAnsi="宋体" w:hint="eastAsia"/>
                <w:sz w:val="24"/>
              </w:rPr>
              <w:t xml:space="preserve"> effort.</w:t>
            </w:r>
            <w:r>
              <w:rPr>
                <w:rFonts w:ascii="仿宋_GB2312" w:eastAsia="仿宋_GB2312" w:hAnsi="宋体" w:hint="eastAsia"/>
                <w:sz w:val="24"/>
              </w:rPr>
              <w:t xml:space="preserve"> How</w:t>
            </w:r>
            <w:r>
              <w:rPr>
                <w:rFonts w:ascii="仿宋_GB2312" w:eastAsia="仿宋_GB2312" w:hAnsi="宋体" w:hint="eastAsia"/>
                <w:sz w:val="24"/>
              </w:rPr>
              <w:t xml:space="preserve"> can</w:t>
            </w:r>
            <w:r>
              <w:rPr>
                <w:rFonts w:ascii="仿宋_GB2312" w:eastAsia="仿宋_GB2312" w:hAnsi="宋体" w:hint="eastAsia"/>
                <w:sz w:val="24"/>
              </w:rPr>
              <w:t xml:space="preserve"> we</w:t>
            </w:r>
            <w:r>
              <w:rPr>
                <w:rFonts w:ascii="仿宋_GB2312" w:eastAsia="仿宋_GB2312" w:hAnsi="宋体" w:hint="eastAsia"/>
                <w:sz w:val="24"/>
              </w:rPr>
              <w:t xml:space="preserve"> avoid</w:t>
            </w:r>
            <w:r>
              <w:rPr>
                <w:rFonts w:ascii="仿宋_GB2312" w:eastAsia="仿宋_GB2312" w:hAnsi="宋体" w:hint="eastAsia"/>
                <w:sz w:val="24"/>
              </w:rPr>
              <w:t xml:space="preserve"> buying</w:t>
            </w:r>
            <w:r>
              <w:rPr>
                <w:rFonts w:ascii="仿宋_GB2312" w:eastAsia="仿宋_GB2312" w:hAnsi="宋体" w:hint="eastAsia"/>
                <w:sz w:val="24"/>
              </w:rPr>
              <w:t xml:space="preserve"> fake</w:t>
            </w:r>
            <w:r>
              <w:rPr>
                <w:rFonts w:ascii="仿宋_GB2312" w:eastAsia="仿宋_GB2312" w:hAnsi="宋体" w:hint="eastAsia"/>
                <w:sz w:val="24"/>
              </w:rPr>
              <w:t xml:space="preserve"> and</w:t>
            </w:r>
            <w:r>
              <w:rPr>
                <w:rFonts w:ascii="仿宋_GB2312" w:eastAsia="仿宋_GB2312" w:hAnsi="宋体" w:hint="eastAsia"/>
                <w:sz w:val="24"/>
              </w:rPr>
              <w:t xml:space="preserve"> inferior</w:t>
            </w:r>
            <w:r>
              <w:rPr>
                <w:rFonts w:ascii="仿宋_GB2312" w:eastAsia="仿宋_GB2312" w:hAnsi="宋体" w:hint="eastAsia"/>
                <w:sz w:val="24"/>
              </w:rPr>
              <w:t xml:space="preserve"> products</w:t>
            </w:r>
            <w:r>
              <w:rPr>
                <w:rFonts w:ascii="仿宋_GB2312" w:eastAsia="仿宋_GB2312" w:hAnsi="宋体" w:hint="eastAsia"/>
                <w:sz w:val="24"/>
              </w:rPr>
              <w:t xml:space="preserve"> to</w:t>
            </w:r>
            <w:r>
              <w:rPr>
                <w:rFonts w:ascii="仿宋_GB2312" w:eastAsia="仿宋_GB2312" w:hAnsi="宋体" w:hint="eastAsia"/>
                <w:sz w:val="24"/>
              </w:rPr>
              <w:t xml:space="preserve"> protect</w:t>
            </w:r>
            <w:r>
              <w:rPr>
                <w:rFonts w:ascii="仿宋_GB2312" w:eastAsia="仿宋_GB2312" w:hAnsi="宋体" w:hint="eastAsia"/>
                <w:sz w:val="24"/>
              </w:rPr>
              <w:t xml:space="preserve"> our</w:t>
            </w:r>
            <w:r>
              <w:rPr>
                <w:rFonts w:ascii="仿宋_GB2312" w:eastAsia="仿宋_GB2312" w:hAnsi="宋体" w:hint="eastAsia"/>
                <w:sz w:val="24"/>
              </w:rPr>
              <w:t xml:space="preserve"> own</w:t>
            </w:r>
            <w:r>
              <w:rPr>
                <w:rFonts w:ascii="仿宋_GB2312" w:eastAsia="仿宋_GB2312" w:hAnsi="宋体" w:hint="eastAsia"/>
                <w:sz w:val="24"/>
              </w:rPr>
              <w:t xml:space="preserve"> interests?</w:t>
            </w:r>
            <w:r>
              <w:rPr>
                <w:rFonts w:ascii="仿宋_GB2312" w:eastAsia="仿宋_GB2312" w:hAnsi="宋体" w:hint="eastAsia"/>
                <w:sz w:val="24"/>
              </w:rPr>
              <w:t xml:space="preserve"> This</w:t>
            </w:r>
            <w:r>
              <w:rPr>
                <w:rFonts w:ascii="仿宋_GB2312" w:eastAsia="仿宋_GB2312" w:hAnsi="宋体" w:hint="eastAsia"/>
                <w:sz w:val="24"/>
              </w:rPr>
              <w:t xml:space="preserve"> article</w:t>
            </w:r>
            <w:r>
              <w:rPr>
                <w:rFonts w:ascii="仿宋_GB2312" w:eastAsia="仿宋_GB2312" w:hAnsi="宋体" w:hint="eastAsia"/>
                <w:sz w:val="24"/>
              </w:rPr>
              <w:t xml:space="preserve"> starts</w:t>
            </w:r>
            <w:r>
              <w:rPr>
                <w:rFonts w:ascii="仿宋_GB2312" w:eastAsia="仿宋_GB2312" w:hAnsi="宋体" w:hint="eastAsia"/>
                <w:sz w:val="24"/>
              </w:rPr>
              <w:t xml:space="preserve"> from</w:t>
            </w:r>
            <w:r>
              <w:rPr>
                <w:rFonts w:ascii="仿宋_GB2312" w:eastAsia="仿宋_GB2312" w:hAnsi="宋体" w:hint="eastAsia"/>
                <w:sz w:val="24"/>
              </w:rPr>
              <w:t xml:space="preserve"> the</w:t>
            </w:r>
            <w:r>
              <w:rPr>
                <w:rFonts w:ascii="仿宋_GB2312" w:eastAsia="仿宋_GB2312" w:hAnsi="宋体" w:hint="eastAsia"/>
                <w:sz w:val="24"/>
              </w:rPr>
              <w:t xml:space="preserve"> nature</w:t>
            </w:r>
            <w:r>
              <w:rPr>
                <w:rFonts w:ascii="仿宋_GB2312" w:eastAsia="仿宋_GB2312" w:hAnsi="宋体" w:hint="eastAsia"/>
                <w:sz w:val="24"/>
              </w:rPr>
              <w:t xml:space="preserve"> of</w:t>
            </w:r>
            <w:r>
              <w:rPr>
                <w:rFonts w:ascii="仿宋_GB2312" w:eastAsia="仿宋_GB2312" w:hAnsi="宋体" w:hint="eastAsia"/>
                <w:sz w:val="24"/>
              </w:rPr>
              <w:t xml:space="preserve"> different</w:t>
            </w:r>
            <w:r>
              <w:rPr>
                <w:rFonts w:ascii="仿宋_GB2312" w:eastAsia="仿宋_GB2312" w:hAnsi="宋体" w:hint="eastAsia"/>
                <w:sz w:val="24"/>
              </w:rPr>
              <w:t xml:space="preserve"> pesticides</w:t>
            </w:r>
            <w:r>
              <w:rPr>
                <w:rFonts w:ascii="仿宋_GB2312" w:eastAsia="仿宋_GB2312" w:hAnsi="宋体" w:hint="eastAsia"/>
                <w:sz w:val="24"/>
              </w:rPr>
              <w:t xml:space="preserve"> and</w:t>
            </w:r>
            <w:r>
              <w:rPr>
                <w:rFonts w:ascii="仿宋_GB2312" w:eastAsia="仿宋_GB2312" w:hAnsi="宋体" w:hint="eastAsia"/>
                <w:sz w:val="24"/>
              </w:rPr>
              <w:t xml:space="preserve"> explores</w:t>
            </w:r>
            <w:r>
              <w:rPr>
                <w:rFonts w:ascii="仿宋_GB2312" w:eastAsia="仿宋_GB2312" w:hAnsi="宋体" w:hint="eastAsia"/>
                <w:sz w:val="24"/>
              </w:rPr>
              <w:t xml:space="preserve"> several</w:t>
            </w:r>
            <w:r>
              <w:rPr>
                <w:rFonts w:ascii="仿宋_GB2312" w:eastAsia="仿宋_GB2312" w:hAnsi="宋体" w:hint="eastAsia"/>
                <w:sz w:val="24"/>
              </w:rPr>
              <w:t xml:space="preserve"> simple</w:t>
            </w:r>
            <w:r>
              <w:rPr>
                <w:rFonts w:ascii="仿宋_GB2312" w:eastAsia="仿宋_GB2312" w:hAnsi="宋体" w:hint="eastAsia"/>
                <w:sz w:val="24"/>
              </w:rPr>
              <w:t xml:space="preserve"> ways</w:t>
            </w:r>
            <w:r>
              <w:rPr>
                <w:rFonts w:ascii="仿宋_GB2312" w:eastAsia="仿宋_GB2312" w:hAnsi="宋体" w:hint="eastAsia"/>
                <w:sz w:val="24"/>
              </w:rPr>
              <w:t xml:space="preserve"> to</w:t>
            </w:r>
            <w:r>
              <w:rPr>
                <w:rFonts w:ascii="仿宋_GB2312" w:eastAsia="仿宋_GB2312" w:hAnsi="宋体" w:hint="eastAsia"/>
                <w:sz w:val="24"/>
              </w:rPr>
              <w:t xml:space="preserve"> identify</w:t>
            </w:r>
            <w:r>
              <w:rPr>
                <w:rFonts w:ascii="仿宋_GB2312" w:eastAsia="仿宋_GB2312" w:hAnsi="宋体" w:hint="eastAsia"/>
                <w:sz w:val="24"/>
              </w:rPr>
              <w:t xml:space="preserve"> me.</w:t>
            </w:r>
            <w:r>
              <w:rPr>
                <w:rFonts w:ascii="仿宋_GB2312" w:eastAsia="仿宋_GB2312" w:hAnsi="宋体" w:hint="eastAsia"/>
                <w:sz w:val="24"/>
              </w:rPr>
              <w:t xml:space="preserve"> Is</w:t>
            </w:r>
            <w:r>
              <w:rPr>
                <w:rFonts w:ascii="仿宋_GB2312" w:eastAsia="仿宋_GB2312" w:hAnsi="宋体" w:hint="eastAsia"/>
                <w:sz w:val="24"/>
              </w:rPr>
              <w:t xml:space="preserve"> the</w:t>
            </w:r>
            <w:r>
              <w:rPr>
                <w:rFonts w:ascii="仿宋_GB2312" w:eastAsia="仿宋_GB2312" w:hAnsi="宋体" w:hint="eastAsia"/>
                <w:sz w:val="24"/>
              </w:rPr>
              <w:t xml:space="preserve"> quality</w:t>
            </w:r>
            <w:r>
              <w:rPr>
                <w:rFonts w:ascii="仿宋_GB2312" w:eastAsia="仿宋_GB2312" w:hAnsi="宋体" w:hint="eastAsia"/>
                <w:sz w:val="24"/>
              </w:rPr>
              <w:t xml:space="preserve"> of</w:t>
            </w:r>
            <w:r>
              <w:rPr>
                <w:rFonts w:ascii="仿宋_GB2312" w:eastAsia="仿宋_GB2312" w:hAnsi="宋体" w:hint="eastAsia"/>
                <w:sz w:val="24"/>
              </w:rPr>
              <w:t xml:space="preserve"> the</w:t>
            </w:r>
            <w:r>
              <w:rPr>
                <w:rFonts w:ascii="仿宋_GB2312" w:eastAsia="仿宋_GB2312" w:hAnsi="宋体" w:hint="eastAsia"/>
                <w:sz w:val="24"/>
              </w:rPr>
              <w:t xml:space="preserve"> products</w:t>
            </w:r>
            <w:r>
              <w:rPr>
                <w:rFonts w:ascii="仿宋_GB2312" w:eastAsia="仿宋_GB2312" w:hAnsi="宋体" w:hint="eastAsia"/>
                <w:sz w:val="24"/>
              </w:rPr>
              <w:t xml:space="preserve"> we</w:t>
            </w:r>
            <w:r>
              <w:rPr>
                <w:rFonts w:ascii="仿宋_GB2312" w:eastAsia="仿宋_GB2312" w:hAnsi="宋体" w:hint="eastAsia"/>
                <w:sz w:val="24"/>
              </w:rPr>
              <w:t xml:space="preserve"> have</w:t>
            </w:r>
            <w:r>
              <w:rPr>
                <w:rFonts w:ascii="仿宋_GB2312" w:eastAsia="仿宋_GB2312" w:hAnsi="宋体" w:hint="eastAsia"/>
                <w:sz w:val="24"/>
              </w:rPr>
              <w:t xml:space="preserve"> purchased</w:t>
            </w:r>
            <w:r>
              <w:rPr>
                <w:rFonts w:ascii="仿宋_GB2312" w:eastAsia="仿宋_GB2312" w:hAnsi="宋体" w:hint="eastAsia"/>
                <w:sz w:val="24"/>
              </w:rPr>
              <w:t xml:space="preserve"> qualified</w:t>
            </w:r>
            <w:r>
              <w:rPr>
                <w:rFonts w:ascii="仿宋_GB2312" w:eastAsia="仿宋_GB2312" w:hAnsi="宋体" w:hint="eastAsia"/>
                <w:sz w:val="24"/>
                <w:lang w:val="en-US" w:eastAsia="zh-CN"/>
              </w:rPr>
              <w:t>.</w:t>
            </w:r>
          </w:p>
          <w:p>
            <w:pPr>
              <w:spacing w:line="480" w:lineRule="auto"/>
              <w:rPr>
                <w:rFonts w:ascii="仿宋_GB2312" w:eastAsia="仿宋_GB2312" w:hAnsi="宋体" w:hint="eastAsia"/>
                <w:sz w:val="24"/>
                <w:u w:val="none"/>
              </w:rPr>
            </w:pPr>
            <w:r>
              <w:rPr>
                <w:rFonts w:ascii="仿宋_GB2312" w:eastAsia="仿宋_GB2312" w:hint="eastAsia"/>
                <w:sz w:val="28"/>
                <w:u w:val="none"/>
              </w:rPr>
              <w:t>keywords:Quality of Agricultural Products</w:t>
            </w:r>
            <w:r>
              <w:rPr>
                <w:rFonts w:ascii="仿宋_GB2312" w:eastAsia="仿宋_GB2312" w:hint="eastAsia"/>
                <w:sz w:val="28"/>
                <w:u w:val="none"/>
                <w:lang w:eastAsia="zh-CN"/>
              </w:rPr>
              <w:t>，</w:t>
            </w:r>
            <w:r>
              <w:rPr>
                <w:rFonts w:ascii="仿宋_GB2312" w:eastAsia="仿宋_GB2312" w:hint="eastAsia"/>
                <w:sz w:val="28"/>
                <w:u w:val="none"/>
                <w:lang w:val="en-US" w:eastAsia="zh-CN"/>
              </w:rPr>
              <w:t xml:space="preserve">Quality testing ，Quality Assurance  </w:t>
            </w:r>
          </w:p>
          <w:p>
            <w:pPr>
              <w:spacing w:line="480" w:lineRule="auto"/>
              <w:rPr>
                <w:rFonts w:ascii="仿宋_GB2312" w:eastAsia="仿宋_GB2312" w:hAnsi="宋体" w:hint="eastAsia"/>
                <w:sz w:val="24"/>
              </w:rPr>
            </w:pPr>
          </w:p>
          <w:p>
            <w:pPr>
              <w:spacing w:line="480" w:lineRule="auto"/>
              <w:rPr>
                <w:rFonts w:ascii="仿宋_GB2312" w:eastAsia="仿宋_GB2312" w:hAnsi="宋体" w:hint="eastAsia"/>
                <w:sz w:val="24"/>
              </w:rPr>
            </w:pPr>
          </w:p>
          <w:p>
            <w:pPr>
              <w:spacing w:line="480" w:lineRule="auto"/>
              <w:rPr>
                <w:rFonts w:ascii="仿宋_GB2312" w:eastAsia="仿宋_GB2312" w:hAnsi="宋体" w:hint="eastAsia"/>
                <w:sz w:val="24"/>
              </w:rPr>
            </w:pPr>
          </w:p>
          <w:p>
            <w:pPr>
              <w:spacing w:line="480" w:lineRule="auto"/>
              <w:rPr>
                <w:rFonts w:ascii="仿宋_GB2312" w:eastAsia="仿宋_GB2312" w:hAnsi="宋体" w:hint="eastAsia"/>
                <w:sz w:val="24"/>
              </w:rPr>
            </w:pPr>
          </w:p>
          <w:p>
            <w:pPr>
              <w:spacing w:line="480" w:lineRule="auto"/>
              <w:rPr>
                <w:rFonts w:ascii="仿宋_GB2312" w:eastAsia="仿宋_GB2312" w:hAnsi="宋体" w:hint="eastAsia"/>
                <w:sz w:val="24"/>
              </w:rPr>
            </w:pPr>
          </w:p>
          <w:p>
            <w:pPr>
              <w:spacing w:line="480" w:lineRule="auto"/>
              <w:rPr>
                <w:rFonts w:ascii="仿宋_GB2312" w:eastAsia="仿宋_GB2312" w:hAnsi="宋体" w:hint="eastAsia"/>
                <w:sz w:val="24"/>
              </w:rPr>
            </w:pPr>
          </w:p>
        </w:tc>
      </w:tr>
    </w:tbl>
    <w:p>
      <w:pPr>
        <w:tabs>
          <w:tab w:val="left" w:pos="406"/>
          <w:tab w:val="center" w:pos="4213"/>
        </w:tabs>
        <w:spacing w:before="0" w:beforeLines="0" w:after="0" w:afterLines="0" w:line="240" w:lineRule="auto"/>
        <w:ind w:left="0" w:right="0" w:firstLine="0" w:leftChars="0" w:rightChars="0" w:firstLineChars="0"/>
        <w:jc w:val="both"/>
      </w:pPr>
    </w:p>
    <w:sdt>
      <w:sdtPr>
        <w:rPr>
          <w:rFonts w:ascii="宋体" w:eastAsia="宋体" w:hAnsi="宋体" w:cstheme="minorBidi"/>
          <w:kern w:val="2"/>
          <w:sz w:val="21"/>
          <w:szCs w:val="24"/>
          <w:lang w:val="en-US" w:eastAsia="zh-CN" w:bidi="ar-SA"/>
        </w:rPr>
        <w:id w:val="147464548"/>
        <w:docPartObj>
          <w:docPartGallery w:val="Table of Contents"/>
          <w:docPartUnique/>
        </w:docPartObj>
        <w15:color w:val="DBDBDB"/>
      </w:sdtPr>
      <w:sdtEndPr>
        <w:rPr>
          <w:rFonts w:ascii="Times New Roman" w:eastAsia="宋体" w:hAnsi="Times New Roman" w:cs="Times New Roman"/>
          <w:kern w:val="2"/>
          <w:sz w:val="20"/>
          <w:szCs w:val="20"/>
          <w:lang w:val="en-US" w:eastAsia="zh-CN" w:bidi="ar-SA"/>
        </w:rPr>
      </w:sdtEndPr>
      <w:sdtContent>
        <w:p>
          <w:pPr>
            <w:spacing w:before="0" w:beforeLines="0" w:after="0" w:afterLines="0" w:line="240" w:lineRule="auto"/>
            <w:ind w:left="0" w:right="0" w:firstLine="0" w:leftChars="0" w:rightChars="0" w:firstLineChars="0"/>
            <w:jc w:val="center"/>
            <w:rPr>
              <w:rFonts w:ascii="黑体" w:eastAsia="黑体" w:hAnsi="黑体" w:cs="黑体" w:hint="eastAsia"/>
              <w:sz w:val="28"/>
              <w:szCs w:val="28"/>
            </w:rPr>
          </w:pPr>
          <w:bookmarkStart w:id="0" w:name="_Toc12169_WPSOffice_Type3"/>
          <w:r>
            <w:rPr>
              <w:rFonts w:ascii="黑体" w:eastAsia="黑体" w:hAnsi="黑体" w:cs="黑体" w:hint="eastAsia"/>
              <w:sz w:val="28"/>
              <w:szCs w:val="28"/>
            </w:rPr>
            <w:t>目录</w:t>
          </w:r>
        </w:p>
        <w:p>
          <w:pPr>
            <w:pStyle w:val="WPSOffice1"/>
            <w:tabs>
              <w:tab w:val="right" w:leader="dot" w:pos="8306"/>
            </w:tabs>
            <w:rPr>
              <w:rFonts w:ascii="黑体" w:eastAsia="黑体" w:hAnsi="黑体" w:cs="黑体" w:hint="eastAsia"/>
              <w:sz w:val="28"/>
              <w:szCs w:val="28"/>
            </w:rPr>
          </w:pPr>
          <w:hyperlink w:anchor="_Toc4959_WPSOffice_Level1" w:history="1">
            <w:sdt>
              <w:sdtPr>
                <w:rPr>
                  <w:rFonts w:ascii="黑体" w:eastAsia="黑体" w:hAnsi="黑体" w:cs="黑体" w:hint="eastAsia"/>
                  <w:b/>
                  <w:kern w:val="44"/>
                  <w:sz w:val="28"/>
                  <w:szCs w:val="28"/>
                  <w:lang w:val="en-US" w:eastAsia="zh-CN" w:bidi="ar-SA"/>
                </w:rPr>
                <w:id w:val="1288286958"/>
                <w:placeholder>
                  <w:docPart w:val="{08a545ed-6c87-47c8-b388-13e1232b9fe6}"/>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第一章 引言</w:t>
                </w:r>
              </w:sdtContent>
            </w:sdt>
            <w:r>
              <w:rPr>
                <w:rFonts w:ascii="黑体" w:eastAsia="黑体" w:hAnsi="黑体" w:cs="黑体" w:hint="eastAsia"/>
                <w:sz w:val="28"/>
                <w:szCs w:val="28"/>
              </w:rPr>
              <w:tab/>
            </w:r>
            <w:bookmarkStart w:id="1" w:name="_Toc4959_WPSOffice_Level1Page"/>
            <w:r>
              <w:rPr>
                <w:rFonts w:ascii="黑体" w:eastAsia="黑体" w:hAnsi="黑体" w:cs="黑体" w:hint="eastAsia"/>
                <w:sz w:val="28"/>
                <w:szCs w:val="28"/>
              </w:rPr>
              <w:t>6</w:t>
            </w:r>
            <w:bookmarkEnd w:id="1"/>
          </w:hyperlink>
        </w:p>
        <w:p>
          <w:pPr>
            <w:pStyle w:val="WPSOffice1"/>
            <w:tabs>
              <w:tab w:val="right" w:leader="dot" w:pos="8306"/>
            </w:tabs>
            <w:rPr>
              <w:rFonts w:ascii="黑体" w:eastAsia="黑体" w:hAnsi="黑体" w:cs="黑体" w:hint="eastAsia"/>
              <w:sz w:val="28"/>
              <w:szCs w:val="28"/>
            </w:rPr>
          </w:pPr>
          <w:hyperlink w:anchor="_Toc12169_WPSOffice_Level1" w:history="1">
            <w:sdt>
              <w:sdtPr>
                <w:rPr>
                  <w:rFonts w:ascii="黑体" w:eastAsia="黑体" w:hAnsi="黑体" w:cs="黑体" w:hint="eastAsia"/>
                  <w:b/>
                  <w:kern w:val="44"/>
                  <w:sz w:val="28"/>
                  <w:szCs w:val="28"/>
                  <w:lang w:val="en-US" w:eastAsia="zh-CN" w:bidi="ar-SA"/>
                </w:rPr>
                <w:id w:val="1639660853"/>
                <w:placeholder>
                  <w:docPart w:val="{204769fd-6be2-4470-be8d-f24c4ea9b941}"/>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第二章 农药质量检测概述</w:t>
                </w:r>
              </w:sdtContent>
            </w:sdt>
            <w:r>
              <w:rPr>
                <w:rFonts w:ascii="黑体" w:eastAsia="黑体" w:hAnsi="黑体" w:cs="黑体" w:hint="eastAsia"/>
                <w:sz w:val="28"/>
                <w:szCs w:val="28"/>
              </w:rPr>
              <w:tab/>
            </w:r>
            <w:bookmarkStart w:id="2" w:name="_Toc12169_WPSOffice_Level1Page"/>
            <w:r>
              <w:rPr>
                <w:rFonts w:ascii="黑体" w:eastAsia="黑体" w:hAnsi="黑体" w:cs="黑体" w:hint="eastAsia"/>
                <w:sz w:val="28"/>
                <w:szCs w:val="28"/>
              </w:rPr>
              <w:t>6</w:t>
            </w:r>
            <w:bookmarkEnd w:id="2"/>
          </w:hyperlink>
        </w:p>
        <w:p>
          <w:pPr>
            <w:pStyle w:val="WPSOffice2"/>
            <w:tabs>
              <w:tab w:val="right" w:leader="dot" w:pos="8306"/>
            </w:tabs>
            <w:rPr>
              <w:rFonts w:ascii="黑体" w:eastAsia="黑体" w:hAnsi="黑体" w:cs="黑体" w:hint="eastAsia"/>
              <w:sz w:val="28"/>
              <w:szCs w:val="28"/>
            </w:rPr>
          </w:pPr>
          <w:hyperlink w:anchor="_Toc12169_WPSOffice_Level2" w:history="1">
            <w:sdt>
              <w:sdtPr>
                <w:rPr>
                  <w:rFonts w:ascii="黑体" w:eastAsia="黑体" w:hAnsi="黑体" w:cs="黑体" w:hint="eastAsia"/>
                  <w:b/>
                  <w:kern w:val="44"/>
                  <w:sz w:val="28"/>
                  <w:szCs w:val="28"/>
                  <w:lang w:val="en-US" w:eastAsia="zh-CN" w:bidi="ar-SA"/>
                </w:rPr>
                <w:id w:val="383848933"/>
                <w:placeholder>
                  <w:docPart w:val="{e26a054f-ca13-4ec9-ba3e-1c29c1b857ee}"/>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2.1 农药质量检测的目的</w:t>
                </w:r>
              </w:sdtContent>
            </w:sdt>
            <w:r>
              <w:rPr>
                <w:rFonts w:ascii="黑体" w:eastAsia="黑体" w:hAnsi="黑体" w:cs="黑体" w:hint="eastAsia"/>
                <w:sz w:val="28"/>
                <w:szCs w:val="28"/>
              </w:rPr>
              <w:tab/>
            </w:r>
            <w:bookmarkStart w:id="3" w:name="_Toc12169_WPSOffice_Level2Page"/>
            <w:r>
              <w:rPr>
                <w:rFonts w:ascii="黑体" w:eastAsia="黑体" w:hAnsi="黑体" w:cs="黑体" w:hint="eastAsia"/>
                <w:sz w:val="28"/>
                <w:szCs w:val="28"/>
              </w:rPr>
              <w:t>7</w:t>
            </w:r>
            <w:bookmarkEnd w:id="3"/>
          </w:hyperlink>
        </w:p>
        <w:p>
          <w:pPr>
            <w:pStyle w:val="WPSOffice3"/>
            <w:tabs>
              <w:tab w:val="right" w:leader="dot" w:pos="8306"/>
            </w:tabs>
            <w:rPr>
              <w:rFonts w:ascii="黑体" w:eastAsia="黑体" w:hAnsi="黑体" w:cs="黑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hyperlink w:anchor="_Toc12169_WPSOffice_Level3" w:history="1">
            <w:sdt>
              <w:sdtPr>
                <w:rPr>
                  <w:rFonts w:ascii="黑体" w:eastAsia="黑体" w:hAnsi="黑体" w:cs="黑体" w:hint="eastAsia"/>
                  <w:b/>
                  <w:kern w:val="44"/>
                  <w:sz w:val="28"/>
                  <w:szCs w:val="28"/>
                  <w:lang w:val="en-US" w:eastAsia="zh-CN" w:bidi="ar-SA"/>
                </w:rPr>
                <w:id w:val="1139674666"/>
                <w:placeholder>
                  <w:docPart w:val="{5ac062d7-c814-4d5b-ab80-11e46adcacd1}"/>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(1)对农药产品质量进行检验并加以分析</w:t>
                </w:r>
              </w:sdtContent>
            </w:sdt>
            <w:r>
              <w:rPr>
                <w:rFonts w:ascii="黑体" w:eastAsia="黑体" w:hAnsi="黑体" w:cs="黑体" w:hint="eastAsia"/>
                <w:sz w:val="28"/>
                <w:szCs w:val="28"/>
              </w:rPr>
              <w:tab/>
            </w:r>
            <w:bookmarkStart w:id="4" w:name="_Toc12169_WPSOffice_Level3Page"/>
            <w:r>
              <w:rPr>
                <w:rFonts w:ascii="黑体" w:eastAsia="黑体" w:hAnsi="黑体" w:cs="黑体" w:hint="eastAsia"/>
                <w:sz w:val="28"/>
                <w:szCs w:val="28"/>
              </w:rPr>
              <w:t>7</w:t>
            </w:r>
            <w:bookmarkEnd w:id="4"/>
          </w:hyperlink>
        </w:p>
      </w:sdtContent>
    </w:sdt>
    <w:sdt>
      <w:sdtPr>
        <w:rPr>
          <w:rFonts w:ascii="宋体" w:eastAsia="宋体" w:hAnsi="宋体" w:cstheme="minorBidi"/>
          <w:kern w:val="2"/>
          <w:sz w:val="21"/>
          <w:szCs w:val="24"/>
          <w:lang w:val="en-US" w:eastAsia="zh-CN" w:bidi="ar-SA"/>
        </w:rPr>
        <w:id w:val="950568352"/>
        <w:docPartObj>
          <w:docPartGallery w:val="Table of Contents"/>
          <w:docPartUnique/>
        </w:docPartObj>
        <w15:color w:val="DBDBDB"/>
      </w:sdtPr>
      <w:sdtEndPr>
        <w:rPr>
          <w:rFonts w:ascii="Times New Roman" w:eastAsia="宋体" w:hAnsi="Times New Roman" w:cs="Times New Roman"/>
          <w:kern w:val="2"/>
          <w:sz w:val="20"/>
          <w:szCs w:val="20"/>
          <w:lang w:val="en-US" w:eastAsia="zh-CN" w:bidi="ar-SA"/>
        </w:rPr>
      </w:sdtEndPr>
      <w:sdtContent>
        <w:p>
          <w:pPr>
            <w:pStyle w:val="WPSOffice3"/>
            <w:tabs>
              <w:tab w:val="right" w:leader="dot" w:pos="8306"/>
            </w:tabs>
            <w:rPr>
              <w:rFonts w:ascii="黑体" w:eastAsia="黑体" w:hAnsi="黑体" w:cs="黑体" w:hint="eastAsia"/>
              <w:sz w:val="28"/>
              <w:szCs w:val="28"/>
            </w:rPr>
          </w:pPr>
          <w:hyperlink w:anchor="_Toc20956_WPSOffice_Level3" w:history="1">
            <w:sdt>
              <w:sdtPr>
                <w:rPr>
                  <w:rFonts w:ascii="黑体" w:eastAsia="黑体" w:hAnsi="黑体" w:cs="黑体" w:hint="eastAsia"/>
                  <w:b/>
                  <w:kern w:val="44"/>
                  <w:sz w:val="28"/>
                  <w:szCs w:val="28"/>
                  <w:lang w:val="en-US" w:eastAsia="zh-CN" w:bidi="ar-SA"/>
                </w:rPr>
                <w:id w:val="39865514"/>
                <w:placeholder>
                  <w:docPart w:val="{0a036932-9962-4da6-b938-dbf7730855f3}"/>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(2)生产过程中进行的质量控制</w:t>
                </w:r>
              </w:sdtContent>
            </w:sdt>
            <w:r>
              <w:rPr>
                <w:rFonts w:ascii="黑体" w:eastAsia="黑体" w:hAnsi="黑体" w:cs="黑体" w:hint="eastAsia"/>
                <w:sz w:val="28"/>
                <w:szCs w:val="28"/>
              </w:rPr>
              <w:tab/>
            </w:r>
            <w:bookmarkStart w:id="5" w:name="_Toc20956_WPSOffice_Level3Page"/>
            <w:r>
              <w:rPr>
                <w:rFonts w:ascii="黑体" w:eastAsia="黑体" w:hAnsi="黑体" w:cs="黑体" w:hint="eastAsia"/>
                <w:sz w:val="28"/>
                <w:szCs w:val="28"/>
              </w:rPr>
              <w:t>7</w:t>
            </w:r>
            <w:bookmarkEnd w:id="5"/>
          </w:hyperlink>
        </w:p>
        <w:p>
          <w:pPr>
            <w:pStyle w:val="WPSOffice3"/>
            <w:tabs>
              <w:tab w:val="right" w:leader="dot" w:pos="8306"/>
            </w:tabs>
            <w:rPr>
              <w:rFonts w:ascii="黑体" w:eastAsia="黑体" w:hAnsi="黑体" w:cs="黑体" w:hint="eastAsia"/>
              <w:sz w:val="28"/>
              <w:szCs w:val="28"/>
            </w:rPr>
          </w:pPr>
          <w:hyperlink w:anchor="_Toc9148_WPSOffice_Level3" w:history="1">
            <w:sdt>
              <w:sdtPr>
                <w:rPr>
                  <w:rFonts w:ascii="黑体" w:eastAsia="黑体" w:hAnsi="黑体" w:cs="黑体" w:hint="eastAsia"/>
                  <w:b/>
                  <w:kern w:val="44"/>
                  <w:sz w:val="28"/>
                  <w:szCs w:val="28"/>
                  <w:lang w:val="en-US" w:eastAsia="zh-CN" w:bidi="ar-SA"/>
                </w:rPr>
                <w:id w:val="1690324670"/>
                <w:placeholder>
                  <w:docPart w:val="{1199450d-627c-409e-b470-7c339402d1fa}"/>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(3) 监督并控制贮存过程的质量</w:t>
                </w:r>
              </w:sdtContent>
            </w:sdt>
            <w:r>
              <w:rPr>
                <w:rFonts w:ascii="黑体" w:eastAsia="黑体" w:hAnsi="黑体" w:cs="黑体" w:hint="eastAsia"/>
                <w:sz w:val="28"/>
                <w:szCs w:val="28"/>
              </w:rPr>
              <w:tab/>
            </w:r>
            <w:bookmarkStart w:id="6" w:name="_Toc9148_WPSOffice_Level3Page"/>
            <w:r>
              <w:rPr>
                <w:rFonts w:ascii="黑体" w:eastAsia="黑体" w:hAnsi="黑体" w:cs="黑体" w:hint="eastAsia"/>
                <w:sz w:val="28"/>
                <w:szCs w:val="28"/>
              </w:rPr>
              <w:t>7</w:t>
            </w:r>
            <w:bookmarkEnd w:id="6"/>
          </w:hyperlink>
        </w:p>
        <w:p>
          <w:pPr>
            <w:pStyle w:val="WPSOffice3"/>
            <w:tabs>
              <w:tab w:val="right" w:leader="dot" w:pos="8306"/>
            </w:tabs>
            <w:rPr>
              <w:rFonts w:ascii="黑体" w:eastAsia="黑体" w:hAnsi="黑体" w:cs="黑体" w:hint="eastAsia"/>
              <w:sz w:val="28"/>
              <w:szCs w:val="28"/>
            </w:rPr>
          </w:pPr>
          <w:hyperlink w:anchor="_Toc16132_WPSOffice_Level3" w:history="1">
            <w:sdt>
              <w:sdtPr>
                <w:rPr>
                  <w:rFonts w:ascii="黑体" w:eastAsia="黑体" w:hAnsi="黑体" w:cs="黑体" w:hint="eastAsia"/>
                  <w:b/>
                  <w:kern w:val="44"/>
                  <w:sz w:val="28"/>
                  <w:szCs w:val="28"/>
                  <w:lang w:val="en-US" w:eastAsia="zh-CN" w:bidi="ar-SA"/>
                </w:rPr>
                <w:id w:val="378587010"/>
                <w:placeholder>
                  <w:docPart w:val="{ac776cb4-7dfb-454c-87d4-40732c289ea0}"/>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(4)对使用效果进行分析</w:t>
                </w:r>
              </w:sdtContent>
            </w:sdt>
            <w:r>
              <w:rPr>
                <w:rFonts w:ascii="黑体" w:eastAsia="黑体" w:hAnsi="黑体" w:cs="黑体" w:hint="eastAsia"/>
                <w:sz w:val="28"/>
                <w:szCs w:val="28"/>
              </w:rPr>
              <w:tab/>
            </w:r>
            <w:bookmarkStart w:id="7" w:name="_Toc16132_WPSOffice_Level3Page"/>
            <w:r>
              <w:rPr>
                <w:rFonts w:ascii="黑体" w:eastAsia="黑体" w:hAnsi="黑体" w:cs="黑体" w:hint="eastAsia"/>
                <w:sz w:val="28"/>
                <w:szCs w:val="28"/>
              </w:rPr>
              <w:t>7</w:t>
            </w:r>
            <w:bookmarkEnd w:id="7"/>
          </w:hyperlink>
        </w:p>
        <w:p>
          <w:pPr>
            <w:pStyle w:val="WPSOffice2"/>
            <w:tabs>
              <w:tab w:val="right" w:leader="dot" w:pos="8306"/>
            </w:tabs>
            <w:rPr>
              <w:rFonts w:ascii="黑体" w:eastAsia="黑体" w:hAnsi="黑体" w:cs="黑体" w:hint="eastAsia"/>
              <w:sz w:val="28"/>
              <w:szCs w:val="28"/>
            </w:rPr>
          </w:pPr>
          <w:hyperlink w:anchor="_Toc20956_WPSOffice_Level2" w:history="1">
            <w:sdt>
              <w:sdtPr>
                <w:rPr>
                  <w:rFonts w:ascii="黑体" w:eastAsia="黑体" w:hAnsi="黑体" w:cs="黑体" w:hint="eastAsia"/>
                  <w:b/>
                  <w:kern w:val="44"/>
                  <w:sz w:val="28"/>
                  <w:szCs w:val="28"/>
                  <w:lang w:val="en-US" w:eastAsia="zh-CN" w:bidi="ar-SA"/>
                </w:rPr>
                <w:id w:val="1817540580"/>
                <w:placeholder>
                  <w:docPart w:val="{7b05e409-be45-4b93-9785-172760f81487}"/>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2.2农药质量检测的评价</w:t>
                </w:r>
              </w:sdtContent>
            </w:sdt>
            <w:r>
              <w:rPr>
                <w:rFonts w:ascii="黑体" w:eastAsia="黑体" w:hAnsi="黑体" w:cs="黑体" w:hint="eastAsia"/>
                <w:sz w:val="28"/>
                <w:szCs w:val="28"/>
              </w:rPr>
              <w:tab/>
            </w:r>
            <w:bookmarkStart w:id="8" w:name="_Toc20956_WPSOffice_Level2Page"/>
            <w:r>
              <w:rPr>
                <w:rFonts w:ascii="黑体" w:eastAsia="黑体" w:hAnsi="黑体" w:cs="黑体" w:hint="eastAsia"/>
                <w:sz w:val="28"/>
                <w:szCs w:val="28"/>
              </w:rPr>
              <w:t>7</w:t>
            </w:r>
            <w:bookmarkEnd w:id="8"/>
          </w:hyperlink>
        </w:p>
        <w:p>
          <w:pPr>
            <w:pStyle w:val="WPSOffice2"/>
            <w:tabs>
              <w:tab w:val="right" w:leader="dot" w:pos="8306"/>
            </w:tabs>
            <w:rPr>
              <w:rFonts w:ascii="黑体" w:eastAsia="黑体" w:hAnsi="黑体" w:cs="黑体" w:hint="eastAsia"/>
              <w:sz w:val="28"/>
              <w:szCs w:val="28"/>
            </w:rPr>
          </w:pPr>
          <w:hyperlink w:anchor="_Toc9148_WPSOffice_Level2" w:history="1">
            <w:sdt>
              <w:sdtPr>
                <w:rPr>
                  <w:rFonts w:ascii="黑体" w:eastAsia="黑体" w:hAnsi="黑体" w:cs="黑体" w:hint="eastAsia"/>
                  <w:b/>
                  <w:kern w:val="44"/>
                  <w:sz w:val="28"/>
                  <w:szCs w:val="28"/>
                  <w:lang w:val="en-US" w:eastAsia="zh-CN" w:bidi="ar-SA"/>
                </w:rPr>
                <w:id w:val="131168588"/>
                <w:placeholder>
                  <w:docPart w:val="{b27655a5-b2c7-4073-9f10-de75981db233}"/>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2.3农药质量检测的意义</w:t>
                </w:r>
              </w:sdtContent>
            </w:sdt>
            <w:r>
              <w:rPr>
                <w:rFonts w:ascii="黑体" w:eastAsia="黑体" w:hAnsi="黑体" w:cs="黑体" w:hint="eastAsia"/>
                <w:sz w:val="28"/>
                <w:szCs w:val="28"/>
              </w:rPr>
              <w:tab/>
            </w:r>
            <w:bookmarkStart w:id="9" w:name="_Toc9148_WPSOffice_Level2Page"/>
            <w:r>
              <w:rPr>
                <w:rFonts w:ascii="黑体" w:eastAsia="黑体" w:hAnsi="黑体" w:cs="黑体" w:hint="eastAsia"/>
                <w:sz w:val="28"/>
                <w:szCs w:val="28"/>
              </w:rPr>
              <w:t>9</w:t>
            </w:r>
            <w:bookmarkEnd w:id="9"/>
          </w:hyperlink>
        </w:p>
        <w:p>
          <w:pPr>
            <w:pStyle w:val="WPSOffice1"/>
            <w:tabs>
              <w:tab w:val="right" w:leader="dot" w:pos="8306"/>
            </w:tabs>
            <w:rPr>
              <w:rFonts w:ascii="黑体" w:eastAsia="黑体" w:hAnsi="黑体" w:cs="黑体" w:hint="eastAsia"/>
              <w:sz w:val="28"/>
              <w:szCs w:val="28"/>
            </w:rPr>
          </w:pPr>
          <w:hyperlink w:anchor="_Toc20956_WPSOffice_Level1" w:history="1">
            <w:sdt>
              <w:sdtPr>
                <w:rPr>
                  <w:rFonts w:ascii="黑体" w:eastAsia="黑体" w:hAnsi="黑体" w:cs="黑体" w:hint="eastAsia"/>
                  <w:b/>
                  <w:kern w:val="44"/>
                  <w:sz w:val="28"/>
                  <w:szCs w:val="28"/>
                  <w:lang w:val="en-US" w:eastAsia="zh-CN" w:bidi="ar-SA"/>
                </w:rPr>
                <w:id w:val="2125285080"/>
                <w:placeholder>
                  <w:docPart w:val="{7d9a170a-5abb-493e-a269-83dcc8d917bd}"/>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第三章 农药生产及使用过程中的质量的影响因素</w:t>
                </w:r>
              </w:sdtContent>
            </w:sdt>
            <w:r>
              <w:rPr>
                <w:rFonts w:ascii="黑体" w:eastAsia="黑体" w:hAnsi="黑体" w:cs="黑体" w:hint="eastAsia"/>
                <w:sz w:val="28"/>
                <w:szCs w:val="28"/>
              </w:rPr>
              <w:tab/>
            </w:r>
            <w:bookmarkStart w:id="10" w:name="_Toc20956_WPSOffice_Level1Page"/>
            <w:r>
              <w:rPr>
                <w:rFonts w:ascii="黑体" w:eastAsia="黑体" w:hAnsi="黑体" w:cs="黑体" w:hint="eastAsia"/>
                <w:sz w:val="28"/>
                <w:szCs w:val="28"/>
              </w:rPr>
              <w:t>9</w:t>
            </w:r>
            <w:bookmarkEnd w:id="10"/>
          </w:hyperlink>
        </w:p>
        <w:p>
          <w:pPr>
            <w:pStyle w:val="WPSOffice2"/>
            <w:tabs>
              <w:tab w:val="right" w:leader="dot" w:pos="8306"/>
            </w:tabs>
            <w:rPr>
              <w:rFonts w:ascii="黑体" w:eastAsia="黑体" w:hAnsi="黑体" w:cs="黑体" w:hint="eastAsia"/>
              <w:sz w:val="28"/>
              <w:szCs w:val="28"/>
            </w:rPr>
          </w:pPr>
          <w:hyperlink w:anchor="_Toc16132_WPSOffice_Level2" w:history="1">
            <w:sdt>
              <w:sdtPr>
                <w:rPr>
                  <w:rFonts w:ascii="黑体" w:eastAsia="黑体" w:hAnsi="黑体" w:cs="黑体" w:hint="eastAsia"/>
                  <w:b/>
                  <w:kern w:val="44"/>
                  <w:sz w:val="28"/>
                  <w:szCs w:val="28"/>
                  <w:lang w:val="en-US" w:eastAsia="zh-CN" w:bidi="ar-SA"/>
                </w:rPr>
                <w:id w:val="820386308"/>
                <w:placeholder>
                  <w:docPart w:val="{5ec7644c-18c4-4903-bf51-83931bc38f44}"/>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3.1 农药的生产过程</w:t>
                </w:r>
              </w:sdtContent>
            </w:sdt>
            <w:r>
              <w:rPr>
                <w:rFonts w:ascii="黑体" w:eastAsia="黑体" w:hAnsi="黑体" w:cs="黑体" w:hint="eastAsia"/>
                <w:sz w:val="28"/>
                <w:szCs w:val="28"/>
              </w:rPr>
              <w:tab/>
            </w:r>
            <w:bookmarkStart w:id="11" w:name="_Toc16132_WPSOffice_Level2Page"/>
            <w:r>
              <w:rPr>
                <w:rFonts w:ascii="黑体" w:eastAsia="黑体" w:hAnsi="黑体" w:cs="黑体" w:hint="eastAsia"/>
                <w:sz w:val="28"/>
                <w:szCs w:val="28"/>
              </w:rPr>
              <w:t>9</w:t>
            </w:r>
            <w:bookmarkEnd w:id="11"/>
          </w:hyperlink>
        </w:p>
        <w:p>
          <w:pPr>
            <w:pStyle w:val="WPSOffice2"/>
            <w:tabs>
              <w:tab w:val="right" w:leader="dot" w:pos="8306"/>
            </w:tabs>
            <w:rPr>
              <w:rFonts w:ascii="黑体" w:eastAsia="黑体" w:hAnsi="黑体" w:cs="黑体" w:hint="eastAsia"/>
              <w:sz w:val="28"/>
              <w:szCs w:val="28"/>
            </w:rPr>
          </w:pPr>
          <w:hyperlink w:anchor="_Toc18469_WPSOffice_Level2" w:history="1">
            <w:sdt>
              <w:sdtPr>
                <w:rPr>
                  <w:rFonts w:ascii="黑体" w:eastAsia="黑体" w:hAnsi="黑体" w:cs="黑体" w:hint="eastAsia"/>
                  <w:b/>
                  <w:kern w:val="44"/>
                  <w:sz w:val="28"/>
                  <w:szCs w:val="28"/>
                  <w:lang w:val="en-US" w:eastAsia="zh-CN" w:bidi="ar-SA"/>
                </w:rPr>
                <w:id w:val="1521301642"/>
                <w:placeholder>
                  <w:docPart w:val="{d26e7d5f-87d4-4781-bd6e-59a2a6f54b68}"/>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3.2 农药生产过程中的有害因素</w:t>
                </w:r>
              </w:sdtContent>
            </w:sdt>
            <w:r>
              <w:rPr>
                <w:rFonts w:ascii="黑体" w:eastAsia="黑体" w:hAnsi="黑体" w:cs="黑体" w:hint="eastAsia"/>
                <w:sz w:val="28"/>
                <w:szCs w:val="28"/>
              </w:rPr>
              <w:tab/>
            </w:r>
            <w:bookmarkStart w:id="12" w:name="_Toc18469_WPSOffice_Level2Page"/>
            <w:r>
              <w:rPr>
                <w:rFonts w:ascii="黑体" w:eastAsia="黑体" w:hAnsi="黑体" w:cs="黑体" w:hint="eastAsia"/>
                <w:sz w:val="28"/>
                <w:szCs w:val="28"/>
              </w:rPr>
              <w:t>9</w:t>
            </w:r>
            <w:bookmarkEnd w:id="12"/>
          </w:hyperlink>
        </w:p>
        <w:p>
          <w:pPr>
            <w:pStyle w:val="WPSOffice2"/>
            <w:tabs>
              <w:tab w:val="right" w:leader="dot" w:pos="8306"/>
            </w:tabs>
            <w:rPr>
              <w:rFonts w:ascii="黑体" w:eastAsia="黑体" w:hAnsi="黑体" w:cs="黑体" w:hint="eastAsia"/>
              <w:sz w:val="28"/>
              <w:szCs w:val="28"/>
            </w:rPr>
          </w:pPr>
          <w:hyperlink w:anchor="_Toc12999_WPSOffice_Level2" w:history="1">
            <w:sdt>
              <w:sdtPr>
                <w:rPr>
                  <w:rFonts w:ascii="黑体" w:eastAsia="黑体" w:hAnsi="黑体" w:cs="黑体" w:hint="eastAsia"/>
                  <w:b/>
                  <w:kern w:val="44"/>
                  <w:sz w:val="28"/>
                  <w:szCs w:val="28"/>
                  <w:lang w:val="en-US" w:eastAsia="zh-CN" w:bidi="ar-SA"/>
                </w:rPr>
                <w:id w:val="283739369"/>
                <w:placeholder>
                  <w:docPart w:val="{09f989d6-ce3c-475b-8760-ae85fb435c55}"/>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3.3 关于农户种植技术的影响</w:t>
                </w:r>
              </w:sdtContent>
            </w:sdt>
            <w:r>
              <w:rPr>
                <w:rFonts w:ascii="黑体" w:eastAsia="黑体" w:hAnsi="黑体" w:cs="黑体" w:hint="eastAsia"/>
                <w:sz w:val="28"/>
                <w:szCs w:val="28"/>
              </w:rPr>
              <w:tab/>
            </w:r>
            <w:bookmarkStart w:id="13" w:name="_Toc12999_WPSOffice_Level2Page"/>
            <w:r>
              <w:rPr>
                <w:rFonts w:ascii="黑体" w:eastAsia="黑体" w:hAnsi="黑体" w:cs="黑体" w:hint="eastAsia"/>
                <w:sz w:val="28"/>
                <w:szCs w:val="28"/>
              </w:rPr>
              <w:t>9</w:t>
            </w:r>
            <w:bookmarkEnd w:id="13"/>
          </w:hyperlink>
        </w:p>
        <w:p>
          <w:pPr>
            <w:pStyle w:val="WPSOffice1"/>
            <w:tabs>
              <w:tab w:val="right" w:leader="dot" w:pos="8306"/>
            </w:tabs>
            <w:rPr>
              <w:rFonts w:ascii="黑体" w:eastAsia="黑体" w:hAnsi="黑体" w:cs="黑体" w:hint="eastAsia"/>
              <w:sz w:val="28"/>
              <w:szCs w:val="28"/>
            </w:rPr>
          </w:pPr>
          <w:hyperlink w:anchor="_Toc9148_WPSOffice_Level1" w:history="1">
            <w:sdt>
              <w:sdtPr>
                <w:rPr>
                  <w:rFonts w:ascii="黑体" w:eastAsia="黑体" w:hAnsi="黑体" w:cs="黑体" w:hint="eastAsia"/>
                  <w:b/>
                  <w:kern w:val="44"/>
                  <w:sz w:val="28"/>
                  <w:szCs w:val="28"/>
                  <w:lang w:val="en-US" w:eastAsia="zh-CN" w:bidi="ar-SA"/>
                </w:rPr>
                <w:id w:val="312660786"/>
                <w:placeholder>
                  <w:docPart w:val="{91f7e2a5-0c9b-4cdd-b978-08d7551bc237}"/>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第四章 农资产品质量检测的简易方法</w:t>
                </w:r>
              </w:sdtContent>
            </w:sdt>
            <w:r>
              <w:rPr>
                <w:rFonts w:ascii="黑体" w:eastAsia="黑体" w:hAnsi="黑体" w:cs="黑体" w:hint="eastAsia"/>
                <w:sz w:val="28"/>
                <w:szCs w:val="28"/>
              </w:rPr>
              <w:tab/>
            </w:r>
            <w:bookmarkStart w:id="14" w:name="_Toc9148_WPSOffice_Level1Page"/>
            <w:r>
              <w:rPr>
                <w:rFonts w:ascii="黑体" w:eastAsia="黑体" w:hAnsi="黑体" w:cs="黑体" w:hint="eastAsia"/>
                <w:sz w:val="28"/>
                <w:szCs w:val="28"/>
              </w:rPr>
              <w:t>10</w:t>
            </w:r>
            <w:bookmarkEnd w:id="14"/>
          </w:hyperlink>
        </w:p>
        <w:p>
          <w:pPr>
            <w:pStyle w:val="WPSOffice2"/>
            <w:tabs>
              <w:tab w:val="right" w:leader="dot" w:pos="8306"/>
            </w:tabs>
            <w:rPr>
              <w:rFonts w:ascii="黑体" w:eastAsia="黑体" w:hAnsi="黑体" w:cs="黑体" w:hint="eastAsia"/>
              <w:sz w:val="28"/>
              <w:szCs w:val="28"/>
            </w:rPr>
          </w:pPr>
          <w:hyperlink w:anchor="_Toc23552_WPSOffice_Level2" w:history="1">
            <w:sdt>
              <w:sdtPr>
                <w:rPr>
                  <w:rFonts w:ascii="黑体" w:eastAsia="黑体" w:hAnsi="黑体" w:cs="黑体" w:hint="eastAsia"/>
                  <w:b/>
                  <w:kern w:val="44"/>
                  <w:sz w:val="28"/>
                  <w:szCs w:val="28"/>
                  <w:lang w:val="en-US" w:eastAsia="zh-CN" w:bidi="ar-SA"/>
                </w:rPr>
                <w:id w:val="448657730"/>
                <w:placeholder>
                  <w:docPart w:val="{3b62c25d-5033-4e88-8cb5-759471cb7d09}"/>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4.1 从农药标签及包装外观上识别真假</w:t>
                </w:r>
              </w:sdtContent>
            </w:sdt>
            <w:r>
              <w:rPr>
                <w:rFonts w:ascii="黑体" w:eastAsia="黑体" w:hAnsi="黑体" w:cs="黑体" w:hint="eastAsia"/>
                <w:sz w:val="28"/>
                <w:szCs w:val="28"/>
              </w:rPr>
              <w:tab/>
            </w:r>
            <w:bookmarkStart w:id="15" w:name="_Toc23552_WPSOffice_Level2Page"/>
            <w:r>
              <w:rPr>
                <w:rFonts w:ascii="黑体" w:eastAsia="黑体" w:hAnsi="黑体" w:cs="黑体" w:hint="eastAsia"/>
                <w:sz w:val="28"/>
                <w:szCs w:val="28"/>
              </w:rPr>
              <w:t>10</w:t>
            </w:r>
            <w:bookmarkEnd w:id="15"/>
          </w:hyperlink>
        </w:p>
        <w:p>
          <w:pPr>
            <w:pStyle w:val="WPSOffice2"/>
            <w:tabs>
              <w:tab w:val="right" w:leader="dot" w:pos="8306"/>
            </w:tabs>
            <w:rPr>
              <w:rFonts w:ascii="黑体" w:eastAsia="黑体" w:hAnsi="黑体" w:cs="黑体" w:hint="eastAsia"/>
              <w:sz w:val="28"/>
              <w:szCs w:val="28"/>
            </w:rPr>
          </w:pPr>
          <w:hyperlink w:anchor="_Toc29540_WPSOffice_Level2" w:history="1">
            <w:sdt>
              <w:sdtPr>
                <w:rPr>
                  <w:rFonts w:ascii="黑体" w:eastAsia="黑体" w:hAnsi="黑体" w:cs="黑体" w:hint="eastAsia"/>
                  <w:b/>
                  <w:kern w:val="44"/>
                  <w:sz w:val="28"/>
                  <w:szCs w:val="28"/>
                  <w:lang w:val="en-US" w:eastAsia="zh-CN" w:bidi="ar-SA"/>
                </w:rPr>
                <w:id w:val="988554323"/>
                <w:placeholder>
                  <w:docPart w:val="{e802759e-2350-4e87-8849-7f5828de3af9}"/>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4.2 从农药表现的外在形态上来鉴别</w:t>
                </w:r>
              </w:sdtContent>
            </w:sdt>
            <w:r>
              <w:rPr>
                <w:rFonts w:ascii="黑体" w:eastAsia="黑体" w:hAnsi="黑体" w:cs="黑体" w:hint="eastAsia"/>
                <w:sz w:val="28"/>
                <w:szCs w:val="28"/>
              </w:rPr>
              <w:tab/>
            </w:r>
            <w:bookmarkStart w:id="16" w:name="_Toc29540_WPSOffice_Level2Page"/>
            <w:r>
              <w:rPr>
                <w:rFonts w:ascii="黑体" w:eastAsia="黑体" w:hAnsi="黑体" w:cs="黑体" w:hint="eastAsia"/>
                <w:sz w:val="28"/>
                <w:szCs w:val="28"/>
              </w:rPr>
              <w:t>10</w:t>
            </w:r>
            <w:bookmarkEnd w:id="16"/>
          </w:hyperlink>
        </w:p>
        <w:p>
          <w:pPr>
            <w:pStyle w:val="WPSOffice2"/>
            <w:tabs>
              <w:tab w:val="right" w:leader="dot" w:pos="8306"/>
            </w:tabs>
            <w:rPr>
              <w:rFonts w:ascii="黑体" w:eastAsia="黑体" w:hAnsi="黑体" w:cs="黑体" w:hint="eastAsia"/>
              <w:sz w:val="28"/>
              <w:szCs w:val="28"/>
            </w:rPr>
          </w:pPr>
          <w:hyperlink w:anchor="_Toc18625_WPSOffice_Level2" w:history="1">
            <w:sdt>
              <w:sdtPr>
                <w:rPr>
                  <w:rFonts w:ascii="黑体" w:eastAsia="黑体" w:hAnsi="黑体" w:cs="黑体" w:hint="eastAsia"/>
                  <w:b/>
                  <w:kern w:val="44"/>
                  <w:sz w:val="28"/>
                  <w:szCs w:val="28"/>
                  <w:lang w:val="en-US" w:eastAsia="zh-CN" w:bidi="ar-SA"/>
                </w:rPr>
                <w:id w:val="95162926"/>
                <w:placeholder>
                  <w:docPart w:val="{a6c60d8e-e5d2-446c-b758-15a739329893}"/>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4.3 如何合理的进行农药的选择</w:t>
                </w:r>
              </w:sdtContent>
            </w:sdt>
            <w:r>
              <w:rPr>
                <w:rFonts w:ascii="黑体" w:eastAsia="黑体" w:hAnsi="黑体" w:cs="黑体" w:hint="eastAsia"/>
                <w:sz w:val="28"/>
                <w:szCs w:val="28"/>
              </w:rPr>
              <w:tab/>
            </w:r>
            <w:bookmarkStart w:id="17" w:name="_Toc18625_WPSOffice_Level2Page"/>
            <w:r>
              <w:rPr>
                <w:rFonts w:ascii="黑体" w:eastAsia="黑体" w:hAnsi="黑体" w:cs="黑体" w:hint="eastAsia"/>
                <w:sz w:val="28"/>
                <w:szCs w:val="28"/>
              </w:rPr>
              <w:t>12</w:t>
            </w:r>
            <w:bookmarkEnd w:id="17"/>
          </w:hyperlink>
        </w:p>
        <w:p>
          <w:pPr>
            <w:pStyle w:val="WPSOffice1"/>
            <w:tabs>
              <w:tab w:val="right" w:leader="dot" w:pos="8306"/>
            </w:tabs>
            <w:rPr>
              <w:rFonts w:ascii="黑体" w:eastAsia="黑体" w:hAnsi="黑体" w:cs="黑体" w:hint="eastAsia"/>
              <w:sz w:val="28"/>
              <w:szCs w:val="28"/>
            </w:rPr>
          </w:pPr>
          <w:hyperlink w:anchor="_Toc16132_WPSOffice_Level1" w:history="1">
            <w:sdt>
              <w:sdtPr>
                <w:rPr>
                  <w:rFonts w:ascii="黑体" w:eastAsia="黑体" w:hAnsi="黑体" w:cs="黑体" w:hint="eastAsia"/>
                  <w:b/>
                  <w:kern w:val="44"/>
                  <w:sz w:val="28"/>
                  <w:szCs w:val="28"/>
                  <w:lang w:val="en-US" w:eastAsia="zh-CN" w:bidi="ar-SA"/>
                </w:rPr>
                <w:id w:val="315708321"/>
                <w:placeholder>
                  <w:docPart w:val="{41b39469-2d24-4c51-a6a7-9ff9db53ca58}"/>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结 论</w:t>
                </w:r>
              </w:sdtContent>
            </w:sdt>
            <w:r>
              <w:rPr>
                <w:rFonts w:ascii="黑体" w:eastAsia="黑体" w:hAnsi="黑体" w:cs="黑体" w:hint="eastAsia"/>
                <w:sz w:val="28"/>
                <w:szCs w:val="28"/>
              </w:rPr>
              <w:tab/>
            </w:r>
            <w:bookmarkStart w:id="18" w:name="_Toc16132_WPSOffice_Level1Page"/>
            <w:r>
              <w:rPr>
                <w:rFonts w:ascii="黑体" w:eastAsia="黑体" w:hAnsi="黑体" w:cs="黑体" w:hint="eastAsia"/>
                <w:sz w:val="28"/>
                <w:szCs w:val="28"/>
              </w:rPr>
              <w:t>12</w:t>
            </w:r>
            <w:bookmarkEnd w:id="18"/>
          </w:hyperlink>
        </w:p>
        <w:p>
          <w:pPr>
            <w:pStyle w:val="WPSOffice1"/>
            <w:tabs>
              <w:tab w:val="right" w:leader="dot" w:pos="8306"/>
            </w:tabs>
            <w:rPr>
              <w:rFonts w:ascii="黑体" w:eastAsia="黑体" w:hAnsi="黑体" w:cs="黑体" w:hint="eastAsia"/>
              <w:sz w:val="28"/>
              <w:szCs w:val="28"/>
            </w:rPr>
          </w:pPr>
          <w:hyperlink w:anchor="_Toc18469_WPSOffice_Level1" w:history="1">
            <w:sdt>
              <w:sdtPr>
                <w:rPr>
                  <w:rFonts w:ascii="黑体" w:eastAsia="黑体" w:hAnsi="黑体" w:cs="黑体" w:hint="eastAsia"/>
                  <w:b/>
                  <w:kern w:val="44"/>
                  <w:sz w:val="28"/>
                  <w:szCs w:val="28"/>
                  <w:lang w:val="en-US" w:eastAsia="zh-CN" w:bidi="ar-SA"/>
                </w:rPr>
                <w:id w:val="1488908584"/>
                <w:placeholder>
                  <w:docPart w:val="{fd7c56f6-3781-4f80-b5ed-e5145bdc4a1c}"/>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致 谢</w:t>
                </w:r>
              </w:sdtContent>
            </w:sdt>
            <w:r>
              <w:rPr>
                <w:rFonts w:ascii="黑体" w:eastAsia="黑体" w:hAnsi="黑体" w:cs="黑体" w:hint="eastAsia"/>
                <w:sz w:val="28"/>
                <w:szCs w:val="28"/>
              </w:rPr>
              <w:tab/>
            </w:r>
            <w:bookmarkStart w:id="19" w:name="_Toc18469_WPSOffice_Level1Page"/>
            <w:r>
              <w:rPr>
                <w:rFonts w:ascii="黑体" w:eastAsia="黑体" w:hAnsi="黑体" w:cs="黑体" w:hint="eastAsia"/>
                <w:sz w:val="28"/>
                <w:szCs w:val="28"/>
              </w:rPr>
              <w:t>13</w:t>
            </w:r>
            <w:bookmarkEnd w:id="19"/>
          </w:hyperlink>
        </w:p>
        <w:p>
          <w:pPr>
            <w:pStyle w:val="WPSOffice1"/>
            <w:tabs>
              <w:tab w:val="right" w:leader="dot" w:pos="8306"/>
            </w:tabs>
            <w:rPr>
              <w:rFonts w:ascii="黑体" w:eastAsia="黑体" w:hAnsi="黑体" w:cs="黑体" w:hint="eastAsia"/>
              <w:sz w:val="28"/>
              <w:szCs w:val="28"/>
            </w:rPr>
          </w:pPr>
          <w:hyperlink w:anchor="_Toc12999_WPSOffice_Level1" w:history="1">
            <w:sdt>
              <w:sdtPr>
                <w:rPr>
                  <w:rFonts w:ascii="黑体" w:eastAsia="黑体" w:hAnsi="黑体" w:cs="黑体" w:hint="eastAsia"/>
                  <w:b/>
                  <w:kern w:val="44"/>
                  <w:sz w:val="28"/>
                  <w:szCs w:val="28"/>
                  <w:lang w:val="en-US" w:eastAsia="zh-CN" w:bidi="ar-SA"/>
                </w:rPr>
                <w:id w:val="1487695137"/>
                <w:placeholder>
                  <w:docPart w:val="{4bc3a9b2-8509-4c4a-9460-d03bb2f4a9ea}"/>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参考文献</w:t>
                </w:r>
              </w:sdtContent>
            </w:sdt>
            <w:r>
              <w:rPr>
                <w:rFonts w:ascii="黑体" w:eastAsia="黑体" w:hAnsi="黑体" w:cs="黑体" w:hint="eastAsia"/>
                <w:sz w:val="28"/>
                <w:szCs w:val="28"/>
              </w:rPr>
              <w:tab/>
            </w:r>
            <w:bookmarkStart w:id="20" w:name="_Toc12999_WPSOffice_Level1Page"/>
            <w:r>
              <w:rPr>
                <w:rFonts w:ascii="黑体" w:eastAsia="黑体" w:hAnsi="黑体" w:cs="黑体" w:hint="eastAsia"/>
                <w:sz w:val="28"/>
                <w:szCs w:val="28"/>
              </w:rPr>
              <w:t>14</w:t>
            </w:r>
            <w:bookmarkEnd w:id="20"/>
          </w:hyperlink>
        </w:p>
        <w:p>
          <w:pPr>
            <w:pStyle w:val="WPSOffice1"/>
            <w:tabs>
              <w:tab w:val="right" w:leader="dot" w:pos="8306"/>
            </w:tabs>
            <w:sectPr>
              <w:type w:val="nextPage"/>
              <w:pgSz w:w="11906" w:h="16838"/>
              <w:pgMar w:top="1440" w:right="1800" w:bottom="1440" w:left="1800" w:header="851" w:footer="992" w:gutter="0"/>
              <w:pgNumType w:start="5"/>
              <w:cols w:num="1" w:space="425"/>
              <w:titlePg w:val="0"/>
              <w:docGrid w:type="lines" w:linePitch="312" w:charSpace="0"/>
            </w:sectPr>
          </w:pPr>
          <w:hyperlink w:anchor="_Toc23552_WPSOffice_Level1" w:history="1">
            <w:sdt>
              <w:sdtPr>
                <w:rPr>
                  <w:rFonts w:ascii="黑体" w:eastAsia="黑体" w:hAnsi="黑体" w:cs="黑体" w:hint="eastAsia"/>
                  <w:b/>
                  <w:kern w:val="44"/>
                  <w:sz w:val="28"/>
                  <w:szCs w:val="28"/>
                  <w:lang w:val="en-US" w:eastAsia="zh-CN" w:bidi="ar-SA"/>
                </w:rPr>
                <w:id w:val="1270451485"/>
                <w:placeholder>
                  <w:docPart w:val="{063f96eb-e5e4-427d-8ab9-36de900679cf}"/>
                </w:placeholder>
                <w:richText/>
                <w15:color w:val="509DF3"/>
              </w:sdtPr>
              <w:sdtEndPr>
                <w:rPr>
                  <w:rFonts w:ascii="黑体" w:eastAsia="黑体" w:hAnsi="黑体" w:cs="黑体" w:hint="eastAsia"/>
                  <w:b/>
                  <w:kern w:val="44"/>
                  <w:sz w:val="28"/>
                  <w:szCs w:val="28"/>
                  <w:lang w:val="en-US" w:eastAsia="zh-CN" w:bidi="ar-SA"/>
                </w:rPr>
              </w:sdtEndPr>
              <w:sdtContent>
                <w:r>
                  <w:rPr>
                    <w:rFonts w:ascii="黑体" w:eastAsia="黑体" w:hAnsi="黑体" w:cs="黑体" w:hint="eastAsia"/>
                    <w:sz w:val="28"/>
                    <w:szCs w:val="28"/>
                  </w:rPr>
                  <w:t>附录</w:t>
                </w:r>
              </w:sdtContent>
            </w:sdt>
            <w:r>
              <w:rPr>
                <w:rFonts w:ascii="黑体" w:eastAsia="黑体" w:hAnsi="黑体" w:cs="黑体" w:hint="eastAsia"/>
                <w:sz w:val="28"/>
                <w:szCs w:val="28"/>
              </w:rPr>
              <w:tab/>
            </w:r>
            <w:r>
              <w:rPr>
                <w:rFonts w:ascii="黑体" w:eastAsia="黑体" w:hAnsi="黑体" w:cs="黑体" w:hint="eastAsia"/>
                <w:sz w:val="28"/>
                <w:szCs w:val="28"/>
                <w:lang w:val="en-US" w:eastAsia="zh-CN"/>
              </w:rPr>
              <w:t>1</w:t>
            </w:r>
          </w:hyperlink>
          <w:bookmarkEnd w:id="0"/>
          <w:r>
            <w:rPr>
              <w:rFonts w:ascii="黑体" w:eastAsia="黑体" w:hAnsi="黑体" w:cs="黑体" w:hint="eastAsia"/>
              <w:sz w:val="28"/>
              <w:szCs w:val="28"/>
              <w:lang w:val="en-US" w:eastAsia="zh-CN"/>
            </w:rPr>
            <w:t>6</w:t>
          </w:r>
        </w:p>
      </w:sdtContent>
    </w:sdt>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21" w:name="_Toc4959_WPSOffice_Level1"/>
      <w:r>
        <w:rPr>
          <w:rFonts w:asciiTheme="minorEastAsia" w:eastAsiaTheme="minorEastAsia" w:hAnsiTheme="minorEastAsia" w:cstheme="minorEastAsia" w:hint="eastAsia"/>
          <w:b/>
          <w:bCs/>
          <w:i w:val="0"/>
          <w:iCs w:val="0"/>
          <w:color w:val="auto"/>
          <w:sz w:val="28"/>
          <w:szCs w:val="28"/>
          <w:lang w:val="en-US" w:eastAsia="zh-CN"/>
        </w:rPr>
        <w:t>第一章 引言</w:t>
      </w:r>
      <w:bookmarkEnd w:id="21"/>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p>
    <w:p>
      <w:pPr>
        <w:pStyle w:val="Heading1"/>
        <w:spacing w:before="194" w:after="194"/>
        <w:ind w:firstLine="480" w:firstLineChars="200"/>
        <w:jc w:val="left"/>
        <w:rPr>
          <w:rFonts w:asciiTheme="minorEastAsia" w:eastAsiaTheme="minorEastAsia" w:hAnsiTheme="minorEastAsia" w:cstheme="minorEastAsia" w:hint="default"/>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在植物保护体系中,采用化学防治是对整个职务保护体系至关重要的一个环节,在之前的几十年中,它主要以各种各样的无机农药为基础。从40年代起,农业方面的科学家发现了具有很高活性的各式各样的有机合成化合物,这个发现直接使开发植物保护的化学药剂进入了一个崭新的时代。并且中国的农药行业在出口进口方面的贸易量及国内使用量也直线上升。详情见下表</w:t>
      </w:r>
      <w:r>
        <w:drawing>
          <wp:inline distT="0" distB="0" distL="114300" distR="114300">
            <wp:extent cx="4518660" cy="3162300"/>
            <wp:effectExtent l="0" t="0" r="762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4518660" cy="3162300"/>
                    </a:xfrm>
                    <a:prstGeom prst="rect">
                      <a:avLst/>
                    </a:prstGeom>
                    <a:noFill/>
                    <a:ln>
                      <a:noFill/>
                    </a:ln>
                  </pic:spPr>
                </pic:pic>
              </a:graphicData>
            </a:graphic>
          </wp:inline>
        </w:drawing>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农药喷施是在作物生长期间不可或缺的一个环节，可以说农药喷施的好与坏直接影响了作物的产量与质量。对于将全部心血都投入到土地里的农民们来说，能够选择一款质量有保障的农药产品是至关重要的，这将直接影响到他们的收入。</w:t>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从改革开放以来，我国市场上的农药种类越来越多，许许多多的进口厂家也注意到了中国这个农业大国中的广泛市场，在几十年的使用中，许多的产品的质量已经得到了中国光大农户的认可。同时许多国产的农药厂商也在不断地出现并壮大，使中国农药市场百花齐放，各种农药的种类五花八门。因此出现了许多农药的质量问题，总有些不良厂商会选择浑水摸鱼，以次充好。因此我们需要自己能够掌握一些基础的质量鉴别的方法。而且即使购买到了一种效果良好的农药可以使用，但是当同一种农药进行使用太久后，作物难免会产生抗药性，使得一种农药不可能持续使用过久，那么当一种农药的使用寿命过后，如何确定选择的新农药的质量如何呢，我们将探讨并提出几个简易的方法。</w:t>
      </w:r>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sectPr>
          <w:type w:val="nextPage"/>
          <w:pgSz w:w="11906" w:h="16838"/>
          <w:pgMar w:top="1440" w:right="1800" w:bottom="1440" w:left="1800" w:header="851" w:footer="992" w:gutter="0"/>
          <w:pgNumType w:start="6"/>
          <w:cols w:num="1" w:space="425"/>
          <w:titlePg w:val="0"/>
          <w:docGrid w:type="lines" w:linePitch="312" w:charSpace="0"/>
        </w:sectPr>
      </w:pPr>
      <w:bookmarkStart w:id="22" w:name="_Toc12169_WPSOffice_Level1"/>
      <w:r>
        <w:rPr>
          <w:rFonts w:asciiTheme="minorEastAsia" w:eastAsiaTheme="minorEastAsia" w:hAnsiTheme="minorEastAsia" w:cstheme="minorEastAsia" w:hint="eastAsia"/>
          <w:b/>
          <w:bCs/>
          <w:i w:val="0"/>
          <w:iCs w:val="0"/>
          <w:color w:val="auto"/>
          <w:sz w:val="28"/>
          <w:szCs w:val="28"/>
          <w:lang w:val="en-US" w:eastAsia="zh-CN"/>
        </w:rPr>
        <w:t>第二章 农药质量检测概述</w:t>
      </w:r>
      <w:bookmarkEnd w:id="22"/>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23" w:name="_Toc12169_WPSOffice_Level2"/>
      <w:r>
        <w:rPr>
          <w:rFonts w:asciiTheme="minorEastAsia" w:eastAsiaTheme="minorEastAsia" w:hAnsiTheme="minorEastAsia" w:cstheme="minorEastAsia" w:hint="eastAsia"/>
          <w:b/>
          <w:bCs/>
          <w:i w:val="0"/>
          <w:iCs w:val="0"/>
          <w:color w:val="auto"/>
          <w:sz w:val="28"/>
          <w:szCs w:val="28"/>
          <w:lang w:val="en-US" w:eastAsia="zh-CN"/>
        </w:rPr>
        <w:t>2.1 农药质量检测的目的</w:t>
      </w:r>
      <w:bookmarkEnd w:id="23"/>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bookmarkStart w:id="24" w:name="_Toc12169_WPSOffice_Level3"/>
      <w:r>
        <w:rPr>
          <w:rFonts w:asciiTheme="minorEastAsia" w:eastAsiaTheme="minorEastAsia" w:hAnsiTheme="minorEastAsia" w:cstheme="minorEastAsia" w:hint="eastAsia"/>
          <w:b w:val="0"/>
          <w:bCs w:val="0"/>
          <w:i w:val="0"/>
          <w:iCs w:val="0"/>
          <w:color w:val="auto"/>
          <w:sz w:val="24"/>
          <w:szCs w:val="24"/>
          <w:lang w:val="en-US" w:eastAsia="zh-CN"/>
        </w:rPr>
        <w:t>(1)对农药产品质量进行检验并加以分析</w:t>
      </w:r>
      <w:bookmarkEnd w:id="24"/>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农药是一种特殊的产品，我们为了保障购买到产品的质量，必须严格的执行国家规定的法律法规，进行严格的检验检测，对其质量的好坏或过关与否做出严格的把关，以确保安全、合理、有效地使用。</w:t>
      </w:r>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bookmarkStart w:id="25" w:name="_Toc20956_WPSOffice_Level3"/>
      <w:r>
        <w:rPr>
          <w:rFonts w:asciiTheme="minorEastAsia" w:eastAsiaTheme="minorEastAsia" w:hAnsiTheme="minorEastAsia" w:cstheme="minorEastAsia" w:hint="eastAsia"/>
          <w:b w:val="0"/>
          <w:bCs w:val="0"/>
          <w:i w:val="0"/>
          <w:iCs w:val="0"/>
          <w:color w:val="auto"/>
          <w:sz w:val="24"/>
          <w:szCs w:val="24"/>
          <w:lang w:val="en-US" w:eastAsia="zh-CN"/>
        </w:rPr>
        <w:t>(2)生产过程中进行的质量控制</w:t>
      </w:r>
      <w:bookmarkEnd w:id="25"/>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为了确保所购买到的农产品的质量，在其生产的全部过程中都需要进行严格的进行质量控制，因此对原料、半成品已经成品的生产过程全部都要进行把关并严格遵守规定进行质量检测，对生产工艺进行不断地改进，努力的将产品质量提至最高，提高质量的科学管理水平，保证能够为社会输出最优质的产品。</w:t>
      </w:r>
    </w:p>
    <w:p>
      <w:pPr>
        <w:pStyle w:val="Heading1"/>
        <w:numPr>
          <w:ilvl w:val="0"/>
          <w:numId w:val="1"/>
        </w:numPr>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bookmarkStart w:id="26" w:name="_Toc9148_WPSOffice_Level3"/>
      <w:r>
        <w:rPr>
          <w:rFonts w:asciiTheme="minorEastAsia" w:eastAsiaTheme="minorEastAsia" w:hAnsiTheme="minorEastAsia" w:cstheme="minorEastAsia" w:hint="eastAsia"/>
          <w:b w:val="0"/>
          <w:bCs w:val="0"/>
          <w:i w:val="0"/>
          <w:iCs w:val="0"/>
          <w:color w:val="auto"/>
          <w:sz w:val="24"/>
          <w:szCs w:val="24"/>
          <w:lang w:val="en-US" w:eastAsia="zh-CN"/>
        </w:rPr>
        <w:t>监督并控制贮存过程的质量</w:t>
      </w:r>
      <w:bookmarkEnd w:id="26"/>
    </w:p>
    <w:p>
      <w:pPr>
        <w:pStyle w:val="Heading1"/>
        <w:numPr>
          <w:ilvl w:val="0"/>
          <w:numId w:val="0"/>
        </w:numPr>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农药分析中的工作一定要和有关部门进行配合，对其贮存过程的中出现的质量问题进行观察、检测与养护，以便能够使用更加有利于质量控制的的贮藏条件和管理方法，确保产品在最终的使用效果与安全。</w:t>
      </w:r>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bookmarkStart w:id="27" w:name="_Toc16132_WPSOffice_Level3"/>
      <w:r>
        <w:rPr>
          <w:rFonts w:asciiTheme="minorEastAsia" w:eastAsiaTheme="minorEastAsia" w:hAnsiTheme="minorEastAsia" w:cstheme="minorEastAsia" w:hint="eastAsia"/>
          <w:b w:val="0"/>
          <w:bCs w:val="0"/>
          <w:i w:val="0"/>
          <w:iCs w:val="0"/>
          <w:color w:val="auto"/>
          <w:sz w:val="24"/>
          <w:szCs w:val="24"/>
          <w:lang w:val="en-US" w:eastAsia="zh-CN"/>
        </w:rPr>
        <w:t>(4)对使用效果进行分析</w:t>
      </w:r>
      <w:bookmarkEnd w:id="27"/>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农药质量的合格与否是否合理，直接影响产品的最终使用效果，为了使农药产品得到合理的使用，对农药要规定最佳产品使用量，对使用浓度以及残留量进行分析。</w:t>
      </w: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28" w:name="_Toc20956_WPSOffice_Level2"/>
      <w:r>
        <w:rPr>
          <w:rFonts w:asciiTheme="minorEastAsia" w:eastAsiaTheme="minorEastAsia" w:hAnsiTheme="minorEastAsia" w:cstheme="minorEastAsia" w:hint="eastAsia"/>
          <w:b/>
          <w:bCs/>
          <w:i w:val="0"/>
          <w:iCs w:val="0"/>
          <w:color w:val="auto"/>
          <w:sz w:val="28"/>
          <w:szCs w:val="28"/>
          <w:lang w:val="en-US" w:eastAsia="zh-CN"/>
        </w:rPr>
        <w:t>2.2农药质量检测的评价</w:t>
      </w:r>
      <w:bookmarkEnd w:id="28"/>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对于一个农药合格的判定应从以下三个方面来判定：</w:t>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使用效果:一个合格的产品应当有这显著的使用效果并且有较低的副作用，当一个产品医疗效果越明显，副作用表现越小，其质量一般可以认为越小</w:t>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残留：农药所作用的作物大多是可食用的作物，当农药有残留时食用会对人体产生不可预估的影响，因此一款好的农药应当可以有较小的残留甚至无残留。残留物越少，质量越好。</w:t>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sectPr>
          <w:type w:val="nextPage"/>
          <w:pgSz w:w="11906" w:h="16838"/>
          <w:pgMar w:top="1440" w:right="1800" w:bottom="1440" w:left="1800" w:header="851" w:footer="992" w:gutter="0"/>
          <w:pgNumType w:start="7"/>
          <w:cols w:num="1" w:space="425"/>
          <w:titlePg w:val="0"/>
          <w:docGrid w:type="lines" w:linePitch="312" w:charSpace="0"/>
        </w:sectPr>
      </w:pPr>
      <w:r>
        <w:rPr>
          <w:rFonts w:asciiTheme="minorEastAsia" w:eastAsiaTheme="minorEastAsia" w:hAnsiTheme="minorEastAsia" w:cstheme="minorEastAsia" w:hint="eastAsia"/>
          <w:b w:val="0"/>
          <w:bCs w:val="0"/>
          <w:i w:val="0"/>
          <w:iCs w:val="0"/>
          <w:color w:val="auto"/>
          <w:sz w:val="24"/>
          <w:szCs w:val="24"/>
          <w:lang w:val="en-US" w:eastAsia="zh-CN"/>
        </w:rPr>
        <w:t>浓度：纯度是指纯净程度，有害杂质及无效成分的含量越低纯度就越高。药品的纯度不同于化学试剂。前者主要考虑药物的安全性、有效性和稳定性。后者是基于杂质引起的化学变化对试剂使用的影响以及使用的范围和目的，而不考虑杂质对生物体的生理效应和毒性副作用。药品中只有合格品和不合格品，一般化学试剂分为四个等级（基准试剂、优等纯、分析纯和化学纯）。由于医药的纯度会影响其疗效和毒副作用，故必须达到一定的纯度标准，才能安全有效地使用。农药也必须达到一定的纯度才能保证其使用效果。</w:t>
      </w:r>
    </w:p>
    <w:p>
      <w:pPr>
        <w:ind w:firstLine="480" w:firstLineChars="200"/>
        <w:jc w:val="left"/>
      </w:pPr>
      <w:r>
        <w:rPr>
          <w:rFonts w:asciiTheme="minorEastAsia" w:hAnsiTheme="minorEastAsia" w:cstheme="minorEastAsia" w:hint="eastAsia"/>
          <w:b w:val="0"/>
          <w:bCs w:val="0"/>
          <w:i w:val="0"/>
          <w:iCs w:val="0"/>
          <w:color w:val="auto"/>
          <w:sz w:val="24"/>
          <w:szCs w:val="24"/>
          <w:lang w:val="en-US" w:eastAsia="zh-CN"/>
        </w:rPr>
        <w:t>还有额外的一点是毒性。在近些年国内非正常死亡中因服农药而死亡的比重已经越来越高。下图为占比重的详情图</w:t>
      </w:r>
      <w:r>
        <w:drawing>
          <wp:inline distT="0" distB="0" distL="114300" distR="114300">
            <wp:extent cx="5021580" cy="3154680"/>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6"/>
                    <a:stretch>
                      <a:fillRect/>
                    </a:stretch>
                  </pic:blipFill>
                  <pic:spPr>
                    <a:xfrm>
                      <a:off x="0" y="0"/>
                      <a:ext cx="5021580" cy="3154680"/>
                    </a:xfrm>
                    <a:prstGeom prst="rect">
                      <a:avLst/>
                    </a:prstGeom>
                    <a:noFill/>
                    <a:ln>
                      <a:noFill/>
                    </a:ln>
                  </pic:spPr>
                </pic:pic>
              </a:graphicData>
            </a:graphic>
          </wp:inline>
        </w:drawing>
      </w:r>
    </w:p>
    <w:p>
      <w:pPr>
        <w:ind w:firstLine="420" w:firstLineChars="200"/>
        <w:rPr>
          <w:rFonts w:hint="default"/>
        </w:rPr>
      </w:pPr>
      <w:r>
        <w:rPr>
          <w:rFonts w:hint="eastAsia"/>
          <w:lang w:val="en-US" w:eastAsia="zh-CN"/>
        </w:rPr>
        <w:t>可见农药毒性大的危害！而其中有一种水剂农药，名为“百草枯”，因其误服后无法救治的超强毒性而被国家禁止生产！</w:t>
      </w:r>
    </w:p>
    <w:p>
      <w:r>
        <w:drawing>
          <wp:inline distT="0" distB="0" distL="114300" distR="114300">
            <wp:extent cx="1470660" cy="313182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7"/>
                    <a:stretch>
                      <a:fillRect/>
                    </a:stretch>
                  </pic:blipFill>
                  <pic:spPr>
                    <a:xfrm>
                      <a:off x="0" y="0"/>
                      <a:ext cx="1470660" cy="3131820"/>
                    </a:xfrm>
                    <a:prstGeom prst="rect">
                      <a:avLst/>
                    </a:prstGeom>
                    <a:noFill/>
                    <a:ln>
                      <a:noFill/>
                    </a:ln>
                  </pic:spPr>
                </pic:pic>
              </a:graphicData>
            </a:graphic>
          </wp:inline>
        </w:drawing>
      </w:r>
    </w:p>
    <w:p>
      <w:pPr>
        <w:rPr>
          <w:rFonts w:hint="default"/>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lang w:val="en-US" w:eastAsia="zh-CN"/>
        </w:rPr>
        <w:t xml:space="preserve">  但是在实际使用中，百草枯是一款非常优秀的除草剂，且使用后土地肥力恢复极快。所以在日后的使用中，一定要小心安放购买的农药，谨防误服！</w:t>
      </w: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29" w:name="_Toc9148_WPSOffice_Level2"/>
      <w:r>
        <w:rPr>
          <w:rFonts w:asciiTheme="minorEastAsia" w:eastAsiaTheme="minorEastAsia" w:hAnsiTheme="minorEastAsia" w:cstheme="minorEastAsia" w:hint="eastAsia"/>
          <w:b/>
          <w:bCs/>
          <w:i w:val="0"/>
          <w:iCs w:val="0"/>
          <w:color w:val="auto"/>
          <w:sz w:val="28"/>
          <w:szCs w:val="28"/>
          <w:lang w:val="en-US" w:eastAsia="zh-CN"/>
        </w:rPr>
        <w:t>2.3农药质量检测的意义</w:t>
      </w:r>
      <w:bookmarkEnd w:id="29"/>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农药质量检测是农药质量把关的一道重点关卡，只有严格的进行质量检测，才可以做到最大化的消除市场上的残次品，才能够让农户去选择农药时放心的去选择并且使用。</w:t>
      </w: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30" w:name="_Toc20956_WPSOffice_Level1"/>
      <w:r>
        <w:rPr>
          <w:rFonts w:asciiTheme="minorEastAsia" w:eastAsiaTheme="minorEastAsia" w:hAnsiTheme="minorEastAsia" w:cstheme="minorEastAsia" w:hint="eastAsia"/>
          <w:b/>
          <w:bCs/>
          <w:i w:val="0"/>
          <w:iCs w:val="0"/>
          <w:color w:val="auto"/>
          <w:sz w:val="28"/>
          <w:szCs w:val="28"/>
          <w:lang w:val="en-US" w:eastAsia="zh-CN"/>
        </w:rPr>
        <w:t>第三章 农药生产及使用过程中的质量的影响因素</w:t>
      </w:r>
      <w:bookmarkEnd w:id="30"/>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31" w:name="_Toc16132_WPSOffice_Level2"/>
      <w:r>
        <w:rPr>
          <w:rFonts w:asciiTheme="minorEastAsia" w:eastAsiaTheme="minorEastAsia" w:hAnsiTheme="minorEastAsia" w:cstheme="minorEastAsia" w:hint="eastAsia"/>
          <w:b/>
          <w:bCs/>
          <w:i w:val="0"/>
          <w:iCs w:val="0"/>
          <w:color w:val="auto"/>
          <w:sz w:val="28"/>
          <w:szCs w:val="28"/>
          <w:lang w:val="en-US" w:eastAsia="zh-CN"/>
        </w:rPr>
        <w:t>3.1 农药的生产过程</w:t>
      </w:r>
      <w:bookmarkEnd w:id="31"/>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农药生产属于一种精细的生产过程，生产过程极其复杂，其中有危险的生产物质种类也非常的多。目前我国剂型农药主要有粉剂、 可湿性粉剂、可溶性粉剂（水溶剂）、乳剂（亦称乳油）、颗粒剂和微粒剂、缓释剂等 [2]。农药生产过程主要包括配制和包装的生产过程。</w:t>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乳化加工技术：乳化油的生产过程是一个物理过程。将溶剂放入混合釜中。原药由真空泵按一定的配方泵入配制釜中。在混合过程中加入一定时间的乳化剂和残留溶剂。混合后，试验产品指标达到产品标准后，用灌装机灌装合格产品，包装为成品。</w:t>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粉体加工工艺：原料经搅拌机混合后，经气流磨和旋风分离器与填料混合，在搅拌机中混合，搅拌均匀，然后转入储槽，分装机分装，产品检验合格后贮存。</w:t>
      </w:r>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水处理工艺：将密封容器内的原材料、助剂、溶剂等输送至复合车间，真空泵入混合釜。根据配方，将原料药添加剂和溶剂放入混合釜中，搅拌均匀，搅拌一定时间，停止搅拌，等待液体稳定。取样分析合格后，泵入生产车间高位罐内，由灌装机用管道灌装、加盖、贴标、包装。成品检验合格后入库。</w:t>
      </w:r>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32" w:name="_Toc18469_WPSOffice_Level2"/>
      <w:r>
        <w:rPr>
          <w:rFonts w:asciiTheme="minorEastAsia" w:eastAsiaTheme="minorEastAsia" w:hAnsiTheme="minorEastAsia" w:cstheme="minorEastAsia" w:hint="eastAsia"/>
          <w:b/>
          <w:bCs/>
          <w:i w:val="0"/>
          <w:iCs w:val="0"/>
          <w:color w:val="auto"/>
          <w:sz w:val="28"/>
          <w:szCs w:val="28"/>
          <w:lang w:val="en-US" w:eastAsia="zh-CN"/>
        </w:rPr>
        <w:t>3.2 农药生产过程中的有害因素</w:t>
      </w:r>
      <w:bookmarkEnd w:id="32"/>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作业人员在生产过程中有可能会接触到苯、甲苯和二甲苯，氯氰菊酯，草甘膦，甲醇，各类乳化剂，氰戊菊酯，溴氰菊酯以及各种生产过程所产生的粉尘，而且在生产过程中，各种机器以及运输过程中也会产生噪声。不仅如此，在农药入包装阶段的工人也有可能会接触到前文提到的各种有害物质。</w:t>
      </w: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sectPr>
          <w:type w:val="nextPage"/>
          <w:pgSz w:w="11906" w:h="16838"/>
          <w:pgMar w:top="1440" w:right="1800" w:bottom="1440" w:left="1800" w:header="851" w:footer="992" w:gutter="0"/>
          <w:pgNumType w:start="9"/>
          <w:cols w:num="1" w:space="425"/>
          <w:titlePg w:val="0"/>
          <w:docGrid w:type="lines" w:linePitch="312" w:charSpace="0"/>
        </w:sectPr>
      </w:pPr>
      <w:bookmarkStart w:id="33" w:name="_Toc12999_WPSOffice_Level2"/>
      <w:r>
        <w:rPr>
          <w:rFonts w:asciiTheme="minorEastAsia" w:eastAsiaTheme="minorEastAsia" w:hAnsiTheme="minorEastAsia" w:cstheme="minorEastAsia" w:hint="eastAsia"/>
          <w:b/>
          <w:bCs/>
          <w:i w:val="0"/>
          <w:iCs w:val="0"/>
          <w:color w:val="auto"/>
          <w:sz w:val="28"/>
          <w:szCs w:val="28"/>
          <w:lang w:val="en-US" w:eastAsia="zh-CN"/>
        </w:rPr>
        <w:t>3.3 关于农户种植技术的影响</w:t>
      </w:r>
      <w:bookmarkEnd w:id="33"/>
    </w:p>
    <w:p>
      <w:pPr>
        <w:pStyle w:val="Heading1"/>
        <w:spacing w:before="194" w:after="194"/>
        <w:ind w:firstLine="480" w:firstLineChars="200"/>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由于农业生产受多种自然条件的影响，且不同农户在技术水平、管理水平和土壤条件上存在显著差异，因此在种植过程中，农户之间农药的应用和效果存在明显差异。不同农户在生长方式、发病率、果实数量、作物质量等方面也存在明显差异。数据表明，影响作物产量和质量的因素有很多，包括使用假冒伪劣产品、种植技术不当、管理不善、作物病害时有发生，少量农田发生严重，少量农民在使用植物生长调节剂时不适当。工艺不当，作物成熟过早，倒籽不饱满。问题。因此在实际情况中，用量一致的农户并没有出现同样的灾害情况，由于种植技术的差异，有些对于种植技术掌握较为熟练的农户往往能够收获更多的作物。</w:t>
      </w:r>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34" w:name="_Toc9148_WPSOffice_Level1"/>
      <w:r>
        <w:rPr>
          <w:rFonts w:asciiTheme="minorEastAsia" w:eastAsiaTheme="minorEastAsia" w:hAnsiTheme="minorEastAsia" w:cstheme="minorEastAsia" w:hint="eastAsia"/>
          <w:b/>
          <w:bCs/>
          <w:i w:val="0"/>
          <w:iCs w:val="0"/>
          <w:color w:val="auto"/>
          <w:sz w:val="28"/>
          <w:szCs w:val="28"/>
          <w:lang w:val="en-US" w:eastAsia="zh-CN"/>
        </w:rPr>
        <w:t>第四章 农资产品质量检测的简易方法</w:t>
      </w:r>
      <w:bookmarkEnd w:id="34"/>
    </w:p>
    <w:p>
      <w:pPr>
        <w:pStyle w:val="Heading1"/>
        <w:spacing w:before="194" w:after="194"/>
        <w:jc w:val="center"/>
        <w:rPr>
          <w:rFonts w:asciiTheme="minorEastAsia" w:eastAsiaTheme="minorEastAsia" w:hAnsiTheme="minorEastAsia" w:cstheme="minorEastAsia" w:hint="eastAsia"/>
          <w:bCs/>
          <w:i w:val="0"/>
          <w:iCs w:val="0"/>
          <w:color w:val="auto"/>
          <w:sz w:val="28"/>
          <w:szCs w:val="28"/>
          <w:lang w:val="en-US" w:eastAsia="zh-CN"/>
        </w:rPr>
      </w:pPr>
      <w:bookmarkStart w:id="35" w:name="_Toc23552_WPSOffice_Level2"/>
      <w:r>
        <w:rPr>
          <w:rFonts w:asciiTheme="minorEastAsia" w:eastAsiaTheme="minorEastAsia" w:hAnsiTheme="minorEastAsia" w:cstheme="minorEastAsia" w:hint="eastAsia"/>
          <w:b/>
          <w:bCs/>
          <w:i w:val="0"/>
          <w:iCs w:val="0"/>
          <w:color w:val="auto"/>
          <w:sz w:val="28"/>
          <w:szCs w:val="28"/>
          <w:lang w:val="en-US" w:eastAsia="zh-CN"/>
        </w:rPr>
        <w:t>4.1 从农药标签及包装外观上识别真假</w:t>
      </w:r>
      <w:bookmarkEnd w:id="35"/>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1）产品名称：农药标签上的名称必须有明确的药品名称，包括中文名称和英文名称。在标签上标明产品名称前，必须经国务院农业行政主管部门审查批准。同时要注意，目前国内市场中农药产品的名称比较混乱，在购买时应当注意农药成分是否是应当含有的或者是否是自己所需要的方可购买。当产品没有确定的产品名称时，应当引起警惕，查看是否为假冒伪劣产品。</w:t>
      </w:r>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2）标签内容：登记农药时，对农药标签有严格要求。所有登记的农药都应当经农业行政主管部门检验备案。在农药产品标签上，必须注明产品名称、产品标准号、生产许可证号（或生产批准文号）、农药登记证号及含量、毒性、重量、活性成分、产品性能、使用方法、生产日期、有效期、注意事项等。接种注意事项及农药生产企业的名称、地址、邮政编码等，并分开包装。农药还应当标明分单位（进口农药产品没有产品标准号、生产许可证号或者生产批准文号）。未经农业行政主管部门批准，任何单位不得擅自改变标签内容。所以当农户需要购买农药产品时应当仔细查看农资产品的标签，看清楚上面所注明的事项是否正规，同时可以通过其登记的产品号从农业局去查证是否是正规登记的产品，当标签上没有登记齐全时，应当引起警惕。</w:t>
      </w:r>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3）产品包装：同一计量的同一产品包装应相同，不得大或小，内外包装应完整，不得损坏。对正规的厂家生产而言，在相同包装规格内的容器，所盛装的农药的净含量应当是相同的，不可以超过国家规定的误差</w:t>
      </w:r>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r>
        <w:rPr>
          <w:rFonts w:asciiTheme="minorEastAsia" w:eastAsiaTheme="minorEastAsia" w:hAnsiTheme="minorEastAsia" w:cstheme="minorEastAsia" w:hint="eastAsia"/>
          <w:b w:val="0"/>
          <w:bCs w:val="0"/>
          <w:i w:val="0"/>
          <w:iCs w:val="0"/>
          <w:color w:val="auto"/>
          <w:sz w:val="24"/>
          <w:szCs w:val="24"/>
          <w:lang w:val="en-US" w:eastAsia="zh-CN"/>
        </w:rPr>
        <w:t>（4）产品合格证：正规厂家必须在产品生产完成后进行质量检验，合格产品的包装箱应附有产品出厂检验合格证。消费者在购买农药时，应当查验是否有产品出厂合格证，以确定购买产品的质量。如果你遇到一个没有证书的产品，你应该警惕和检查产品标签，当心你购买的产品是假冒伪劣产品。</w:t>
      </w:r>
      <w:r>
        <w:rPr>
          <w:rFonts w:asciiTheme="minorEastAsia" w:eastAsiaTheme="minorEastAsia" w:hAnsiTheme="minorEastAsia" w:cstheme="minorEastAsia" w:hint="eastAsia"/>
          <w:b w:val="0"/>
          <w:bCs w:val="0"/>
          <w:i w:val="0"/>
          <w:iCs w:val="0"/>
          <w:color w:val="auto"/>
          <w:sz w:val="24"/>
          <w:szCs w:val="24"/>
          <w:lang w:val="en-US" w:eastAsia="zh-CN"/>
        </w:rPr>
        <w:br/>
      </w:r>
      <w:r>
        <w:rPr>
          <w:rFonts w:asciiTheme="minorEastAsia" w:eastAsiaTheme="minorEastAsia" w:hAnsiTheme="minorEastAsia" w:cstheme="minorEastAsia" w:hint="eastAsia"/>
          <w:b w:val="0"/>
          <w:bCs w:val="0"/>
          <w:i w:val="0"/>
          <w:iCs w:val="0"/>
          <w:color w:val="auto"/>
          <w:sz w:val="24"/>
          <w:szCs w:val="24"/>
          <w:lang w:val="en-US" w:eastAsia="zh-CN"/>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https://d.book118.com/728072121127006026</w:t>
        </w:r>
      </w:hyperlink>
    </w:p>
    <w:p>
      <w:pPr>
        <w:pStyle w:val="Heading1"/>
        <w:spacing w:before="194" w:after="194"/>
        <w:jc w:val="left"/>
        <w:rPr>
          <w:rFonts w:asciiTheme="minorEastAsia" w:eastAsiaTheme="minorEastAsia" w:hAnsiTheme="minorEastAsia" w:cstheme="minorEastAsia" w:hint="eastAsia"/>
          <w:b w:val="0"/>
          <w:bCs w:val="0"/>
          <w:i w:val="0"/>
          <w:iCs w:val="0"/>
          <w:color w:val="auto"/>
          <w:sz w:val="24"/>
          <w:szCs w:val="24"/>
          <w:lang w:val="en-US" w:eastAsia="zh-CN"/>
        </w:rPr>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F74026"/>
    <w:multiLevelType w:val="singleLevel"/>
    <w:tmpl w:val="8CF74026"/>
    <w:lvl w:ilvl="0">
      <w:start w:val="1"/>
      <w:numFmt w:val="decimal"/>
      <w:lvlText w:val="%1."/>
      <w:lvlJc w:val="left"/>
      <w:pPr>
        <w:tabs>
          <w:tab w:val="left" w:pos="312"/>
        </w:tabs>
      </w:pPr>
    </w:lvl>
  </w:abstractNum>
  <w:abstractNum w:abstractNumId="1">
    <w:nsid w:val="BDA2E8A0"/>
    <w:multiLevelType w:val="singleLevel"/>
    <w:tmpl w:val="BDA2E8A0"/>
    <w:lvl w:ilvl="0">
      <w:start w:val="1"/>
      <w:numFmt w:val="decimal"/>
      <w:suff w:val="nothing"/>
      <w:lvlText w:val="（%1）"/>
      <w:lvlJc w:val="left"/>
      <w:pPr>
        <w:ind w:left="480" w:firstLine="0" w:leftChars="0" w:firstLineChars="0"/>
      </w:pPr>
    </w:lvl>
  </w:abstractNum>
  <w:abstractNum w:abstractNumId="2">
    <w:nsid w:val="04545FEC"/>
    <w:multiLevelType w:val="singleLevel"/>
    <w:tmpl w:val="04545FEC"/>
    <w:lvl w:ilvl="0">
      <w:start w:val="2"/>
      <w:numFmt w:val="decimal"/>
      <w:suff w:val="nothing"/>
      <w:lvlText w:val="（%1）"/>
      <w:lvlJc w:val="left"/>
    </w:lvl>
  </w:abstractNum>
  <w:abstractNum w:abstractNumId="3">
    <w:nsid w:val="17C34732"/>
    <w:multiLevelType w:val="singleLevel"/>
    <w:tmpl w:val="17C34732"/>
    <w:lvl w:ilvl="0">
      <w:start w:val="3"/>
      <w:numFmt w:val="decimal"/>
      <w:lvlText w:val="(%1)"/>
      <w:lvlJc w:val="left"/>
      <w:pPr>
        <w:tabs>
          <w:tab w:val="left" w:pos="312"/>
        </w:tabs>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96C76"/>
    <w:rsid w:val="046E62C4"/>
    <w:rsid w:val="0BBD0601"/>
    <w:rsid w:val="0E645825"/>
    <w:rsid w:val="2B944D54"/>
    <w:rsid w:val="2D41522A"/>
    <w:rsid w:val="31374D53"/>
    <w:rsid w:val="346E4F98"/>
    <w:rsid w:val="3AEE6BA6"/>
    <w:rsid w:val="407454FC"/>
    <w:rsid w:val="47F174CD"/>
    <w:rsid w:val="531C1CD7"/>
    <w:rsid w:val="533070A3"/>
    <w:rsid w:val="57BA03E7"/>
    <w:rsid w:val="591F2101"/>
    <w:rsid w:val="5AE65C9E"/>
    <w:rsid w:val="5E395B3B"/>
    <w:rsid w:val="66E04740"/>
    <w:rsid w:val="6C796C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Lines="50" w:afterLines="50"/>
      <w:jc w:val="left"/>
      <w:outlineLvl w:val="0"/>
    </w:pPr>
    <w:rPr>
      <w:rFonts w:eastAsia="黑体"/>
      <w:b/>
      <w:kern w:val="44"/>
      <w:sz w:val="30"/>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PageNumber">
    <w:name w:val="page number"/>
    <w:basedOn w:val="DefaultParagraphFont"/>
    <w:qFormat/>
    <w:rPr>
      <w:rFonts w:ascii="Times New Roman" w:eastAsia="宋体" w:hAnsi="Times New Roman" w:cs="Times New Roman"/>
    </w:rPr>
  </w:style>
  <w:style w:type="character" w:styleId="Hyperlink">
    <w:name w:val="Hyperlink"/>
    <w:basedOn w:val="DefaultParagraphFont"/>
    <w:qFormat/>
    <w:rPr>
      <w:color w:val="0000FF"/>
      <w:u w:val="single"/>
    </w:rPr>
  </w:style>
  <w:style w:type="character" w:customStyle="1" w:styleId="spanunedit1">
    <w:name w:val="span_unedit1"/>
    <w:basedOn w:val="DefaultParagraphFont"/>
    <w:qFormat/>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728072121127006026" TargetMode="External" /><Relationship Id="rId9" Type="http://schemas.openxmlformats.org/officeDocument/2006/relationships/glossaryDocument" Target="glossary/document.xm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08a545ed-6c87-47c8-b388-13e1232b9fe6}"/>
        <w:category>
          <w:name w:val="常规"/>
          <w:gallery w:val="placeholder"/>
        </w:category>
        <w:types>
          <w:type w:val="bbPlcHdr"/>
        </w:types>
        <w:behaviors>
          <w:behavior w:val="content"/>
        </w:behaviors>
        <w:guid w:val="{08A545ED-6C87-47C8-B388-13E1232B9FE6}"/>
      </w:docPartPr>
      <w:docPartBody>
        <w:p>
          <w:r>
            <w:rPr>
              <w:color w:val="808080"/>
            </w:rPr>
            <w:t>单击此处输入文字。</w:t>
          </w:r>
        </w:p>
      </w:docPartBody>
    </w:docPart>
    <w:docPart>
      <w:docPartPr>
        <w:name w:val="{204769fd-6be2-4470-be8d-f24c4ea9b941}"/>
        <w:category>
          <w:name w:val="常规"/>
          <w:gallery w:val="placeholder"/>
        </w:category>
        <w:types>
          <w:type w:val="bbPlcHdr"/>
        </w:types>
        <w:behaviors>
          <w:behavior w:val="content"/>
        </w:behaviors>
        <w:guid w:val="{204769FD-6BE2-4470-BE8D-F24C4EA9B941}"/>
      </w:docPartPr>
      <w:docPartBody>
        <w:p>
          <w:r>
            <w:rPr>
              <w:color w:val="808080"/>
            </w:rPr>
            <w:t>单击此处输入文字。</w:t>
          </w:r>
        </w:p>
      </w:docPartBody>
    </w:docPart>
    <w:docPart>
      <w:docPartPr>
        <w:name w:val="{e26a054f-ca13-4ec9-ba3e-1c29c1b857ee}"/>
        <w:category>
          <w:name w:val="常规"/>
          <w:gallery w:val="placeholder"/>
        </w:category>
        <w:types>
          <w:type w:val="bbPlcHdr"/>
        </w:types>
        <w:behaviors>
          <w:behavior w:val="content"/>
        </w:behaviors>
        <w:guid w:val="{E26A054F-CA13-4EC9-BA3E-1C29C1B857EE}"/>
      </w:docPartPr>
      <w:docPartBody>
        <w:p>
          <w:r>
            <w:rPr>
              <w:color w:val="808080"/>
            </w:rPr>
            <w:t>单击此处输入文字。</w:t>
          </w:r>
        </w:p>
      </w:docPartBody>
    </w:docPart>
    <w:docPart>
      <w:docPartPr>
        <w:name w:val="{5ac062d7-c814-4d5b-ab80-11e46adcacd1}"/>
        <w:category>
          <w:name w:val="常规"/>
          <w:gallery w:val="placeholder"/>
        </w:category>
        <w:types>
          <w:type w:val="bbPlcHdr"/>
        </w:types>
        <w:behaviors>
          <w:behavior w:val="content"/>
        </w:behaviors>
        <w:guid w:val="{5AC062D7-C814-4D5B-AB80-11E46ADCACD1}"/>
      </w:docPartPr>
      <w:docPartBody>
        <w:p>
          <w:r>
            <w:rPr>
              <w:color w:val="808080"/>
            </w:rPr>
            <w:t>单击此处输入文字。</w:t>
          </w:r>
        </w:p>
      </w:docPartBody>
    </w:docPart>
    <w:docPart>
      <w:docPartPr>
        <w:name w:val="{0a036932-9962-4da6-b938-dbf7730855f3}"/>
        <w:category>
          <w:name w:val="常规"/>
          <w:gallery w:val="placeholder"/>
        </w:category>
        <w:types>
          <w:type w:val="bbPlcHdr"/>
        </w:types>
        <w:behaviors>
          <w:behavior w:val="content"/>
        </w:behaviors>
        <w:guid w:val="{0A036932-9962-4DA6-B938-DBF7730855F3}"/>
      </w:docPartPr>
      <w:docPartBody>
        <w:p>
          <w:r>
            <w:rPr>
              <w:color w:val="808080"/>
            </w:rPr>
            <w:t>单击此处输入文字。</w:t>
          </w:r>
        </w:p>
      </w:docPartBody>
    </w:docPart>
    <w:docPart>
      <w:docPartPr>
        <w:name w:val="{1199450d-627c-409e-b470-7c339402d1fa}"/>
        <w:category>
          <w:name w:val="常规"/>
          <w:gallery w:val="placeholder"/>
        </w:category>
        <w:types>
          <w:type w:val="bbPlcHdr"/>
        </w:types>
        <w:behaviors>
          <w:behavior w:val="content"/>
        </w:behaviors>
        <w:guid w:val="{1199450D-627C-409E-B470-7C339402D1FA}"/>
      </w:docPartPr>
      <w:docPartBody>
        <w:p>
          <w:r>
            <w:rPr>
              <w:color w:val="808080"/>
            </w:rPr>
            <w:t>单击此处输入文字。</w:t>
          </w:r>
        </w:p>
      </w:docPartBody>
    </w:docPart>
    <w:docPart>
      <w:docPartPr>
        <w:name w:val="{ac776cb4-7dfb-454c-87d4-40732c289ea0}"/>
        <w:category>
          <w:name w:val="常规"/>
          <w:gallery w:val="placeholder"/>
        </w:category>
        <w:types>
          <w:type w:val="bbPlcHdr"/>
        </w:types>
        <w:behaviors>
          <w:behavior w:val="content"/>
        </w:behaviors>
        <w:guid w:val="{AC776CB4-7DFB-454C-87D4-40732C289EA0}"/>
      </w:docPartPr>
      <w:docPartBody>
        <w:p>
          <w:r>
            <w:rPr>
              <w:color w:val="808080"/>
            </w:rPr>
            <w:t>单击此处输入文字。</w:t>
          </w:r>
        </w:p>
      </w:docPartBody>
    </w:docPart>
    <w:docPart>
      <w:docPartPr>
        <w:name w:val="{7b05e409-be45-4b93-9785-172760f81487}"/>
        <w:category>
          <w:name w:val="常规"/>
          <w:gallery w:val="placeholder"/>
        </w:category>
        <w:types>
          <w:type w:val="bbPlcHdr"/>
        </w:types>
        <w:behaviors>
          <w:behavior w:val="content"/>
        </w:behaviors>
        <w:guid w:val="{7B05E409-BE45-4B93-9785-172760F81487}"/>
      </w:docPartPr>
      <w:docPartBody>
        <w:p>
          <w:r>
            <w:rPr>
              <w:color w:val="808080"/>
            </w:rPr>
            <w:t>单击此处输入文字。</w:t>
          </w:r>
        </w:p>
      </w:docPartBody>
    </w:docPart>
    <w:docPart>
      <w:docPartPr>
        <w:name w:val="{b27655a5-b2c7-4073-9f10-de75981db233}"/>
        <w:category>
          <w:name w:val="常规"/>
          <w:gallery w:val="placeholder"/>
        </w:category>
        <w:types>
          <w:type w:val="bbPlcHdr"/>
        </w:types>
        <w:behaviors>
          <w:behavior w:val="content"/>
        </w:behaviors>
        <w:guid w:val="{B27655A5-B2C7-4073-9F10-DE75981DB233}"/>
      </w:docPartPr>
      <w:docPartBody>
        <w:p>
          <w:r>
            <w:rPr>
              <w:color w:val="808080"/>
            </w:rPr>
            <w:t>单击此处输入文字。</w:t>
          </w:r>
        </w:p>
      </w:docPartBody>
    </w:docPart>
    <w:docPart>
      <w:docPartPr>
        <w:name w:val="{7d9a170a-5abb-493e-a269-83dcc8d917bd}"/>
        <w:category>
          <w:name w:val="常规"/>
          <w:gallery w:val="placeholder"/>
        </w:category>
        <w:types>
          <w:type w:val="bbPlcHdr"/>
        </w:types>
        <w:behaviors>
          <w:behavior w:val="content"/>
        </w:behaviors>
        <w:guid w:val="{7D9A170A-5ABB-493E-A269-83DCC8D917BD}"/>
      </w:docPartPr>
      <w:docPartBody>
        <w:p>
          <w:r>
            <w:rPr>
              <w:color w:val="808080"/>
            </w:rPr>
            <w:t>单击此处输入文字。</w:t>
          </w:r>
        </w:p>
      </w:docPartBody>
    </w:docPart>
    <w:docPart>
      <w:docPartPr>
        <w:name w:val="{5ec7644c-18c4-4903-bf51-83931bc38f44}"/>
        <w:category>
          <w:name w:val="常规"/>
          <w:gallery w:val="placeholder"/>
        </w:category>
        <w:types>
          <w:type w:val="bbPlcHdr"/>
        </w:types>
        <w:behaviors>
          <w:behavior w:val="content"/>
        </w:behaviors>
        <w:guid w:val="{5EC7644C-18C4-4903-BF51-83931BC38F44}"/>
      </w:docPartPr>
      <w:docPartBody>
        <w:p>
          <w:r>
            <w:rPr>
              <w:color w:val="808080"/>
            </w:rPr>
            <w:t>单击此处输入文字。</w:t>
          </w:r>
        </w:p>
      </w:docPartBody>
    </w:docPart>
    <w:docPart>
      <w:docPartPr>
        <w:name w:val="{d26e7d5f-87d4-4781-bd6e-59a2a6f54b68}"/>
        <w:category>
          <w:name w:val="常规"/>
          <w:gallery w:val="placeholder"/>
        </w:category>
        <w:types>
          <w:type w:val="bbPlcHdr"/>
        </w:types>
        <w:behaviors>
          <w:behavior w:val="content"/>
        </w:behaviors>
        <w:guid w:val="{D26E7D5F-87D4-4781-BD6E-59A2A6F54B68}"/>
      </w:docPartPr>
      <w:docPartBody>
        <w:p>
          <w:r>
            <w:rPr>
              <w:color w:val="808080"/>
            </w:rPr>
            <w:t>单击此处输入文字。</w:t>
          </w:r>
        </w:p>
      </w:docPartBody>
    </w:docPart>
    <w:docPart>
      <w:docPartPr>
        <w:name w:val="{09f989d6-ce3c-475b-8760-ae85fb435c55}"/>
        <w:category>
          <w:name w:val="常规"/>
          <w:gallery w:val="placeholder"/>
        </w:category>
        <w:types>
          <w:type w:val="bbPlcHdr"/>
        </w:types>
        <w:behaviors>
          <w:behavior w:val="content"/>
        </w:behaviors>
        <w:guid w:val="{09F989D6-CE3C-475B-8760-AE85FB435C55}"/>
      </w:docPartPr>
      <w:docPartBody>
        <w:p>
          <w:r>
            <w:rPr>
              <w:color w:val="808080"/>
            </w:rPr>
            <w:t>单击此处输入文字。</w:t>
          </w:r>
        </w:p>
      </w:docPartBody>
    </w:docPart>
    <w:docPart>
      <w:docPartPr>
        <w:name w:val="{91f7e2a5-0c9b-4cdd-b978-08d7551bc237}"/>
        <w:category>
          <w:name w:val="常规"/>
          <w:gallery w:val="placeholder"/>
        </w:category>
        <w:types>
          <w:type w:val="bbPlcHdr"/>
        </w:types>
        <w:behaviors>
          <w:behavior w:val="content"/>
        </w:behaviors>
        <w:guid w:val="{91F7E2A5-0C9B-4CDD-B978-08D7551BC237}"/>
      </w:docPartPr>
      <w:docPartBody>
        <w:p>
          <w:r>
            <w:rPr>
              <w:color w:val="808080"/>
            </w:rPr>
            <w:t>单击此处输入文字。</w:t>
          </w:r>
        </w:p>
      </w:docPartBody>
    </w:docPart>
    <w:docPart>
      <w:docPartPr>
        <w:name w:val="{3b62c25d-5033-4e88-8cb5-759471cb7d09}"/>
        <w:category>
          <w:name w:val="常规"/>
          <w:gallery w:val="placeholder"/>
        </w:category>
        <w:types>
          <w:type w:val="bbPlcHdr"/>
        </w:types>
        <w:behaviors>
          <w:behavior w:val="content"/>
        </w:behaviors>
        <w:guid w:val="{3B62C25D-5033-4E88-8CB5-759471CB7D09}"/>
      </w:docPartPr>
      <w:docPartBody>
        <w:p>
          <w:r>
            <w:rPr>
              <w:color w:val="808080"/>
            </w:rPr>
            <w:t>单击此处输入文字。</w:t>
          </w:r>
        </w:p>
      </w:docPartBody>
    </w:docPart>
    <w:docPart>
      <w:docPartPr>
        <w:name w:val="{e802759e-2350-4e87-8849-7f5828de3af9}"/>
        <w:category>
          <w:name w:val="常规"/>
          <w:gallery w:val="placeholder"/>
        </w:category>
        <w:types>
          <w:type w:val="bbPlcHdr"/>
        </w:types>
        <w:behaviors>
          <w:behavior w:val="content"/>
        </w:behaviors>
        <w:guid w:val="{E802759E-2350-4E87-8849-7F5828DE3AF9}"/>
      </w:docPartPr>
      <w:docPartBody>
        <w:p>
          <w:r>
            <w:rPr>
              <w:color w:val="808080"/>
            </w:rPr>
            <w:t>单击此处输入文字。</w:t>
          </w:r>
        </w:p>
      </w:docPartBody>
    </w:docPart>
    <w:docPart>
      <w:docPartPr>
        <w:name w:val="{a6c60d8e-e5d2-446c-b758-15a739329893}"/>
        <w:category>
          <w:name w:val="常规"/>
          <w:gallery w:val="placeholder"/>
        </w:category>
        <w:types>
          <w:type w:val="bbPlcHdr"/>
        </w:types>
        <w:behaviors>
          <w:behavior w:val="content"/>
        </w:behaviors>
        <w:guid w:val="{A6C60D8E-E5D2-446C-B758-15A739329893}"/>
      </w:docPartPr>
      <w:docPartBody>
        <w:p>
          <w:r>
            <w:rPr>
              <w:color w:val="808080"/>
            </w:rPr>
            <w:t>单击此处输入文字。</w:t>
          </w:r>
        </w:p>
      </w:docPartBody>
    </w:docPart>
    <w:docPart>
      <w:docPartPr>
        <w:name w:val="{41b39469-2d24-4c51-a6a7-9ff9db53ca58}"/>
        <w:category>
          <w:name w:val="常规"/>
          <w:gallery w:val="placeholder"/>
        </w:category>
        <w:types>
          <w:type w:val="bbPlcHdr"/>
        </w:types>
        <w:behaviors>
          <w:behavior w:val="content"/>
        </w:behaviors>
        <w:guid w:val="{41B39469-2D24-4C51-A6A7-9FF9DB53CA58}"/>
      </w:docPartPr>
      <w:docPartBody>
        <w:p>
          <w:r>
            <w:rPr>
              <w:color w:val="808080"/>
            </w:rPr>
            <w:t>单击此处输入文字。</w:t>
          </w:r>
        </w:p>
      </w:docPartBody>
    </w:docPart>
    <w:docPart>
      <w:docPartPr>
        <w:name w:val="{fd7c56f6-3781-4f80-b5ed-e5145bdc4a1c}"/>
        <w:category>
          <w:name w:val="常规"/>
          <w:gallery w:val="placeholder"/>
        </w:category>
        <w:types>
          <w:type w:val="bbPlcHdr"/>
        </w:types>
        <w:behaviors>
          <w:behavior w:val="content"/>
        </w:behaviors>
        <w:guid w:val="{FD7C56F6-3781-4F80-B5ED-E5145BDC4A1C}"/>
      </w:docPartPr>
      <w:docPartBody>
        <w:p>
          <w:r>
            <w:rPr>
              <w:color w:val="808080"/>
            </w:rPr>
            <w:t>单击此处输入文字。</w:t>
          </w:r>
        </w:p>
      </w:docPartBody>
    </w:docPart>
    <w:docPart>
      <w:docPartPr>
        <w:name w:val="{4bc3a9b2-8509-4c4a-9460-d03bb2f4a9ea}"/>
        <w:category>
          <w:name w:val="常规"/>
          <w:gallery w:val="placeholder"/>
        </w:category>
        <w:types>
          <w:type w:val="bbPlcHdr"/>
        </w:types>
        <w:behaviors>
          <w:behavior w:val="content"/>
        </w:behaviors>
        <w:guid w:val="{4BC3A9B2-8509-4C4A-9460-D03BB2F4A9EA}"/>
      </w:docPartPr>
      <w:docPartBody>
        <w:p>
          <w:r>
            <w:rPr>
              <w:color w:val="808080"/>
            </w:rPr>
            <w:t>单击此处输入文字。</w:t>
          </w:r>
        </w:p>
      </w:docPartBody>
    </w:docPart>
    <w:docPart>
      <w:docPartPr>
        <w:name w:val="{063f96eb-e5e4-427d-8ab9-36de900679cf}"/>
        <w:category>
          <w:name w:val="常规"/>
          <w:gallery w:val="placeholder"/>
        </w:category>
        <w:types>
          <w:type w:val="bbPlcHdr"/>
        </w:types>
        <w:behaviors>
          <w:behavior w:val="content"/>
        </w:behaviors>
        <w:guid w:val="{063F96EB-E5E4-427D-8AB9-36DE900679CF}"/>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splitPgBreakAndParaMark/>
    <w:compatSetting w:name="compatibilityMode" w:uri="http://schemas.microsoft.com/office/word" w:val="14"/>
  </w:compat>
  <w:rsids>
    <w:rsidRoot w:val="0000000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x005502</dc:creator>
  <cp:lastModifiedBy>。。。</cp:lastModifiedBy>
  <cp:revision>1</cp:revision>
  <dcterms:created xsi:type="dcterms:W3CDTF">2019-04-29T07:04:00Z</dcterms:created>
  <dcterms:modified xsi:type="dcterms:W3CDTF">2019-05-09T03:41:32Z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y fmtid="{D5CDD505-2E9C-101B-9397-08002B2CF9AE}" pid="3" name="KSORubyTemplateID" linkTarget="0">
    <vt:lpwstr>6</vt:lpwstr>
  </property>
</Properties>
</file>