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framePr w:w="9639" w:h="624" w:hRule="exact" w:hSpace="181" w:vSpace="181" w:wrap="around" w:vAnchor="page" w:hAnchor="page" w:x="1419" w:y="2286" w:anchorLock="1"/>
        <w:spacing w:after="240" w:line="560" w:lineRule="exact"/>
        <w:ind w:right="28"/>
        <w:jc w:val="center"/>
        <w:rPr>
          <w:rFonts w:ascii="Times New Roman" w:eastAsia="黑体" w:hAnsi="Times New Roman"/>
          <w:w w:val="140"/>
          <w:sz w:val="52"/>
          <w:szCs w:val="20"/>
        </w:rPr>
      </w:pPr>
      <w:r>
        <w:rPr>
          <w:rFonts w:ascii="Times New Roman" w:eastAsia="黑体" w:hAnsi="Times New Roman" w:hint="eastAsia"/>
          <w:w w:val="140"/>
          <w:sz w:val="52"/>
          <w:szCs w:val="20"/>
        </w:rPr>
        <w:t>中国轻工业联合会团体标准</w:t>
      </w:r>
    </w:p>
    <w:p>
      <w:pPr>
        <w:framePr w:w="9140" w:h="1242" w:hRule="exact" w:hSpace="284" w:wrap="around" w:vAnchor="page" w:hAnchor="page" w:x="1645" w:y="2910" w:anchorLock="1"/>
        <w:widowControl/>
        <w:spacing w:before="357" w:line="280" w:lineRule="exact"/>
        <w:jc w:val="right"/>
        <w:rPr>
          <w:rFonts w:ascii="黑体" w:eastAsia="黑体" w:hAnsi="黑体"/>
          <w:kern w:val="0"/>
          <w:sz w:val="28"/>
          <w:szCs w:val="28"/>
        </w:rPr>
      </w:pPr>
      <w:r>
        <w:rPr>
          <w:rFonts w:ascii="Times New Roman" w:eastAsia="黑体" w:hAnsi="Times New Roman"/>
          <w:b/>
          <w:kern w:val="0"/>
          <w:sz w:val="28"/>
          <w:szCs w:val="28"/>
        </w:rPr>
        <w:t>T/CNLIC</w:t>
      </w:r>
      <w:r>
        <w:rPr>
          <w:rFonts w:ascii="黑体" w:eastAsia="黑体" w:hAnsi="黑体" w:hint="eastAsia"/>
          <w:kern w:val="0"/>
          <w:sz w:val="28"/>
          <w:szCs w:val="28"/>
        </w:rPr>
        <w:t xml:space="preserve"> </w:t>
      </w:r>
      <w:r>
        <w:rPr>
          <w:rFonts w:ascii="Arial Narrow" w:eastAsia="黑体" w:hAnsi="Arial Narrow"/>
          <w:kern w:val="0"/>
          <w:sz w:val="28"/>
          <w:szCs w:val="28"/>
        </w:rPr>
        <w:t>XXXX—</w:t>
      </w:r>
      <w:bookmarkStart w:id="0" w:name="StdNo2"/>
      <w:r>
        <w:rPr>
          <w:rFonts w:ascii="Arial Narrow" w:eastAsia="黑体" w:hAnsi="Arial Narrow"/>
          <w:kern w:val="0"/>
          <w:sz w:val="28"/>
          <w:szCs w:val="28"/>
        </w:rPr>
        <w:fldChar w:fldCharType="begin">
          <w:ffData>
            <w:name w:val="StdNo2"/>
            <w:enabled/>
            <w:calcOnExit w:val="0"/>
            <w:textInput>
              <w:default w:val="XXXX"/>
              <w:maxLength w:val="4"/>
            </w:textInput>
          </w:ffData>
        </w:fldChar>
      </w:r>
      <w:r>
        <w:rPr>
          <w:rFonts w:ascii="Arial Narrow" w:eastAsia="黑体" w:hAnsi="Arial Narrow"/>
          <w:kern w:val="0"/>
          <w:sz w:val="28"/>
          <w:szCs w:val="28"/>
        </w:rPr>
        <w:instrText xml:space="preserve"> FORMTEXT </w:instrText>
      </w:r>
      <w:r>
        <w:rPr>
          <w:rFonts w:ascii="Arial Narrow" w:eastAsia="黑体" w:hAnsi="Arial Narrow"/>
          <w:kern w:val="0"/>
          <w:sz w:val="28"/>
          <w:szCs w:val="28"/>
        </w:rPr>
        <w:fldChar w:fldCharType="separate"/>
      </w:r>
      <w:r>
        <w:rPr>
          <w:rFonts w:ascii="Arial Narrow" w:eastAsia="黑体" w:hAnsi="Arial Narrow"/>
          <w:kern w:val="0"/>
          <w:sz w:val="28"/>
          <w:szCs w:val="28"/>
        </w:rPr>
        <w:t>XXXX</w:t>
      </w:r>
      <w:r>
        <w:rPr>
          <w:rFonts w:ascii="Arial Narrow" w:eastAsia="黑体" w:hAnsi="Arial Narrow"/>
          <w:kern w:val="0"/>
          <w:sz w:val="28"/>
          <w:szCs w:val="28"/>
        </w:rPr>
        <w:fldChar w:fldCharType="end"/>
      </w:r>
      <w:bookmarkEnd w:id="0"/>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9356"/>
      </w:tblGrid>
      <w:tr>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c>
          <w:tcPr>
            <w:tcW w:w="9356" w:type="dxa"/>
            <w:tcBorders>
              <w:top w:val="nil"/>
              <w:left w:val="nil"/>
              <w:bottom w:val="nil"/>
              <w:right w:val="nil"/>
            </w:tcBorders>
          </w:tcPr>
          <w:p>
            <w:pPr>
              <w:framePr w:w="9140" w:h="1242" w:hRule="exact" w:hSpace="284" w:wrap="around" w:vAnchor="page" w:hAnchor="page" w:x="1645" w:y="2910" w:anchorLock="1"/>
              <w:widowControl/>
              <w:spacing w:before="57" w:line="280" w:lineRule="exact"/>
              <w:jc w:val="right"/>
              <w:rPr>
                <w:rFonts w:ascii="宋体" w:hAnsi="宋体"/>
                <w:kern w:val="0"/>
                <w:szCs w:val="21"/>
              </w:rPr>
            </w:pPr>
            <w:bookmarkStart w:id="1" w:name="DT"/>
            <w:r>
              <w:rPr>
                <w:rFonts w:ascii="宋体" w:hAnsi="宋体"/>
                <w:kern w:val="0"/>
                <w:szCs w:val="21"/>
              </w:rPr>
              <w:pict>
                <v:rect id="矩形 3" o:spid="_x0000_s1025" style="width:90pt;height:18pt;margin-top:119.8pt;margin-left:372.8pt;mso-wrap-style:square;position:absolute;z-index:-251658240" stroked="f">
                  <v:stroke linestyle="single"/>
                </v:rect>
              </w:pict>
            </w:r>
            <w:bookmarkEnd w:id="1"/>
          </w:p>
        </w:tc>
      </w:tr>
    </w:tbl>
    <w:p>
      <w:pPr>
        <w:framePr w:w="9140" w:h="1242" w:hRule="exact" w:hSpace="284" w:wrap="around" w:vAnchor="page" w:hAnchor="page" w:x="1645" w:y="2910" w:anchorLock="1"/>
        <w:widowControl/>
        <w:spacing w:before="357" w:line="280" w:lineRule="exact"/>
        <w:jc w:val="right"/>
        <w:rPr>
          <w:rFonts w:ascii="宋体" w:hAnsi="宋体"/>
          <w:kern w:val="0"/>
          <w:sz w:val="28"/>
          <w:szCs w:val="28"/>
        </w:rPr>
      </w:pPr>
    </w:p>
    <w:p>
      <w:pPr>
        <w:framePr w:w="9140" w:h="1242" w:hRule="exact" w:hSpace="284" w:wrap="around" w:vAnchor="page" w:hAnchor="page" w:x="1645" w:y="2910" w:anchorLock="1"/>
        <w:widowControl/>
        <w:spacing w:before="357" w:line="280" w:lineRule="exact"/>
        <w:jc w:val="right"/>
        <w:rPr>
          <w:rFonts w:ascii="宋体" w:hAnsi="宋体"/>
          <w:kern w:val="0"/>
          <w:sz w:val="28"/>
          <w:szCs w:val="28"/>
        </w:rPr>
      </w:pPr>
    </w:p>
    <w:p>
      <w:pPr>
        <w:framePr w:w="9639" w:h="6917" w:hRule="exact" w:wrap="around" w:vAnchor="page" w:hAnchor="page" w:xAlign="center" w:y="6408" w:anchorLock="1"/>
        <w:jc w:val="center"/>
        <w:rPr>
          <w:rFonts w:ascii="黑体" w:eastAsia="黑体"/>
          <w:spacing w:val="-6"/>
          <w:sz w:val="52"/>
          <w:szCs w:val="52"/>
        </w:rPr>
      </w:pPr>
      <w:r>
        <w:rPr>
          <w:rFonts w:ascii="黑体" w:eastAsia="黑体" w:hint="eastAsia"/>
          <w:spacing w:val="-6"/>
          <w:sz w:val="52"/>
          <w:szCs w:val="52"/>
        </w:rPr>
        <w:t xml:space="preserve">绿色设计产品评价技术规范 </w:t>
      </w:r>
    </w:p>
    <w:p>
      <w:pPr>
        <w:framePr w:w="9639" w:h="6917" w:hRule="exact" w:wrap="around" w:vAnchor="page" w:hAnchor="page" w:xAlign="center" w:y="6408" w:anchorLock="1"/>
        <w:jc w:val="center"/>
        <w:rPr>
          <w:rFonts w:ascii="黑体" w:eastAsia="黑体" w:hAnsi="黑体" w:cs="黑体" w:hint="eastAsia"/>
          <w:spacing w:val="-6"/>
          <w:sz w:val="52"/>
          <w:szCs w:val="52"/>
        </w:rPr>
      </w:pPr>
      <w:r>
        <w:rPr>
          <w:rFonts w:ascii="黑体" w:eastAsia="黑体" w:hAnsi="黑体" w:cs="黑体" w:hint="eastAsia"/>
          <w:sz w:val="52"/>
          <w:szCs w:val="52"/>
          <w:lang w:val="zh-CN"/>
        </w:rPr>
        <w:t>水性超细纤维聚氨酯合成革</w:t>
      </w:r>
    </w:p>
    <w:p>
      <w:pPr>
        <w:pStyle w:val="a4"/>
        <w:framePr w:w="9639" w:h="6917" w:hRule="exact" w:wrap="around" w:vAnchor="page" w:hAnchor="page" w:xAlign="center" w:y="6408" w:anchorLock="1"/>
        <w:ind w:firstLine="140" w:firstLineChars="50"/>
        <w:rPr>
          <w:rStyle w:val="high-light-bg4"/>
          <w:rFonts w:hAnsi="黑体" w:cs="黑体" w:hint="eastAsia"/>
          <w:b w:val="0"/>
          <w:bCs/>
          <w:sz w:val="28"/>
          <w:szCs w:val="28"/>
        </w:rPr>
      </w:pPr>
      <w:r>
        <w:rPr>
          <w:rStyle w:val="high-light-bg4"/>
          <w:rFonts w:ascii="黑体" w:eastAsia="黑体" w:hAnsi="黑体" w:cs="黑体" w:hint="eastAsia"/>
          <w:b w:val="0"/>
          <w:bCs/>
          <w:sz w:val="28"/>
          <w:szCs w:val="28"/>
        </w:rPr>
        <w:t>Technical specification for green</w:t>
      </w:r>
      <w:r>
        <w:rPr>
          <w:rStyle w:val="high-light-bg4"/>
          <w:rFonts w:ascii="黑体" w:eastAsia="黑体" w:hAnsi="黑体" w:cs="黑体" w:hint="eastAsia"/>
          <w:b w:val="0"/>
          <w:bCs/>
          <w:sz w:val="28"/>
          <w:szCs w:val="28"/>
        </w:rPr>
        <w:t>‒</w:t>
      </w:r>
      <w:r>
        <w:rPr>
          <w:rStyle w:val="high-light-bg4"/>
          <w:rFonts w:ascii="黑体" w:eastAsia="黑体" w:hAnsi="黑体" w:cs="黑体" w:hint="eastAsia"/>
          <w:b w:val="0"/>
          <w:bCs/>
          <w:sz w:val="28"/>
          <w:szCs w:val="28"/>
        </w:rPr>
        <w:t>design product assessment</w:t>
      </w:r>
    </w:p>
    <w:p>
      <w:pPr>
        <w:pStyle w:val="a4"/>
        <w:framePr w:w="9639" w:h="6917" w:hRule="exact" w:wrap="around" w:vAnchor="page" w:hAnchor="page" w:xAlign="center" w:y="6408" w:anchorLock="1"/>
        <w:ind w:firstLine="140" w:firstLineChars="50"/>
        <w:rPr>
          <w:rStyle w:val="high-light-bg4"/>
          <w:rFonts w:hAnsi="黑体" w:cs="黑体" w:hint="eastAsia"/>
          <w:b/>
          <w:sz w:val="28"/>
          <w:szCs w:val="28"/>
        </w:rPr>
      </w:pPr>
      <w:r>
        <w:rPr>
          <w:rStyle w:val="high-light-bg4"/>
          <w:rFonts w:ascii="黑体" w:eastAsia="黑体" w:hAnsi="黑体" w:cs="黑体" w:hint="eastAsia"/>
          <w:b/>
          <w:sz w:val="28"/>
          <w:szCs w:val="28"/>
        </w:rPr>
        <w:t>—</w:t>
      </w:r>
      <w:r>
        <w:rPr>
          <w:rFonts w:ascii="黑体" w:eastAsia="黑体" w:hAnsi="黑体" w:cs="黑体" w:hint="eastAsia"/>
          <w:sz w:val="28"/>
          <w:szCs w:val="28"/>
        </w:rPr>
        <w:t>Waterborne polyurethane microfibre synthetic leather</w:t>
      </w:r>
    </w:p>
    <w:p>
      <w:pPr>
        <w:framePr w:w="9639" w:h="6917" w:hRule="exact" w:wrap="around" w:vAnchor="page" w:hAnchor="page" w:xAlign="center" w:y="6408" w:anchorLock="1"/>
        <w:spacing w:before="370" w:line="400" w:lineRule="exact"/>
        <w:jc w:val="center"/>
        <w:textAlignment w:val="center"/>
        <w:rPr>
          <w:rFonts w:ascii="宋体" w:hAnsi="宋体"/>
          <w:kern w:val="0"/>
          <w:sz w:val="28"/>
          <w:szCs w:val="28"/>
        </w:rPr>
      </w:pPr>
    </w:p>
    <w:p>
      <w:pPr>
        <w:framePr w:w="9639" w:h="6917" w:hRule="exact" w:wrap="around" w:vAnchor="page" w:hAnchor="page" w:xAlign="center" w:y="6408" w:anchorLock="1"/>
        <w:spacing w:before="370" w:line="400" w:lineRule="exact"/>
        <w:jc w:val="center"/>
        <w:textAlignment w:val="center"/>
        <w:rPr>
          <w:rFonts w:ascii="宋体" w:hAnsi="宋体"/>
          <w:kern w:val="0"/>
          <w:sz w:val="28"/>
          <w:szCs w:val="28"/>
        </w:rPr>
      </w:pPr>
      <w:r>
        <w:rPr>
          <w:rFonts w:ascii="宋体" w:hAnsi="宋体" w:hint="eastAsia"/>
          <w:kern w:val="0"/>
          <w:sz w:val="28"/>
          <w:szCs w:val="28"/>
        </w:rPr>
        <w:t>(</w:t>
      </w:r>
      <w:r>
        <w:rPr>
          <w:rFonts w:ascii="宋体" w:hAnsi="宋体" w:hint="eastAsia"/>
          <w:kern w:val="0"/>
          <w:sz w:val="28"/>
          <w:szCs w:val="28"/>
          <w:lang w:eastAsia="zh-CN"/>
        </w:rPr>
        <w:t>征求意见</w:t>
      </w:r>
      <w:r>
        <w:rPr>
          <w:rFonts w:ascii="宋体" w:hAnsi="宋体" w:hint="eastAsia"/>
          <w:kern w:val="0"/>
          <w:sz w:val="28"/>
          <w:szCs w:val="28"/>
        </w:rPr>
        <w:t>稿）</w:t>
      </w:r>
    </w:p>
    <w:bookmarkStart w:id="2" w:name="FY"/>
    <w:p>
      <w:pPr>
        <w:framePr w:w="3997" w:h="471" w:hRule="exact" w:vSpace="181" w:wrap="around" w:vAnchor="page" w:hAnchor="page" w:x="1419" w:y="14097" w:anchorLock="1"/>
        <w:widowControl/>
        <w:jc w:val="left"/>
        <w:rPr>
          <w:rFonts w:ascii="黑体" w:eastAsia="黑体" w:hAnsi="黑体"/>
          <w:kern w:val="0"/>
          <w:sz w:val="28"/>
          <w:szCs w:val="20"/>
        </w:rPr>
      </w:pPr>
      <w:r>
        <w:rPr>
          <w:rFonts w:ascii="黑体" w:eastAsia="黑体" w:hAnsi="黑体"/>
          <w:kern w:val="0"/>
          <w:sz w:val="28"/>
          <w:szCs w:val="20"/>
        </w:rPr>
        <w:fldChar w:fldCharType="begin">
          <w:ffData>
            <w:name w:val="FY"/>
            <w:enabled/>
            <w:calcOnExit w:val="0"/>
            <w:entryMacro w:val="ShowHelp8"/>
            <w:textInput>
              <w:default w:val="XXXX"/>
              <w:maxLength w:val="4"/>
            </w:textInput>
          </w:ffData>
        </w:fldChar>
      </w:r>
      <w:r>
        <w:rPr>
          <w:rFonts w:ascii="黑体" w:eastAsia="黑体" w:hAnsi="黑体"/>
          <w:kern w:val="0"/>
          <w:sz w:val="28"/>
          <w:szCs w:val="20"/>
        </w:rPr>
        <w:instrText xml:space="preserve"> FORMTEXT </w:instrText>
      </w:r>
      <w:r>
        <w:rPr>
          <w:rFonts w:ascii="黑体" w:eastAsia="黑体" w:hAnsi="黑体"/>
          <w:kern w:val="0"/>
          <w:sz w:val="28"/>
          <w:szCs w:val="20"/>
        </w:rPr>
        <w:fldChar w:fldCharType="separate"/>
      </w:r>
      <w:r>
        <w:rPr>
          <w:rFonts w:ascii="黑体" w:eastAsia="黑体" w:hAnsi="黑体"/>
          <w:kern w:val="0"/>
          <w:sz w:val="28"/>
          <w:szCs w:val="20"/>
        </w:rPr>
        <w:t>XXXX</w:t>
      </w:r>
      <w:r>
        <w:rPr>
          <w:rFonts w:ascii="黑体" w:eastAsia="黑体" w:hAnsi="黑体"/>
          <w:kern w:val="0"/>
          <w:sz w:val="28"/>
          <w:szCs w:val="20"/>
        </w:rPr>
        <w:fldChar w:fldCharType="end"/>
      </w:r>
      <w:bookmarkEnd w:id="2"/>
      <w:r>
        <w:rPr>
          <w:rFonts w:ascii="黑体" w:eastAsia="黑体" w:hAnsi="黑体"/>
          <w:kern w:val="0"/>
          <w:sz w:val="28"/>
          <w:szCs w:val="20"/>
        </w:rPr>
        <w:t xml:space="preserve"> - </w:t>
      </w:r>
      <w:bookmarkStart w:id="3" w:name="FM"/>
      <w:r>
        <w:rPr>
          <w:rFonts w:ascii="黑体" w:eastAsia="黑体" w:hAnsi="黑体"/>
          <w:kern w:val="0"/>
          <w:sz w:val="28"/>
          <w:szCs w:val="20"/>
        </w:rPr>
        <w:fldChar w:fldCharType="begin">
          <w:ffData>
            <w:name w:val="FM"/>
            <w:enabled/>
            <w:calcOnExit w:val="0"/>
            <w:entryMacro w:val="ShowHelp8"/>
            <w:textInput>
              <w:default w:val="XX"/>
              <w:maxLength w:val="2"/>
            </w:textInput>
          </w:ffData>
        </w:fldChar>
      </w:r>
      <w:r>
        <w:rPr>
          <w:rFonts w:ascii="黑体" w:eastAsia="黑体" w:hAnsi="黑体"/>
          <w:kern w:val="0"/>
          <w:sz w:val="28"/>
          <w:szCs w:val="20"/>
        </w:rPr>
        <w:instrText xml:space="preserve"> FORMTEXT </w:instrText>
      </w:r>
      <w:r>
        <w:rPr>
          <w:rFonts w:ascii="黑体" w:eastAsia="黑体" w:hAnsi="黑体"/>
          <w:kern w:val="0"/>
          <w:sz w:val="28"/>
          <w:szCs w:val="20"/>
        </w:rPr>
        <w:fldChar w:fldCharType="separate"/>
      </w:r>
      <w:r>
        <w:rPr>
          <w:rFonts w:ascii="黑体" w:eastAsia="黑体" w:hAnsi="黑体"/>
          <w:kern w:val="0"/>
          <w:sz w:val="28"/>
          <w:szCs w:val="20"/>
        </w:rPr>
        <w:t>XX</w:t>
      </w:r>
      <w:r>
        <w:rPr>
          <w:rFonts w:ascii="黑体" w:eastAsia="黑体" w:hAnsi="黑体"/>
          <w:kern w:val="0"/>
          <w:sz w:val="28"/>
          <w:szCs w:val="20"/>
        </w:rPr>
        <w:fldChar w:fldCharType="end"/>
      </w:r>
      <w:bookmarkEnd w:id="3"/>
      <w:r>
        <w:rPr>
          <w:rFonts w:ascii="黑体" w:eastAsia="黑体" w:hAnsi="黑体"/>
          <w:kern w:val="0"/>
          <w:sz w:val="28"/>
          <w:szCs w:val="20"/>
        </w:rPr>
        <w:t xml:space="preserve"> - </w:t>
      </w:r>
      <w:bookmarkStart w:id="4" w:name="FD"/>
      <w:r>
        <w:rPr>
          <w:rFonts w:ascii="黑体" w:eastAsia="黑体" w:hAnsi="黑体"/>
          <w:kern w:val="0"/>
          <w:sz w:val="28"/>
          <w:szCs w:val="20"/>
        </w:rPr>
        <w:fldChar w:fldCharType="begin">
          <w:ffData>
            <w:name w:val="FD"/>
            <w:enabled/>
            <w:calcOnExit w:val="0"/>
            <w:entryMacro w:val="ShowHelp8"/>
            <w:textInput>
              <w:default w:val="XX"/>
              <w:maxLength w:val="2"/>
            </w:textInput>
          </w:ffData>
        </w:fldChar>
      </w:r>
      <w:r>
        <w:rPr>
          <w:rFonts w:ascii="黑体" w:eastAsia="黑体" w:hAnsi="黑体"/>
          <w:kern w:val="0"/>
          <w:sz w:val="28"/>
          <w:szCs w:val="20"/>
        </w:rPr>
        <w:instrText xml:space="preserve"> FORMTEXT </w:instrText>
      </w:r>
      <w:r>
        <w:rPr>
          <w:rFonts w:ascii="黑体" w:eastAsia="黑体" w:hAnsi="黑体"/>
          <w:kern w:val="0"/>
          <w:sz w:val="28"/>
          <w:szCs w:val="20"/>
        </w:rPr>
        <w:fldChar w:fldCharType="separate"/>
      </w:r>
      <w:r>
        <w:rPr>
          <w:rFonts w:ascii="黑体" w:eastAsia="黑体" w:hAnsi="黑体"/>
          <w:kern w:val="0"/>
          <w:sz w:val="28"/>
          <w:szCs w:val="20"/>
        </w:rPr>
        <w:t>XX</w:t>
      </w:r>
      <w:r>
        <w:rPr>
          <w:rFonts w:ascii="黑体" w:eastAsia="黑体" w:hAnsi="黑体"/>
          <w:kern w:val="0"/>
          <w:sz w:val="28"/>
          <w:szCs w:val="20"/>
        </w:rPr>
        <w:fldChar w:fldCharType="end"/>
      </w:r>
      <w:bookmarkEnd w:id="4"/>
      <w:r>
        <w:rPr>
          <w:rFonts w:ascii="黑体" w:eastAsia="黑体" w:hAnsi="黑体" w:hint="eastAsia"/>
          <w:kern w:val="0"/>
          <w:sz w:val="28"/>
          <w:szCs w:val="20"/>
        </w:rPr>
        <w:t>发布</w:t>
      </w:r>
      <w:r>
        <w:rPr>
          <w:rFonts w:ascii="黑体" w:eastAsia="黑体" w:hAnsi="黑体"/>
          <w:kern w:val="0"/>
          <w:sz w:val="28"/>
          <w:szCs w:val="20"/>
        </w:rPr>
        <w:pict>
          <v:line id="直接连接符 2" o:spid="_x0000_s1026" style="mso-position-vertical-relative:page;mso-wrap-style:square;position:absolute;z-index:251659264" from="-0.05pt,728.5pt" to="481.85pt,728.5pt">
            <v:stroke linestyle="single"/>
            <w10:anchorlock/>
          </v:line>
        </w:pict>
      </w:r>
    </w:p>
    <w:bookmarkStart w:id="5" w:name="SY"/>
    <w:p>
      <w:pPr>
        <w:framePr w:w="3997" w:h="471" w:hRule="exact" w:vSpace="181" w:wrap="around" w:vAnchor="page" w:hAnchor="page" w:x="7089" w:y="14097" w:anchorLock="1"/>
        <w:widowControl/>
        <w:jc w:val="right"/>
        <w:rPr>
          <w:rFonts w:ascii="黑体" w:eastAsia="黑体" w:hAnsi="黑体"/>
          <w:kern w:val="0"/>
          <w:sz w:val="28"/>
          <w:szCs w:val="20"/>
        </w:rPr>
      </w:pPr>
      <w:r>
        <w:rPr>
          <w:rFonts w:ascii="黑体" w:eastAsia="黑体" w:hAnsi="黑体"/>
          <w:kern w:val="0"/>
          <w:sz w:val="28"/>
          <w:szCs w:val="20"/>
        </w:rPr>
        <w:fldChar w:fldCharType="begin">
          <w:ffData>
            <w:name w:val="SY"/>
            <w:enabled/>
            <w:calcOnExit w:val="0"/>
            <w:entryMacro w:val="ShowHelp9"/>
            <w:textInput>
              <w:default w:val="XXXX"/>
              <w:maxLength w:val="4"/>
            </w:textInput>
          </w:ffData>
        </w:fldChar>
      </w:r>
      <w:r>
        <w:rPr>
          <w:rFonts w:ascii="黑体" w:eastAsia="黑体" w:hAnsi="黑体"/>
          <w:kern w:val="0"/>
          <w:sz w:val="28"/>
          <w:szCs w:val="20"/>
        </w:rPr>
        <w:instrText xml:space="preserve"> FORMTEXT </w:instrText>
      </w:r>
      <w:r>
        <w:rPr>
          <w:rFonts w:ascii="黑体" w:eastAsia="黑体" w:hAnsi="黑体"/>
          <w:kern w:val="0"/>
          <w:sz w:val="28"/>
          <w:szCs w:val="20"/>
        </w:rPr>
        <w:fldChar w:fldCharType="separate"/>
      </w:r>
      <w:r>
        <w:rPr>
          <w:rFonts w:ascii="黑体" w:eastAsia="黑体" w:hAnsi="黑体"/>
          <w:kern w:val="0"/>
          <w:sz w:val="28"/>
          <w:szCs w:val="20"/>
        </w:rPr>
        <w:t>XXXX</w:t>
      </w:r>
      <w:r>
        <w:rPr>
          <w:rFonts w:ascii="黑体" w:eastAsia="黑体" w:hAnsi="黑体"/>
          <w:kern w:val="0"/>
          <w:sz w:val="28"/>
          <w:szCs w:val="20"/>
        </w:rPr>
        <w:fldChar w:fldCharType="end"/>
      </w:r>
      <w:bookmarkEnd w:id="5"/>
      <w:r>
        <w:rPr>
          <w:rFonts w:ascii="黑体" w:eastAsia="黑体" w:hAnsi="黑体"/>
          <w:kern w:val="0"/>
          <w:sz w:val="28"/>
          <w:szCs w:val="20"/>
        </w:rPr>
        <w:t xml:space="preserve"> - </w:t>
      </w:r>
      <w:bookmarkStart w:id="6" w:name="SM"/>
      <w:r>
        <w:rPr>
          <w:rFonts w:ascii="黑体" w:eastAsia="黑体" w:hAnsi="黑体"/>
          <w:kern w:val="0"/>
          <w:sz w:val="28"/>
          <w:szCs w:val="20"/>
        </w:rPr>
        <w:fldChar w:fldCharType="begin">
          <w:ffData>
            <w:name w:val="SM"/>
            <w:enabled/>
            <w:calcOnExit w:val="0"/>
            <w:entryMacro w:val="ShowHelp9"/>
            <w:textInput>
              <w:default w:val="XX"/>
              <w:maxLength w:val="2"/>
            </w:textInput>
          </w:ffData>
        </w:fldChar>
      </w:r>
      <w:r>
        <w:rPr>
          <w:rFonts w:ascii="黑体" w:eastAsia="黑体" w:hAnsi="黑体"/>
          <w:kern w:val="0"/>
          <w:sz w:val="28"/>
          <w:szCs w:val="20"/>
        </w:rPr>
        <w:instrText xml:space="preserve"> FORMTEXT </w:instrText>
      </w:r>
      <w:r>
        <w:rPr>
          <w:rFonts w:ascii="黑体" w:eastAsia="黑体" w:hAnsi="黑体"/>
          <w:kern w:val="0"/>
          <w:sz w:val="28"/>
          <w:szCs w:val="20"/>
        </w:rPr>
        <w:fldChar w:fldCharType="separate"/>
      </w:r>
      <w:r>
        <w:rPr>
          <w:rFonts w:ascii="黑体" w:eastAsia="黑体" w:hAnsi="黑体"/>
          <w:kern w:val="0"/>
          <w:sz w:val="28"/>
          <w:szCs w:val="20"/>
        </w:rPr>
        <w:t>XX</w:t>
      </w:r>
      <w:r>
        <w:rPr>
          <w:rFonts w:ascii="黑体" w:eastAsia="黑体" w:hAnsi="黑体"/>
          <w:kern w:val="0"/>
          <w:sz w:val="28"/>
          <w:szCs w:val="20"/>
        </w:rPr>
        <w:fldChar w:fldCharType="end"/>
      </w:r>
      <w:bookmarkEnd w:id="6"/>
      <w:r>
        <w:rPr>
          <w:rFonts w:ascii="黑体" w:eastAsia="黑体" w:hAnsi="黑体"/>
          <w:kern w:val="0"/>
          <w:sz w:val="28"/>
          <w:szCs w:val="20"/>
        </w:rPr>
        <w:t xml:space="preserve"> - </w:t>
      </w:r>
      <w:bookmarkStart w:id="7" w:name="SD"/>
      <w:r>
        <w:rPr>
          <w:rFonts w:ascii="黑体" w:eastAsia="黑体" w:hAnsi="黑体"/>
          <w:kern w:val="0"/>
          <w:sz w:val="28"/>
          <w:szCs w:val="20"/>
        </w:rPr>
        <w:fldChar w:fldCharType="begin">
          <w:ffData>
            <w:name w:val="SD"/>
            <w:enabled/>
            <w:calcOnExit w:val="0"/>
            <w:entryMacro w:val="ShowHelp9"/>
            <w:textInput>
              <w:default w:val="XX"/>
              <w:maxLength w:val="2"/>
            </w:textInput>
          </w:ffData>
        </w:fldChar>
      </w:r>
      <w:r>
        <w:rPr>
          <w:rFonts w:ascii="黑体" w:eastAsia="黑体" w:hAnsi="黑体"/>
          <w:kern w:val="0"/>
          <w:sz w:val="28"/>
          <w:szCs w:val="20"/>
        </w:rPr>
        <w:instrText xml:space="preserve"> FORMTEXT </w:instrText>
      </w:r>
      <w:r>
        <w:rPr>
          <w:rFonts w:ascii="黑体" w:eastAsia="黑体" w:hAnsi="黑体"/>
          <w:kern w:val="0"/>
          <w:sz w:val="28"/>
          <w:szCs w:val="20"/>
        </w:rPr>
        <w:fldChar w:fldCharType="separate"/>
      </w:r>
      <w:r>
        <w:rPr>
          <w:rFonts w:ascii="黑体" w:eastAsia="黑体" w:hAnsi="黑体"/>
          <w:kern w:val="0"/>
          <w:sz w:val="28"/>
          <w:szCs w:val="20"/>
        </w:rPr>
        <w:t>XX</w:t>
      </w:r>
      <w:r>
        <w:rPr>
          <w:rFonts w:ascii="黑体" w:eastAsia="黑体" w:hAnsi="黑体"/>
          <w:kern w:val="0"/>
          <w:sz w:val="28"/>
          <w:szCs w:val="20"/>
        </w:rPr>
        <w:fldChar w:fldCharType="end"/>
      </w:r>
      <w:bookmarkEnd w:id="7"/>
      <w:r>
        <w:rPr>
          <w:rFonts w:ascii="黑体" w:eastAsia="黑体" w:hAnsi="黑体" w:hint="eastAsia"/>
          <w:kern w:val="0"/>
          <w:sz w:val="28"/>
          <w:szCs w:val="20"/>
        </w:rPr>
        <w:t>实施</w:t>
      </w:r>
    </w:p>
    <w:p>
      <w:pPr>
        <w:framePr w:w="7938" w:h="1134" w:hRule="exact" w:hSpace="125" w:vSpace="181" w:wrap="around" w:vAnchor="page" w:hAnchor="page" w:x="2150" w:y="14630" w:anchorLock="1"/>
        <w:widowControl/>
        <w:spacing w:before="156" w:beforeLines="50"/>
        <w:jc w:val="center"/>
        <w:rPr>
          <w:rFonts w:ascii="宋体" w:hAnsi="宋体"/>
          <w:spacing w:val="20"/>
          <w:w w:val="135"/>
          <w:kern w:val="0"/>
          <w:sz w:val="28"/>
          <w:szCs w:val="20"/>
        </w:rPr>
      </w:pPr>
      <w:r>
        <w:rPr>
          <w:rFonts w:ascii="黑体" w:eastAsia="黑体" w:hAnsi="黑体" w:hint="eastAsia"/>
          <w:spacing w:val="20"/>
          <w:w w:val="135"/>
          <w:kern w:val="0"/>
          <w:sz w:val="32"/>
          <w:szCs w:val="32"/>
        </w:rPr>
        <w:t xml:space="preserve">中国轻工业联合会 </w:t>
      </w:r>
      <w:r>
        <w:rPr>
          <w:rFonts w:ascii="黑体" w:eastAsia="黑体" w:hAnsi="黑体" w:hint="eastAsia"/>
          <w:spacing w:val="20"/>
          <w:w w:val="135"/>
          <w:kern w:val="0"/>
          <w:sz w:val="28"/>
          <w:szCs w:val="20"/>
        </w:rPr>
        <w:t>发布</w:t>
      </w:r>
    </w:p>
    <w:p>
      <w:pPr>
        <w:widowControl/>
        <w:tabs>
          <w:tab w:val="center" w:pos="4201"/>
          <w:tab w:val="right" w:leader="dot" w:pos="9298"/>
        </w:tabs>
        <w:autoSpaceDE w:val="0"/>
        <w:autoSpaceDN w:val="0"/>
        <w:rPr>
          <w:rFonts w:ascii="宋体" w:hAnsi="宋体" w:hint="eastAsia"/>
          <w:b/>
          <w:bCs/>
          <w:kern w:val="0"/>
          <w:szCs w:val="20"/>
        </w:rPr>
      </w:pPr>
      <w:r>
        <w:rPr>
          <w:rFonts w:ascii="宋体" w:hAnsi="宋体"/>
          <w:b/>
          <w:bCs/>
          <w:kern w:val="0"/>
          <w:szCs w:val="20"/>
        </w:rPr>
        <w:pict>
          <v:line id="直接连接符 1" o:spid="_x0000_s1027" style="mso-wrap-style:square;position:absolute;z-index:251660288" from="-0.05pt,184.25pt" to="481.85pt,184.25pt">
            <v:stroke linestyle="single"/>
          </v:line>
        </w:pict>
      </w:r>
      <w:r>
        <w:rPr>
          <w:rFonts w:ascii="宋体" w:hAnsi="宋体" w:hint="eastAsia"/>
          <w:b/>
          <w:bCs/>
          <w:kern w:val="0"/>
          <w:szCs w:val="20"/>
        </w:rPr>
        <w:t>ICS</w:t>
      </w:r>
      <w:r>
        <w:rPr>
          <w:rFonts w:ascii="宋体" w:hAnsi="宋体" w:hint="eastAsia"/>
          <w:b/>
          <w:bCs/>
          <w:kern w:val="0"/>
          <w:szCs w:val="20"/>
          <w:lang w:val="en-US" w:eastAsia="zh-CN"/>
        </w:rPr>
        <w:t xml:space="preserve"> </w:t>
      </w:r>
      <w:r>
        <w:rPr>
          <w:rFonts w:ascii="宋体" w:hAnsi="宋体" w:hint="eastAsia"/>
          <w:b/>
          <w:bCs/>
          <w:kern w:val="0"/>
          <w:szCs w:val="20"/>
        </w:rPr>
        <w:t>59.080.40</w:t>
      </w:r>
    </w:p>
    <w:p>
      <w:pPr>
        <w:widowControl/>
        <w:tabs>
          <w:tab w:val="center" w:pos="4201"/>
          <w:tab w:val="right" w:leader="dot" w:pos="9298"/>
        </w:tabs>
        <w:autoSpaceDE w:val="0"/>
        <w:autoSpaceDN w:val="0"/>
        <w:rPr>
          <w:rFonts w:ascii="宋体" w:hAnsi="宋体"/>
          <w:b/>
          <w:bCs/>
          <w:kern w:val="0"/>
          <w:szCs w:val="20"/>
        </w:rPr>
        <w:sectPr>
          <w:headerReference w:type="even" r:id="rId4"/>
          <w:headerReference w:type="default" r:id="rId5"/>
          <w:footerReference w:type="even" r:id="rId6"/>
          <w:footerReference w:type="default" r:id="rId7"/>
          <w:headerReference w:type="first" r:id="rId8"/>
          <w:footerReference w:type="first" r:id="rId9"/>
          <w:pgSz w:w="11906" w:h="16838"/>
          <w:pgMar w:top="567" w:right="1134" w:bottom="1134" w:left="1417" w:header="0" w:footer="0" w:gutter="0"/>
          <w:pgNumType w:fmt="upperRoman" w:start="1"/>
          <w:cols w:space="708"/>
          <w:titlePg/>
          <w:docGrid w:type="lines" w:linePitch="312"/>
        </w:sectPr>
      </w:pPr>
      <w:r>
        <w:rPr>
          <w:rFonts w:ascii="宋体" w:hAnsi="宋体" w:hint="eastAsia"/>
          <w:b/>
          <w:bCs/>
          <w:kern w:val="0"/>
          <w:szCs w:val="20"/>
          <w:lang w:val="en-US" w:eastAsia="zh-CN"/>
        </w:rPr>
        <w:t xml:space="preserve">CCS </w:t>
      </w:r>
      <w:r>
        <w:rPr>
          <w:rFonts w:ascii="宋体" w:hAnsi="宋体" w:hint="eastAsia"/>
          <w:b/>
          <w:bCs/>
          <w:kern w:val="0"/>
          <w:szCs w:val="20"/>
        </w:rPr>
        <w:t>Y</w:t>
      </w:r>
      <w:r>
        <w:rPr>
          <w:rFonts w:ascii="宋体" w:hAnsi="宋体" w:hint="eastAsia"/>
          <w:b/>
          <w:bCs/>
          <w:kern w:val="0"/>
          <w:szCs w:val="20"/>
          <w:lang w:val="en-US" w:eastAsia="zh-CN"/>
        </w:rPr>
        <w:t xml:space="preserve"> </w:t>
      </w:r>
      <w:r>
        <w:rPr>
          <w:rFonts w:ascii="宋体" w:hAnsi="宋体" w:hint="eastAsia"/>
          <w:b/>
          <w:bCs/>
          <w:kern w:val="0"/>
          <w:szCs w:val="20"/>
        </w:rPr>
        <w:t>47</w:t>
      </w:r>
    </w:p>
    <w:p>
      <w:pPr>
        <w:adjustRightInd w:val="0"/>
        <w:snapToGrid w:val="0"/>
        <w:spacing w:before="680" w:after="680"/>
        <w:jc w:val="center"/>
        <w:rPr>
          <w:rFonts w:ascii="黑体" w:eastAsia="黑体"/>
          <w:kern w:val="0"/>
          <w:sz w:val="32"/>
          <w:szCs w:val="20"/>
        </w:rPr>
      </w:pPr>
      <w:r>
        <w:rPr>
          <w:rFonts w:ascii="黑体" w:eastAsia="黑体" w:hint="eastAsia"/>
          <w:kern w:val="0"/>
          <w:sz w:val="32"/>
          <w:szCs w:val="20"/>
        </w:rPr>
        <w:t>绿色设计产品评价技术规范  水性</w:t>
      </w:r>
      <w:r>
        <w:rPr>
          <w:rFonts w:ascii="黑体" w:eastAsia="黑体" w:hint="eastAsia"/>
          <w:kern w:val="0"/>
          <w:sz w:val="32"/>
          <w:szCs w:val="20"/>
          <w:lang w:eastAsia="zh-CN"/>
        </w:rPr>
        <w:t>超细纤维聚氨酯</w:t>
      </w:r>
      <w:r>
        <w:rPr>
          <w:rFonts w:ascii="黑体" w:eastAsia="黑体"/>
          <w:kern w:val="0"/>
          <w:sz w:val="32"/>
          <w:szCs w:val="20"/>
        </w:rPr>
        <w:t>合成革</w:t>
      </w:r>
    </w:p>
    <w:p>
      <w:pPr>
        <w:spacing w:before="156" w:beforeLines="50" w:after="156" w:afterLines="50"/>
        <w:outlineLvl w:val="1"/>
        <w:rPr>
          <w:rFonts w:ascii="黑体" w:eastAsia="黑体" w:hAnsi="Times New Roman"/>
          <w:kern w:val="0"/>
          <w:szCs w:val="21"/>
        </w:rPr>
      </w:pPr>
      <w:bookmarkStart w:id="8" w:name="_Toc9416537"/>
      <w:r>
        <w:rPr>
          <w:rFonts w:ascii="黑体" w:eastAsia="黑体" w:hAnsi="Times New Roman" w:hint="eastAsia"/>
          <w:kern w:val="0"/>
          <w:szCs w:val="21"/>
        </w:rPr>
        <w:t>1  范围</w:t>
      </w:r>
      <w:bookmarkEnd w:id="8"/>
    </w:p>
    <w:p>
      <w:pPr>
        <w:ind w:firstLine="420" w:firstLineChars="200"/>
        <w:rPr>
          <w:szCs w:val="21"/>
          <w:lang w:val="zh-CN"/>
        </w:rPr>
      </w:pPr>
      <w:bookmarkStart w:id="9" w:name="_Toc9416538"/>
      <w:r>
        <w:rPr>
          <w:rFonts w:hint="eastAsia"/>
          <w:szCs w:val="21"/>
        </w:rPr>
        <w:t>本</w:t>
      </w:r>
      <w:r>
        <w:rPr>
          <w:rFonts w:hint="eastAsia"/>
          <w:szCs w:val="21"/>
          <w:lang w:val="zh-CN"/>
        </w:rPr>
        <w:t>文件规定了水性超细纤维聚氨酯合成革绿色设计产品的术语和定义、评价原则和方法、评价要求、产品生命周期评价方法及评价报告编制方法、评价结论。</w:t>
      </w:r>
    </w:p>
    <w:p>
      <w:pPr>
        <w:ind w:firstLine="420" w:firstLineChars="200"/>
        <w:rPr>
          <w:szCs w:val="21"/>
          <w:lang w:val="zh-CN"/>
        </w:rPr>
      </w:pPr>
      <w:r>
        <w:rPr>
          <w:rFonts w:hint="eastAsia"/>
          <w:szCs w:val="21"/>
          <w:lang w:val="zh-CN"/>
        </w:rPr>
        <w:t>本文件适用于水性超细纤维聚氨酯合成革绿色设计产品的评价。</w:t>
      </w:r>
    </w:p>
    <w:p>
      <w:pPr>
        <w:spacing w:before="156" w:beforeLines="50" w:after="156" w:afterLines="50"/>
        <w:outlineLvl w:val="1"/>
        <w:rPr>
          <w:rFonts w:ascii="黑体" w:eastAsia="黑体" w:hAnsi="Times New Roman"/>
          <w:kern w:val="0"/>
          <w:szCs w:val="21"/>
        </w:rPr>
      </w:pPr>
      <w:r>
        <w:rPr>
          <w:rFonts w:ascii="黑体" w:eastAsia="黑体" w:hAnsi="Times New Roman" w:hint="eastAsia"/>
          <w:kern w:val="0"/>
          <w:szCs w:val="21"/>
        </w:rPr>
        <w:t>2  规范性引用文件</w:t>
      </w:r>
      <w:bookmarkEnd w:id="9"/>
    </w:p>
    <w:p>
      <w:pPr>
        <w:ind w:firstLine="420" w:firstLineChars="200"/>
        <w:rPr>
          <w:rFonts w:ascii="Times New Roman" w:hAnsi="Times New Roman"/>
          <w:szCs w:val="21"/>
        </w:rPr>
      </w:pPr>
      <w:r>
        <w:rPr>
          <w:rFonts w:ascii="Times New Roman" w:hAnsi="Times New Roman" w:hint="eastAsia"/>
          <w:szCs w:val="21"/>
        </w:rPr>
        <w:t>下列文件对于本文件的应用是必不可少的。凡是注日期的引用文件，仅注日期的版本适用于本文件。凡是不注日期的引用文件，其最新版本（包括所有的修改单）适用于本文件。</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2589  综合能耗计算通则</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2912.1  纺织品  甲醛的测定  第1部分：游离和水解的甲醛（水萃取法）</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7573  纺织品  水萃取液pH值的测定</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18414.1  纺织品  含氯苯酚的测定  第1部分：气相色谱质谱法</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 18597  危险废物贮存污染控制标准</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 18599  一般工业固体废弃物贮存、处置场污染控制标准</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18885－2009  生态纺织品技术要求</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19001  质量管理体系  要求</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20384  纺织品  氯化苯和氯化甲苯残留量的测定</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22930  皮革和毛皮  化学试验  重金属含量的测定</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22932  皮革和毛皮  化学试验  有机锡化合物的测定</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24001  环境管理体系  要求及使用指南</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24040  环境管理  生命周期评价  原则与框架</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24044  环境管理  生命周期评价  要求与指南</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24279  纺织品  禁/限用阻燃剂的测定</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28001  职业健康安全管理体系  要求</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28190－2011  纺织品  富马酸二甲酯的测定</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color w:val="000000"/>
          <w:szCs w:val="21"/>
        </w:rPr>
      </w:pPr>
      <w:r>
        <w:rPr>
          <w:rFonts w:ascii="Times New Roman" w:hAnsi="Times New Roman" w:hint="eastAsia"/>
          <w:color w:val="000000"/>
          <w:szCs w:val="21"/>
        </w:rPr>
        <w:t>GB/T 32161－2015  生态设计产品评价通则</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color w:val="000000"/>
          <w:szCs w:val="21"/>
        </w:rPr>
      </w:pPr>
      <w:r>
        <w:rPr>
          <w:rFonts w:ascii="Times New Roman" w:hAnsi="Times New Roman" w:hint="eastAsia"/>
          <w:color w:val="000000"/>
          <w:szCs w:val="21"/>
        </w:rPr>
        <w:t>GB/T 32162－2015  生态设计产品标识</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 xml:space="preserve">GB/T 33345－2016  </w:t>
      </w:r>
      <w:r>
        <w:rPr>
          <w:rFonts w:ascii="Times New Roman" w:hAnsi="Times New Roman"/>
          <w:szCs w:val="21"/>
        </w:rPr>
        <w:t>电子电气产品中短链氯化石蜡的测定 气相色谱-质谱法</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GB/T 33761－2017  绿色产品评价通则</w:t>
      </w:r>
    </w:p>
    <w:p>
      <w:pPr>
        <w:pStyle w:val="a0"/>
        <w:keepNext w:val="0"/>
        <w:keepLines w:val="0"/>
        <w:pageBreakBefore w:val="0"/>
        <w:tabs>
          <w:tab w:val="center" w:pos="4201"/>
          <w:tab w:val="right" w:leader="dot" w:pos="9298"/>
        </w:tabs>
        <w:kinsoku/>
        <w:wordWrap/>
        <w:overflowPunct/>
        <w:topLinePunct w:val="0"/>
        <w:bidi w:val="0"/>
        <w:adjustRightInd/>
        <w:snapToGrid/>
        <w:spacing w:line="440" w:lineRule="exact"/>
        <w:textAlignment w:val="auto"/>
        <w:sectPr>
          <w:headerReference w:type="even" r:id="rId10"/>
          <w:headerReference w:type="default" r:id="rId11"/>
          <w:footerReference w:type="even" r:id="rId12"/>
          <w:footerReference w:type="default" r:id="rId13"/>
          <w:headerReference w:type="first" r:id="rId14"/>
          <w:footerReference w:type="first" r:id="rId15"/>
          <w:pgSz w:w="11906" w:h="16838"/>
          <w:pgMar w:top="1218" w:right="1134" w:bottom="1134" w:left="1418" w:header="851" w:footer="992" w:gutter="0"/>
          <w:pgNumType w:fmt="numberInDash" w:start="1"/>
          <w:cols w:space="708"/>
          <w:docGrid w:type="lines" w:linePitch="312"/>
        </w:sectPr>
      </w:pPr>
      <w:r>
        <w:rPr>
          <w:rFonts w:ascii="Times New Roman" w:hint="eastAsia"/>
          <w:kern w:val="2"/>
          <w:szCs w:val="21"/>
        </w:rPr>
        <w:t>GB/T 45001</w:t>
      </w:r>
      <w:r>
        <w:rPr>
          <w:rFonts w:hint="eastAsia"/>
        </w:rPr>
        <w:t xml:space="preserve">  职业健康安全管理体系 要求及使用指南</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QB/T 4046－2010  聚氨酯超细纤维合成革通用安全技术条件</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宋体" w:eastAsia="宋体" w:hAnsi="宋体" w:cs="宋体" w:hint="eastAsia"/>
          <w:szCs w:val="21"/>
        </w:rPr>
      </w:pPr>
      <w:r>
        <w:rPr>
          <w:rFonts w:ascii="宋体" w:eastAsia="宋体" w:hAnsi="宋体" w:cs="宋体" w:hint="eastAsia"/>
          <w:szCs w:val="21"/>
          <w:lang w:val="en-US" w:eastAsia="zh-CN"/>
        </w:rPr>
        <w:t>Q</w:t>
      </w:r>
      <w:r>
        <w:rPr>
          <w:rFonts w:ascii="宋体" w:eastAsia="宋体" w:hAnsi="宋体" w:cs="宋体" w:hint="eastAsia"/>
          <w:szCs w:val="21"/>
        </w:rPr>
        <w:t xml:space="preserve">B/T </w:t>
      </w:r>
      <w:r>
        <w:rPr>
          <w:rFonts w:ascii="宋体" w:eastAsia="宋体" w:hAnsi="宋体" w:cs="宋体" w:hint="eastAsia"/>
          <w:szCs w:val="21"/>
          <w:lang w:val="en-US" w:eastAsia="zh-CN"/>
        </w:rPr>
        <w:t>4909</w:t>
      </w:r>
      <w:r>
        <w:rPr>
          <w:rFonts w:ascii="宋体" w:eastAsia="宋体" w:hAnsi="宋体" w:cs="宋体" w:hint="eastAsia"/>
          <w:szCs w:val="21"/>
        </w:rPr>
        <w:t>—</w:t>
      </w:r>
      <w:r>
        <w:rPr>
          <w:rFonts w:ascii="宋体" w:eastAsia="宋体" w:hAnsi="宋体" w:cs="宋体" w:hint="eastAsia"/>
          <w:szCs w:val="21"/>
        </w:rPr>
        <w:t>20</w:t>
      </w:r>
      <w:r>
        <w:rPr>
          <w:rFonts w:ascii="宋体" w:eastAsia="宋体" w:hAnsi="宋体" w:cs="宋体" w:hint="eastAsia"/>
          <w:szCs w:val="21"/>
          <w:lang w:val="en-US" w:eastAsia="zh-CN"/>
        </w:rPr>
        <w:t>16  水性超细纤维聚氨酯合成革</w:t>
      </w:r>
    </w:p>
    <w:p>
      <w:pPr>
        <w:pStyle w:val="a0"/>
        <w:keepNext w:val="0"/>
        <w:keepLines w:val="0"/>
        <w:pageBreakBefore w:val="0"/>
        <w:tabs>
          <w:tab w:val="center" w:pos="4201"/>
          <w:tab w:val="right" w:leader="dot" w:pos="9298"/>
        </w:tabs>
        <w:kinsoku/>
        <w:wordWrap/>
        <w:overflowPunct/>
        <w:topLinePunct w:val="0"/>
        <w:bidi w:val="0"/>
        <w:adjustRightInd/>
        <w:snapToGrid/>
        <w:spacing w:line="440" w:lineRule="exact"/>
        <w:textAlignment w:val="auto"/>
        <w:rPr>
          <w:color w:val="auto"/>
        </w:rPr>
      </w:pPr>
      <w:r>
        <w:rPr>
          <w:rFonts w:hint="eastAsia"/>
          <w:color w:val="auto"/>
        </w:rPr>
        <w:t>QB/T 5354-2018  人造革合成革试验方法 挥发性有机化合物的测定</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QB/T 5158－2017  人造革合成革试验方法  二甲基甲酰胺含量的测定</w:t>
      </w:r>
    </w:p>
    <w:p>
      <w:pPr>
        <w:pStyle w:val="a0"/>
        <w:tabs>
          <w:tab w:val="center" w:pos="4201"/>
          <w:tab w:val="right" w:leader="dot" w:pos="9298"/>
        </w:tabs>
        <w:spacing w:line="380" w:lineRule="exact"/>
        <w:rPr>
          <w:rFonts w:hint="eastAsia"/>
          <w:color w:val="auto"/>
          <w:szCs w:val="21"/>
        </w:rPr>
      </w:pPr>
      <w:r>
        <w:rPr>
          <w:rFonts w:hint="eastAsia"/>
          <w:color w:val="auto"/>
          <w:szCs w:val="21"/>
        </w:rPr>
        <w:t>QB/T 5068-2017  人造革合成革试验方法 成雾性的测定</w:t>
      </w:r>
    </w:p>
    <w:p>
      <w:pPr>
        <w:pStyle w:val="a0"/>
        <w:tabs>
          <w:tab w:val="center" w:pos="4201"/>
          <w:tab w:val="right" w:leader="dot" w:pos="9298"/>
        </w:tabs>
        <w:spacing w:line="380" w:lineRule="exact"/>
        <w:rPr>
          <w:color w:val="auto"/>
        </w:rPr>
      </w:pPr>
      <w:r>
        <w:rPr>
          <w:rFonts w:hAnsi="宋体" w:cs="宋体" w:hint="eastAsia"/>
          <w:color w:val="auto"/>
        </w:rPr>
        <w:t xml:space="preserve">QB/T 5447-2019 </w:t>
      </w:r>
      <w:r>
        <w:rPr>
          <w:rFonts w:hint="eastAsia"/>
          <w:color w:val="auto"/>
        </w:rPr>
        <w:t>人造革合成革试验方法 气味的测定</w:t>
      </w:r>
    </w:p>
    <w:p>
      <w:pPr>
        <w:pStyle w:val="a0"/>
        <w:keepNext w:val="0"/>
        <w:keepLines w:val="0"/>
        <w:pageBreakBefore w:val="0"/>
        <w:tabs>
          <w:tab w:val="center" w:pos="4201"/>
          <w:tab w:val="right" w:leader="dot" w:pos="9298"/>
        </w:tabs>
        <w:kinsoku/>
        <w:wordWrap/>
        <w:overflowPunct/>
        <w:topLinePunct w:val="0"/>
        <w:bidi w:val="0"/>
        <w:adjustRightInd/>
        <w:snapToGrid/>
        <w:spacing w:line="440" w:lineRule="exact"/>
        <w:ind w:left="0" w:firstLine="420" w:leftChars="0" w:firstLineChars="200"/>
        <w:textAlignment w:val="auto"/>
        <w:rPr>
          <w:rFonts w:hint="eastAsia"/>
          <w:color w:val="auto"/>
        </w:rPr>
      </w:pPr>
      <w:r>
        <w:rPr>
          <w:rFonts w:hint="eastAsia"/>
          <w:color w:val="auto"/>
        </w:rPr>
        <w:t>QC/T 944-2013  汽车材料中多溴联苯(PBBs)和多溴二苯醚(PBDEs)的检测方法</w:t>
      </w:r>
    </w:p>
    <w:p>
      <w:pPr>
        <w:keepNext w:val="0"/>
        <w:keepLines w:val="0"/>
        <w:pageBreakBefore w:val="0"/>
        <w:kinsoku/>
        <w:wordWrap/>
        <w:overflowPunct/>
        <w:topLinePunct w:val="0"/>
        <w:bidi w:val="0"/>
        <w:adjustRightInd/>
        <w:snapToGrid/>
        <w:spacing w:line="440" w:lineRule="exact"/>
        <w:ind w:firstLine="420" w:firstLineChars="200"/>
        <w:textAlignment w:val="auto"/>
        <w:rPr>
          <w:rFonts w:ascii="Times New Roman" w:hAnsi="Times New Roman"/>
          <w:szCs w:val="21"/>
        </w:rPr>
      </w:pPr>
      <w:r>
        <w:rPr>
          <w:rFonts w:ascii="Times New Roman" w:hAnsi="Times New Roman" w:hint="eastAsia"/>
          <w:szCs w:val="21"/>
        </w:rPr>
        <w:t>《合成革行业清洁生产评价指标体系》（国家发展改革委、环境保护部、工业和信息化部公告 2016年第21号）</w:t>
      </w:r>
    </w:p>
    <w:p>
      <w:pPr>
        <w:spacing w:before="156" w:beforeLines="50" w:after="156" w:afterLines="50"/>
        <w:outlineLvl w:val="1"/>
        <w:rPr>
          <w:rFonts w:ascii="黑体" w:eastAsia="黑体" w:hAnsi="Times New Roman"/>
          <w:kern w:val="0"/>
          <w:szCs w:val="21"/>
        </w:rPr>
      </w:pPr>
      <w:bookmarkStart w:id="10" w:name="_Toc9416539"/>
      <w:r>
        <w:rPr>
          <w:rFonts w:ascii="黑体" w:eastAsia="黑体" w:hAnsi="Times New Roman" w:hint="eastAsia"/>
          <w:kern w:val="0"/>
          <w:szCs w:val="21"/>
        </w:rPr>
        <w:t>3  术语和定义</w:t>
      </w:r>
      <w:bookmarkEnd w:id="10"/>
    </w:p>
    <w:p>
      <w:pPr>
        <w:ind w:firstLine="420" w:firstLineChars="200"/>
        <w:rPr>
          <w:rFonts w:ascii="Times New Roman" w:hAnsi="Times New Roman"/>
          <w:szCs w:val="21"/>
        </w:rPr>
      </w:pPr>
      <w:r>
        <w:rPr>
          <w:rFonts w:ascii="Times New Roman" w:hAnsi="Times New Roman" w:hint="eastAsia"/>
          <w:szCs w:val="21"/>
        </w:rPr>
        <w:t>GB/T 32161－2015、GB/T 33761－2017等标准中界定的以及下列术语和定义适用于本文件。</w:t>
      </w:r>
    </w:p>
    <w:p>
      <w:pPr>
        <w:rPr>
          <w:rFonts w:ascii="黑体" w:eastAsia="黑体" w:hint="eastAsia"/>
          <w:bCs/>
          <w:szCs w:val="21"/>
        </w:rPr>
      </w:pPr>
      <w:bookmarkStart w:id="11" w:name="_Toc9416540"/>
      <w:r>
        <w:rPr>
          <w:rFonts w:ascii="黑体" w:eastAsia="黑体" w:hint="eastAsia"/>
          <w:bCs/>
          <w:szCs w:val="21"/>
        </w:rPr>
        <w:t>3.1</w:t>
      </w:r>
    </w:p>
    <w:p>
      <w:pPr>
        <w:ind w:firstLine="420" w:firstLineChars="200"/>
        <w:rPr>
          <w:rFonts w:eastAsia="黑体"/>
          <w:b/>
          <w:szCs w:val="21"/>
        </w:rPr>
      </w:pPr>
      <w:r>
        <w:rPr>
          <w:rFonts w:ascii="黑体" w:eastAsia="黑体" w:hAnsi="黑体" w:hint="eastAsia"/>
          <w:szCs w:val="21"/>
        </w:rPr>
        <w:t xml:space="preserve">绿色设计  </w:t>
      </w:r>
      <w:r>
        <w:rPr>
          <w:rFonts w:eastAsia="黑体"/>
          <w:b/>
          <w:szCs w:val="21"/>
        </w:rPr>
        <w:t>green-design</w:t>
      </w:r>
    </w:p>
    <w:p>
      <w:pPr>
        <w:ind w:firstLine="420" w:firstLineChars="200"/>
        <w:rPr>
          <w:rFonts w:ascii="黑体" w:eastAsia="黑体" w:hAnsi="黑体"/>
          <w:szCs w:val="21"/>
        </w:rPr>
      </w:pPr>
      <w:r>
        <w:rPr>
          <w:rFonts w:ascii="黑体" w:eastAsia="黑体" w:hAnsi="黑体"/>
          <w:szCs w:val="21"/>
        </w:rPr>
        <w:t>生态设计</w:t>
      </w:r>
      <w:r>
        <w:rPr>
          <w:rFonts w:ascii="黑体" w:eastAsia="黑体" w:hAnsi="黑体" w:hint="eastAsia"/>
          <w:szCs w:val="21"/>
        </w:rPr>
        <w:t xml:space="preserve"> </w:t>
      </w:r>
      <w:r>
        <w:rPr>
          <w:rFonts w:ascii="黑体" w:eastAsia="黑体" w:hAnsi="黑体"/>
          <w:szCs w:val="21"/>
        </w:rPr>
        <w:t xml:space="preserve"> </w:t>
      </w:r>
      <w:r>
        <w:rPr>
          <w:rFonts w:eastAsia="黑体"/>
          <w:b/>
          <w:szCs w:val="21"/>
        </w:rPr>
        <w:t>eco-design</w:t>
      </w:r>
    </w:p>
    <w:p>
      <w:pPr>
        <w:ind w:firstLine="435"/>
        <w:rPr>
          <w:rFonts w:hint="eastAsia"/>
          <w:szCs w:val="21"/>
        </w:rPr>
      </w:pPr>
      <w:r>
        <w:rPr>
          <w:rFonts w:hint="eastAsia"/>
          <w:szCs w:val="21"/>
        </w:rPr>
        <w:t>按照全生命周期的理念，在产品设计开发阶段系统考虑原材料选用、生产、销售、使用、回收、处理等各个环节对资源环境造成的影响，力求产品在全生命周期中最大限度降低资源消耗、尽可能少用或不用含有有害物质的原材料，减少污染物产生和排放，从而实现环境保护的活动。</w:t>
      </w:r>
    </w:p>
    <w:p>
      <w:pPr>
        <w:ind w:firstLine="435"/>
        <w:rPr>
          <w:rFonts w:ascii="宋体" w:hAnsi="宋体" w:cs="宋体" w:hint="eastAsia"/>
          <w:szCs w:val="21"/>
        </w:rPr>
      </w:pPr>
      <w:r>
        <w:rPr>
          <w:rFonts w:hint="eastAsia"/>
          <w:szCs w:val="21"/>
        </w:rPr>
        <w:t>｛来源：GB/T 32161－2015，3.2</w:t>
      </w:r>
      <w:r>
        <w:rPr>
          <w:rFonts w:ascii="宋体" w:hAnsi="宋体" w:cs="宋体" w:hint="eastAsia"/>
          <w:szCs w:val="21"/>
        </w:rPr>
        <w:t>｝</w:t>
      </w:r>
    </w:p>
    <w:p>
      <w:pPr>
        <w:rPr>
          <w:rFonts w:ascii="黑体" w:eastAsia="黑体" w:hint="eastAsia"/>
          <w:bCs/>
          <w:szCs w:val="21"/>
        </w:rPr>
      </w:pPr>
      <w:r>
        <w:rPr>
          <w:rFonts w:ascii="黑体" w:eastAsia="黑体" w:hint="eastAsia"/>
          <w:bCs/>
          <w:szCs w:val="21"/>
        </w:rPr>
        <w:t>3.2</w:t>
      </w:r>
    </w:p>
    <w:p>
      <w:pPr>
        <w:ind w:firstLine="420" w:firstLineChars="200"/>
        <w:rPr>
          <w:rFonts w:ascii="宋体" w:eastAsia="宋体" w:hAnsi="宋体" w:cs="宋体" w:hint="eastAsia"/>
          <w:b w:val="0"/>
          <w:bCs/>
          <w:szCs w:val="21"/>
        </w:rPr>
      </w:pPr>
      <w:r>
        <w:rPr>
          <w:rFonts w:ascii="黑体" w:eastAsia="黑体" w:hAnsi="黑体" w:hint="eastAsia"/>
          <w:szCs w:val="21"/>
        </w:rPr>
        <w:t xml:space="preserve">绿色设计产品  </w:t>
      </w:r>
      <w:r>
        <w:rPr>
          <w:rFonts w:ascii="宋体" w:eastAsia="宋体" w:hAnsi="宋体" w:cs="宋体" w:hint="eastAsia"/>
          <w:b w:val="0"/>
          <w:bCs/>
          <w:szCs w:val="21"/>
        </w:rPr>
        <w:t>green-design product</w:t>
      </w:r>
    </w:p>
    <w:p>
      <w:pPr>
        <w:ind w:firstLine="420" w:firstLineChars="200"/>
        <w:rPr>
          <w:rFonts w:ascii="黑体" w:eastAsia="黑体" w:hAnsi="黑体"/>
          <w:szCs w:val="21"/>
        </w:rPr>
      </w:pPr>
      <w:r>
        <w:rPr>
          <w:rFonts w:ascii="黑体" w:eastAsia="黑体" w:hAnsi="黑体"/>
          <w:szCs w:val="21"/>
        </w:rPr>
        <w:t>生态设计产品</w:t>
      </w:r>
      <w:r>
        <w:rPr>
          <w:rFonts w:ascii="黑体" w:eastAsia="黑体" w:hAnsi="黑体" w:hint="eastAsia"/>
          <w:szCs w:val="21"/>
        </w:rPr>
        <w:t xml:space="preserve"> </w:t>
      </w:r>
      <w:r>
        <w:rPr>
          <w:rFonts w:ascii="黑体" w:eastAsia="黑体" w:hAnsi="黑体"/>
          <w:szCs w:val="21"/>
        </w:rPr>
        <w:t xml:space="preserve"> </w:t>
      </w:r>
      <w:r>
        <w:rPr>
          <w:rFonts w:eastAsia="黑体"/>
          <w:b/>
          <w:szCs w:val="21"/>
        </w:rPr>
        <w:t>eco- design product</w:t>
      </w:r>
    </w:p>
    <w:p>
      <w:pPr>
        <w:ind w:firstLine="435"/>
        <w:rPr>
          <w:szCs w:val="21"/>
        </w:rPr>
      </w:pPr>
      <w:r>
        <w:rPr>
          <w:rFonts w:hint="eastAsia"/>
          <w:szCs w:val="21"/>
        </w:rPr>
        <w:t>符合绿色设计理念和评价要求的产品。即</w:t>
      </w:r>
      <w:r>
        <w:rPr>
          <w:szCs w:val="21"/>
        </w:rPr>
        <w:t>在原材料获取、产品生产、使用、废弃处置等全生命周期过程中，在技术可行和经济合理的前提下，具有能源消耗少、污染排放低、环境影响小、对人体健康无害、便于回收再利用的符合产品性能和安全要求的产品。</w:t>
      </w:r>
    </w:p>
    <w:p>
      <w:pPr>
        <w:ind w:firstLine="435"/>
        <w:rPr>
          <w:rFonts w:hint="eastAsia"/>
          <w:szCs w:val="21"/>
        </w:rPr>
      </w:pPr>
      <w:r>
        <w:rPr>
          <w:rFonts w:hint="eastAsia"/>
          <w:szCs w:val="21"/>
        </w:rPr>
        <w:t>｛来源：GB/T 32161－2015，3.3，有修改｝</w:t>
      </w:r>
    </w:p>
    <w:p>
      <w:pPr>
        <w:rPr>
          <w:rFonts w:ascii="黑体" w:eastAsia="黑体" w:hAnsi="黑体" w:hint="eastAsia"/>
          <w:szCs w:val="21"/>
        </w:rPr>
      </w:pPr>
      <w:r>
        <w:rPr>
          <w:rFonts w:ascii="黑体" w:eastAsia="黑体" w:hAnsi="黑体" w:hint="eastAsia"/>
          <w:szCs w:val="21"/>
        </w:rPr>
        <w:t>3.3</w:t>
      </w:r>
    </w:p>
    <w:p>
      <w:pPr>
        <w:ind w:firstLine="420" w:firstLineChars="200"/>
        <w:rPr>
          <w:rFonts w:ascii="宋体" w:eastAsia="宋体" w:hAnsi="宋体" w:cs="宋体" w:hint="eastAsia"/>
          <w:b w:val="0"/>
          <w:bCs/>
          <w:szCs w:val="21"/>
        </w:rPr>
      </w:pPr>
      <w:r>
        <w:rPr>
          <w:rFonts w:ascii="黑体" w:eastAsia="黑体" w:hAnsi="黑体" w:hint="eastAsia"/>
          <w:szCs w:val="21"/>
        </w:rPr>
        <w:t xml:space="preserve">评价指标基准值  </w:t>
      </w:r>
      <w:r>
        <w:rPr>
          <w:rFonts w:ascii="宋体" w:eastAsia="宋体" w:hAnsi="宋体" w:cs="宋体" w:hint="eastAsia"/>
          <w:b w:val="0"/>
          <w:bCs/>
          <w:szCs w:val="21"/>
        </w:rPr>
        <w:t>reference value of assessment indicator</w:t>
      </w:r>
    </w:p>
    <w:p>
      <w:pPr>
        <w:ind w:firstLine="435"/>
        <w:rPr>
          <w:rFonts w:hint="eastAsia"/>
          <w:szCs w:val="21"/>
        </w:rPr>
      </w:pPr>
      <w:r>
        <w:rPr>
          <w:rFonts w:hint="eastAsia"/>
          <w:szCs w:val="21"/>
        </w:rPr>
        <w:t>为评价绿色产品而设定的指标参照值。</w:t>
      </w:r>
    </w:p>
    <w:p>
      <w:pPr>
        <w:ind w:firstLine="435"/>
        <w:rPr>
          <w:rFonts w:hint="eastAsia"/>
          <w:szCs w:val="21"/>
        </w:rPr>
      </w:pPr>
      <w:r>
        <w:rPr>
          <w:rFonts w:hint="eastAsia"/>
          <w:szCs w:val="21"/>
        </w:rPr>
        <w:t>｛来源：GB/T 33761－2017，3</w:t>
      </w:r>
      <w:r>
        <w:rPr>
          <w:szCs w:val="21"/>
        </w:rPr>
        <w:t>.2</w:t>
      </w:r>
      <w:r>
        <w:rPr>
          <w:rFonts w:ascii="宋体" w:hAnsi="宋体" w:cs="宋体" w:hint="eastAsia"/>
          <w:szCs w:val="21"/>
        </w:rPr>
        <w:t>｝</w:t>
      </w:r>
    </w:p>
    <w:p>
      <w:pPr>
        <w:rPr>
          <w:rFonts w:ascii="黑体" w:eastAsia="黑体" w:hint="eastAsia"/>
          <w:bCs/>
          <w:szCs w:val="21"/>
        </w:rPr>
      </w:pPr>
      <w:r>
        <w:rPr>
          <w:rFonts w:ascii="黑体" w:eastAsia="黑体" w:hint="eastAsia"/>
          <w:bCs/>
          <w:szCs w:val="21"/>
        </w:rPr>
        <w:t>3.4</w:t>
      </w:r>
    </w:p>
    <w:p>
      <w:pPr>
        <w:ind w:firstLine="420" w:firstLineChars="200"/>
        <w:rPr>
          <w:rFonts w:ascii="宋体" w:eastAsia="宋体" w:hAnsi="宋体" w:cs="宋体" w:hint="eastAsia"/>
          <w:b w:val="0"/>
          <w:bCs/>
          <w:szCs w:val="21"/>
        </w:rPr>
      </w:pPr>
      <w:r>
        <w:rPr>
          <w:rFonts w:ascii="黑体" w:eastAsia="黑体" w:hAnsi="黑体"/>
          <w:szCs w:val="21"/>
        </w:rPr>
        <w:t xml:space="preserve">生命周期  </w:t>
      </w:r>
      <w:r>
        <w:rPr>
          <w:rFonts w:ascii="宋体" w:eastAsia="宋体" w:hAnsi="宋体" w:cs="宋体" w:hint="eastAsia"/>
          <w:b w:val="0"/>
          <w:bCs/>
          <w:szCs w:val="21"/>
        </w:rPr>
        <w:t>life cycle</w:t>
      </w:r>
    </w:p>
    <w:p>
      <w:pPr>
        <w:ind w:firstLine="435"/>
        <w:rPr>
          <w:szCs w:val="21"/>
        </w:rPr>
      </w:pPr>
      <w:r>
        <w:rPr>
          <w:szCs w:val="21"/>
        </w:rPr>
        <w:t>产品系统中前后衔接的一系列阶段，从自然界或从自然资源中获取原材料，直至最终处置。</w:t>
      </w:r>
    </w:p>
    <w:p>
      <w:pPr>
        <w:ind w:firstLine="435"/>
        <w:rPr>
          <w:szCs w:val="21"/>
        </w:rPr>
      </w:pPr>
      <w:r>
        <w:rPr>
          <w:rFonts w:hint="eastAsia"/>
          <w:szCs w:val="21"/>
        </w:rPr>
        <w:t>｛来源：GB/T 24040</w:t>
      </w:r>
      <w:r>
        <w:rPr>
          <w:rFonts w:hint="eastAsia"/>
          <w:szCs w:val="21"/>
        </w:rPr>
        <w:t>—</w:t>
      </w:r>
      <w:r>
        <w:rPr>
          <w:rFonts w:hint="eastAsia"/>
          <w:szCs w:val="21"/>
        </w:rPr>
        <w:t>2008，3</w:t>
      </w:r>
      <w:r>
        <w:rPr>
          <w:szCs w:val="21"/>
        </w:rPr>
        <w:t>.1</w:t>
      </w:r>
      <w:r>
        <w:rPr>
          <w:rFonts w:ascii="宋体" w:hAnsi="宋体" w:cs="宋体" w:hint="eastAsia"/>
          <w:szCs w:val="21"/>
        </w:rPr>
        <w:t>｝</w:t>
      </w:r>
    </w:p>
    <w:p>
      <w:pPr>
        <w:rPr>
          <w:rFonts w:ascii="黑体" w:eastAsia="黑体"/>
          <w:bCs/>
          <w:szCs w:val="21"/>
        </w:rPr>
      </w:pPr>
      <w:r>
        <w:rPr>
          <w:rFonts w:ascii="黑体" w:eastAsia="黑体"/>
          <w:bCs/>
          <w:szCs w:val="21"/>
        </w:rPr>
        <w:t>3.5</w:t>
      </w:r>
    </w:p>
    <w:p>
      <w:pPr>
        <w:ind w:firstLine="420" w:firstLineChars="200"/>
        <w:rPr>
          <w:rFonts w:ascii="宋体" w:eastAsia="宋体" w:hAnsi="宋体" w:cs="宋体" w:hint="eastAsia"/>
          <w:b w:val="0"/>
          <w:bCs/>
          <w:szCs w:val="21"/>
        </w:rPr>
      </w:pPr>
      <w:r>
        <w:rPr>
          <w:rFonts w:ascii="黑体" w:eastAsia="黑体" w:hAnsi="黑体"/>
          <w:szCs w:val="21"/>
        </w:rPr>
        <w:t xml:space="preserve">生命周期评价  </w:t>
      </w:r>
      <w:r>
        <w:rPr>
          <w:rFonts w:ascii="宋体" w:eastAsia="宋体" w:hAnsi="宋体" w:cs="宋体" w:hint="eastAsia"/>
          <w:b w:val="0"/>
          <w:bCs/>
          <w:szCs w:val="21"/>
        </w:rPr>
        <w:t>life cycle assessment</w:t>
      </w:r>
    </w:p>
    <w:p>
      <w:pPr>
        <w:ind w:firstLine="435"/>
        <w:rPr>
          <w:szCs w:val="21"/>
        </w:rPr>
      </w:pPr>
      <w:r>
        <w:rPr>
          <w:szCs w:val="21"/>
        </w:rPr>
        <w:t>对一个产品系统的生命周期中输入</w:t>
      </w:r>
      <w:r>
        <w:rPr>
          <w:rFonts w:hint="eastAsia"/>
          <w:szCs w:val="21"/>
        </w:rPr>
        <w:t>、</w:t>
      </w:r>
      <w:r>
        <w:rPr>
          <w:szCs w:val="21"/>
        </w:rPr>
        <w:t>输出及其潜在环境影响的汇编和评价。</w:t>
      </w:r>
    </w:p>
    <w:p>
      <w:pPr>
        <w:ind w:firstLine="435"/>
        <w:rPr>
          <w:rFonts w:ascii="宋体" w:hAnsi="宋体" w:cs="宋体" w:hint="eastAsia"/>
          <w:szCs w:val="21"/>
        </w:rPr>
      </w:pPr>
      <w:r>
        <w:rPr>
          <w:rFonts w:hint="eastAsia"/>
          <w:szCs w:val="21"/>
        </w:rPr>
        <w:t>｛来源：</w:t>
      </w:r>
      <w:r>
        <w:rPr>
          <w:szCs w:val="21"/>
        </w:rPr>
        <w:t>GB/T 24040—2008</w:t>
      </w:r>
      <w:r>
        <w:rPr>
          <w:rFonts w:hint="eastAsia"/>
          <w:szCs w:val="21"/>
        </w:rPr>
        <w:t>，3</w:t>
      </w:r>
      <w:r>
        <w:rPr>
          <w:szCs w:val="21"/>
        </w:rPr>
        <w:t>.2</w:t>
      </w:r>
      <w:r>
        <w:rPr>
          <w:rFonts w:ascii="宋体" w:hAnsi="宋体" w:cs="宋体" w:hint="eastAsia"/>
          <w:szCs w:val="21"/>
        </w:rPr>
        <w:t>｝</w:t>
      </w:r>
    </w:p>
    <w:p>
      <w:pPr>
        <w:rPr>
          <w:rFonts w:ascii="黑体" w:eastAsia="黑体" w:hAnsi="黑体" w:cs="黑体" w:hint="eastAsia"/>
          <w:szCs w:val="21"/>
        </w:rPr>
      </w:pPr>
      <w:r>
        <w:rPr>
          <w:rFonts w:ascii="黑体" w:eastAsia="黑体" w:hAnsi="黑体" w:cs="黑体" w:hint="eastAsia"/>
          <w:szCs w:val="21"/>
          <w:lang w:val="en-US" w:eastAsia="zh-CN"/>
        </w:rPr>
        <w:t xml:space="preserve">3.6  </w:t>
      </w:r>
    </w:p>
    <w:p>
      <w:pPr>
        <w:ind w:firstLine="420" w:firstLineChars="200"/>
        <w:rPr>
          <w:rFonts w:ascii="宋体" w:eastAsia="宋体" w:hAnsi="宋体" w:cs="宋体" w:hint="eastAsia"/>
          <w:b w:val="0"/>
          <w:bCs w:val="0"/>
          <w:szCs w:val="21"/>
        </w:rPr>
      </w:pPr>
      <w:r>
        <w:rPr>
          <w:rFonts w:ascii="宋体" w:eastAsia="宋体" w:hAnsi="宋体" w:cs="宋体" w:hint="eastAsia"/>
          <w:szCs w:val="21"/>
          <w:lang w:val="en-US" w:eastAsia="zh-CN"/>
        </w:rPr>
        <w:t xml:space="preserve">水性超细纤维聚氨酯合成革 </w:t>
      </w:r>
      <w:r>
        <w:rPr>
          <w:rFonts w:ascii="宋体" w:eastAsia="宋体" w:hAnsi="宋体" w:cs="宋体" w:hint="eastAsia"/>
          <w:b w:val="0"/>
          <w:bCs w:val="0"/>
          <w:sz w:val="21"/>
          <w:szCs w:val="21"/>
        </w:rPr>
        <w:t>Waterborne polyurethane microfibre synthetic leather</w:t>
      </w:r>
    </w:p>
    <w:p>
      <w:pPr>
        <w:pStyle w:val="a0"/>
        <w:tabs>
          <w:tab w:val="center" w:pos="4201"/>
          <w:tab w:val="right" w:leader="dot" w:pos="9298"/>
        </w:tabs>
        <w:spacing w:before="50" w:after="50" w:line="360" w:lineRule="exact"/>
        <w:ind w:firstLine="525" w:firstLineChars="250"/>
        <w:rPr>
          <w:rFonts w:hAnsi="宋体" w:cs="宋体" w:hint="eastAsia"/>
          <w:color w:val="000000"/>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218" w:right="1134" w:bottom="1134" w:left="1418" w:header="851" w:footer="992" w:gutter="0"/>
          <w:pgNumType w:fmt="numberInDash" w:start="2"/>
          <w:cols w:space="708"/>
          <w:titlePg w:val="0"/>
          <w:docGrid w:type="lines" w:linePitch="312"/>
        </w:sectPr>
      </w:pPr>
      <w:r>
        <w:rPr>
          <w:rFonts w:hAnsi="宋体" w:cs="宋体" w:hint="eastAsia"/>
          <w:color w:val="000000"/>
          <w:szCs w:val="21"/>
        </w:rPr>
        <w:t>以水性聚氨酯树脂为主要原料，</w:t>
      </w:r>
      <w:r>
        <w:rPr>
          <w:rFonts w:hAnsi="宋体" w:cs="宋体" w:hint="eastAsia"/>
          <w:color w:val="000000"/>
          <w:szCs w:val="21"/>
          <w:lang w:eastAsia="zh-CN"/>
        </w:rPr>
        <w:t>用</w:t>
      </w:r>
      <w:r>
        <w:rPr>
          <w:rFonts w:hAnsi="宋体" w:cs="宋体" w:hint="eastAsia"/>
          <w:color w:val="000000"/>
          <w:szCs w:val="21"/>
        </w:rPr>
        <w:t>海岛型超细纤维非织造布为底基，经干、湿法等工艺制成的</w:t>
      </w:r>
      <w:r>
        <w:rPr>
          <w:rFonts w:hAnsi="宋体" w:cs="宋体" w:hint="eastAsia"/>
          <w:color w:val="000000"/>
        </w:rPr>
        <w:t>合成革。</w:t>
      </w:r>
    </w:p>
    <w:p>
      <w:pPr>
        <w:ind w:firstLine="435"/>
        <w:rPr>
          <w:rFonts w:ascii="宋体" w:hAnsi="宋体" w:cs="宋体" w:hint="eastAsia"/>
          <w:szCs w:val="21"/>
        </w:rPr>
      </w:pPr>
      <w:r>
        <w:rPr>
          <w:rFonts w:hint="eastAsia"/>
          <w:szCs w:val="21"/>
        </w:rPr>
        <w:t>｛来源：</w:t>
      </w:r>
      <w:r>
        <w:rPr>
          <w:rFonts w:hint="eastAsia"/>
          <w:szCs w:val="21"/>
          <w:lang w:val="en-US" w:eastAsia="zh-CN"/>
        </w:rPr>
        <w:t>Q</w:t>
      </w:r>
      <w:r>
        <w:rPr>
          <w:szCs w:val="21"/>
        </w:rPr>
        <w:t xml:space="preserve">B/T </w:t>
      </w:r>
      <w:r>
        <w:rPr>
          <w:rFonts w:hint="eastAsia"/>
          <w:szCs w:val="21"/>
          <w:lang w:val="en-US" w:eastAsia="zh-CN"/>
        </w:rPr>
        <w:t>4909</w:t>
      </w:r>
      <w:r>
        <w:rPr>
          <w:szCs w:val="21"/>
        </w:rPr>
        <w:t>—20</w:t>
      </w:r>
      <w:r>
        <w:rPr>
          <w:rFonts w:hint="eastAsia"/>
          <w:szCs w:val="21"/>
          <w:lang w:val="en-US" w:eastAsia="zh-CN"/>
        </w:rPr>
        <w:t>16</w:t>
      </w:r>
      <w:r>
        <w:rPr>
          <w:rFonts w:hint="eastAsia"/>
          <w:szCs w:val="21"/>
        </w:rPr>
        <w:t>，</w:t>
      </w:r>
      <w:r>
        <w:rPr>
          <w:rFonts w:hint="eastAsia"/>
          <w:szCs w:val="21"/>
          <w:lang w:val="en-US" w:eastAsia="zh-CN"/>
        </w:rPr>
        <w:t>1</w:t>
      </w:r>
      <w:r>
        <w:rPr>
          <w:rFonts w:ascii="宋体" w:hAnsi="宋体" w:cs="宋体" w:hint="eastAsia"/>
          <w:szCs w:val="21"/>
        </w:rPr>
        <w:t>｝</w:t>
      </w:r>
    </w:p>
    <w:p>
      <w:pPr>
        <w:spacing w:before="156" w:beforeLines="50" w:after="156" w:afterLines="50"/>
        <w:outlineLvl w:val="1"/>
        <w:rPr>
          <w:rFonts w:ascii="黑体" w:eastAsia="黑体" w:hAnsi="Times New Roman"/>
          <w:kern w:val="0"/>
          <w:szCs w:val="21"/>
        </w:rPr>
      </w:pPr>
      <w:r>
        <w:rPr>
          <w:rFonts w:ascii="黑体" w:eastAsia="黑体" w:hAnsi="Times New Roman" w:hint="eastAsia"/>
          <w:kern w:val="0"/>
          <w:szCs w:val="21"/>
        </w:rPr>
        <w:t>4  评价要求</w:t>
      </w:r>
      <w:bookmarkEnd w:id="11"/>
    </w:p>
    <w:p>
      <w:pPr>
        <w:rPr>
          <w:rFonts w:ascii="黑体" w:eastAsia="黑体" w:hAnsi="Times New Roman"/>
          <w:szCs w:val="21"/>
        </w:rPr>
      </w:pPr>
      <w:r>
        <w:rPr>
          <w:rFonts w:ascii="黑体" w:eastAsia="黑体" w:hAnsi="Times New Roman" w:hint="eastAsia"/>
          <w:szCs w:val="21"/>
        </w:rPr>
        <w:t>4.1  基本要求</w:t>
      </w:r>
    </w:p>
    <w:p>
      <w:pPr>
        <w:rPr>
          <w:rFonts w:ascii="Times New Roman" w:hAnsi="Times New Roman"/>
          <w:szCs w:val="21"/>
        </w:rPr>
      </w:pPr>
      <w:r>
        <w:rPr>
          <w:rFonts w:ascii="黑体" w:eastAsia="黑体" w:hint="eastAsia"/>
          <w:bCs/>
          <w:szCs w:val="21"/>
        </w:rPr>
        <w:t xml:space="preserve">4.1.1  </w:t>
      </w:r>
      <w:r>
        <w:rPr>
          <w:rFonts w:ascii="Times New Roman" w:hAnsi="Times New Roman" w:hint="eastAsia"/>
          <w:szCs w:val="21"/>
        </w:rPr>
        <w:t>产品生产企业的污染物排放状况，应符合相关环境保护法律法规，达到国家或地方污染物排放标准的要求，近三年无重大安全事故和重大环境污染事件。</w:t>
      </w:r>
    </w:p>
    <w:p>
      <w:pPr>
        <w:rPr>
          <w:color w:val="FF0000"/>
          <w:szCs w:val="21"/>
        </w:rPr>
      </w:pPr>
      <w:r>
        <w:rPr>
          <w:rFonts w:ascii="黑体" w:eastAsia="黑体" w:hint="eastAsia"/>
          <w:bCs/>
          <w:szCs w:val="21"/>
        </w:rPr>
        <w:t xml:space="preserve">4.1.2  </w:t>
      </w:r>
      <w:r>
        <w:rPr>
          <w:rFonts w:ascii="Times New Roman" w:hAnsi="Times New Roman" w:hint="eastAsia"/>
          <w:szCs w:val="21"/>
        </w:rPr>
        <w:t>企业宜采用国家鼓励的、符合国家产业和技术政策发展方向的先进技术和工艺。不应采用国家或有关部门明确淘汰或禁止的技术、生产工艺、装备及相关物质。</w:t>
      </w:r>
    </w:p>
    <w:p>
      <w:pPr>
        <w:rPr>
          <w:rFonts w:ascii="Times New Roman" w:hAnsi="Times New Roman"/>
          <w:szCs w:val="21"/>
        </w:rPr>
      </w:pPr>
      <w:r>
        <w:rPr>
          <w:rFonts w:ascii="黑体" w:eastAsia="黑体" w:hint="eastAsia"/>
          <w:bCs/>
          <w:szCs w:val="21"/>
        </w:rPr>
        <w:t xml:space="preserve">4.1.3  </w:t>
      </w:r>
      <w:r>
        <w:rPr>
          <w:rFonts w:ascii="Times New Roman" w:hAnsi="Times New Roman" w:hint="eastAsia"/>
          <w:szCs w:val="21"/>
        </w:rPr>
        <w:t>一般固体废弃物的贮存、处置场的建设、运行和污染监管应符合GB 18599的相关规定。危险废物的贮存与污染控制及监管应按照GB 18597的相关规定执行，并应交给持有危险废物经营许可证的单位处理。</w:t>
      </w:r>
    </w:p>
    <w:p>
      <w:pPr>
        <w:pStyle w:val="a0"/>
        <w:tabs>
          <w:tab w:val="center" w:pos="4201"/>
          <w:tab w:val="right" w:leader="dot" w:pos="9298"/>
        </w:tabs>
        <w:ind w:firstLine="0" w:firstLineChars="0"/>
        <w:rPr>
          <w:rFonts w:ascii="Times New Roman"/>
        </w:rPr>
      </w:pPr>
      <w:r>
        <w:rPr>
          <w:rFonts w:ascii="黑体" w:eastAsia="黑体" w:hint="eastAsia"/>
          <w:bCs/>
          <w:szCs w:val="21"/>
        </w:rPr>
        <w:t xml:space="preserve">4.1.4  </w:t>
      </w:r>
      <w:r>
        <w:rPr>
          <w:rFonts w:ascii="Times New Roman"/>
        </w:rPr>
        <w:t>生产企业应按照 GB/T 24001</w:t>
      </w:r>
      <w:r>
        <w:rPr>
          <w:rFonts w:ascii="Times New Roman" w:hint="eastAsia"/>
        </w:rPr>
        <w:t>、</w:t>
      </w:r>
      <w:r>
        <w:rPr>
          <w:rFonts w:ascii="Times New Roman"/>
        </w:rPr>
        <w:t>GB/T 19001 和 GB/T 45001 分别建立并运行环境管理体系</w:t>
      </w:r>
      <w:r>
        <w:rPr>
          <w:rFonts w:ascii="Times New Roman" w:hint="eastAsia"/>
        </w:rPr>
        <w:t>、</w:t>
      </w:r>
      <w:r>
        <w:rPr>
          <w:rFonts w:ascii="Times New Roman"/>
        </w:rPr>
        <w:t>质量管理体系和职业健康安全管理体系；开展能耗、物耗考核并建立考核制度，或按照GB/T 23331建立并运行能源管理体系。</w:t>
      </w:r>
    </w:p>
    <w:p>
      <w:pPr>
        <w:rPr>
          <w:rFonts w:ascii="Times New Roman" w:hAnsi="Times New Roman"/>
          <w:szCs w:val="21"/>
        </w:rPr>
      </w:pPr>
      <w:r>
        <w:rPr>
          <w:rFonts w:ascii="黑体" w:eastAsia="黑体" w:hint="eastAsia"/>
          <w:bCs/>
          <w:szCs w:val="21"/>
        </w:rPr>
        <w:t xml:space="preserve">4.1.5  </w:t>
      </w:r>
      <w:r>
        <w:rPr>
          <w:rFonts w:ascii="Times New Roman" w:hAnsi="Times New Roman" w:hint="eastAsia"/>
          <w:color w:val="000000"/>
          <w:szCs w:val="21"/>
        </w:rPr>
        <w:t>产品质量应</w:t>
      </w:r>
      <w:r>
        <w:rPr>
          <w:rFonts w:hint="eastAsia"/>
          <w:szCs w:val="21"/>
          <w:lang w:val="en-US" w:eastAsia="zh-CN"/>
        </w:rPr>
        <w:t>Q</w:t>
      </w:r>
      <w:r>
        <w:rPr>
          <w:szCs w:val="21"/>
        </w:rPr>
        <w:t xml:space="preserve">B/T </w:t>
      </w:r>
      <w:r>
        <w:rPr>
          <w:rFonts w:hint="eastAsia"/>
          <w:szCs w:val="21"/>
          <w:lang w:val="en-US" w:eastAsia="zh-CN"/>
        </w:rPr>
        <w:t>4909</w:t>
      </w:r>
      <w:r>
        <w:rPr>
          <w:szCs w:val="21"/>
        </w:rPr>
        <w:t>—20</w:t>
      </w:r>
      <w:r>
        <w:rPr>
          <w:rFonts w:hint="eastAsia"/>
          <w:szCs w:val="21"/>
          <w:lang w:val="en-US" w:eastAsia="zh-CN"/>
        </w:rPr>
        <w:t>16</w:t>
      </w:r>
      <w:r>
        <w:rPr>
          <w:rFonts w:ascii="Times New Roman" w:hAnsi="Times New Roman" w:hint="eastAsia"/>
          <w:color w:val="000000"/>
          <w:szCs w:val="21"/>
        </w:rPr>
        <w:t>标准的要求。</w:t>
      </w:r>
    </w:p>
    <w:p>
      <w:pPr>
        <w:rPr>
          <w:rFonts w:ascii="黑体" w:eastAsia="黑体"/>
          <w:bCs/>
          <w:szCs w:val="21"/>
        </w:rPr>
      </w:pPr>
      <w:r>
        <w:rPr>
          <w:rFonts w:ascii="黑体" w:eastAsia="黑体" w:hint="eastAsia"/>
          <w:bCs/>
          <w:szCs w:val="21"/>
        </w:rPr>
        <w:t>4.2  评价指标要求</w:t>
      </w:r>
    </w:p>
    <w:p>
      <w:pPr>
        <w:rPr>
          <w:rFonts w:ascii="黑体" w:eastAsia="黑体"/>
          <w:bCs/>
          <w:szCs w:val="21"/>
        </w:rPr>
      </w:pPr>
      <w:r>
        <w:rPr>
          <w:rFonts w:ascii="黑体" w:eastAsia="黑体" w:hint="eastAsia"/>
          <w:bCs/>
          <w:szCs w:val="21"/>
        </w:rPr>
        <w:t>4.2.1  评价指标分类</w:t>
      </w:r>
    </w:p>
    <w:p>
      <w:pPr>
        <w:ind w:firstLine="420" w:firstLineChars="200"/>
        <w:rPr>
          <w:rFonts w:ascii="Times New Roman" w:hAnsi="Times New Roman"/>
          <w:szCs w:val="21"/>
        </w:rPr>
      </w:pPr>
      <w:r>
        <w:rPr>
          <w:rFonts w:ascii="Times New Roman" w:hAnsi="Times New Roman" w:hint="eastAsia"/>
          <w:szCs w:val="21"/>
        </w:rPr>
        <w:t>评价</w:t>
      </w:r>
      <w:r>
        <w:rPr>
          <w:rFonts w:hint="eastAsia"/>
          <w:szCs w:val="21"/>
          <w:lang w:val="zh-CN"/>
        </w:rPr>
        <w:t>水性超细纤维聚氨酯合成革</w:t>
      </w:r>
      <w:r>
        <w:rPr>
          <w:rFonts w:ascii="Times New Roman" w:hAnsi="Times New Roman" w:hint="eastAsia"/>
          <w:color w:val="000000"/>
          <w:szCs w:val="21"/>
        </w:rPr>
        <w:t>为</w:t>
      </w:r>
      <w:r>
        <w:rPr>
          <w:rFonts w:ascii="Times New Roman" w:hAnsi="Times New Roman" w:hint="eastAsia"/>
          <w:szCs w:val="21"/>
        </w:rPr>
        <w:t>绿色设计产品的特性指标体系由一级指标和二级指标组成。一级指标包括能源属性、资源属性、环境属性和品质属性四类指标。二级指标是四类一级指标中具体评价项目，包括了指标名称、基准值和判定依据等信息。</w:t>
      </w:r>
    </w:p>
    <w:p>
      <w:pPr>
        <w:rPr>
          <w:rFonts w:ascii="黑体" w:eastAsia="黑体"/>
          <w:bCs/>
          <w:szCs w:val="21"/>
        </w:rPr>
      </w:pPr>
      <w:r>
        <w:rPr>
          <w:rFonts w:ascii="黑体" w:eastAsia="黑体" w:hint="eastAsia"/>
          <w:bCs/>
          <w:szCs w:val="21"/>
        </w:rPr>
        <w:t>4.2.2  能源属性指标</w:t>
      </w:r>
    </w:p>
    <w:p>
      <w:pPr>
        <w:ind w:firstLine="420" w:firstLineChars="200"/>
        <w:rPr>
          <w:rFonts w:ascii="宋体" w:hAnsi="宋体"/>
          <w:szCs w:val="21"/>
        </w:rPr>
      </w:pPr>
      <w:r>
        <w:rPr>
          <w:rFonts w:hint="eastAsia"/>
          <w:szCs w:val="21"/>
          <w:lang w:val="zh-CN"/>
        </w:rPr>
        <w:t>水性超细纤维聚氨酯合成革</w:t>
      </w:r>
      <w:r>
        <w:rPr>
          <w:rFonts w:ascii="宋体" w:hAnsi="宋体" w:hint="eastAsia"/>
          <w:szCs w:val="21"/>
        </w:rPr>
        <w:t>产品单位能耗指标要求应符合表</w:t>
      </w:r>
      <w:r>
        <w:rPr>
          <w:rFonts w:ascii="Times New Roman" w:hAnsi="Times New Roman"/>
          <w:szCs w:val="21"/>
        </w:rPr>
        <w:t>1</w:t>
      </w:r>
      <w:r>
        <w:rPr>
          <w:rFonts w:ascii="宋体" w:hAnsi="宋体" w:hint="eastAsia"/>
          <w:szCs w:val="21"/>
        </w:rPr>
        <w:t>要求，且不低于同期水平。</w:t>
      </w:r>
    </w:p>
    <w:p>
      <w:pPr>
        <w:spacing w:before="156" w:beforeLines="50" w:after="156" w:afterLines="50"/>
        <w:jc w:val="center"/>
        <w:rPr>
          <w:rFonts w:ascii="黑体" w:eastAsia="黑体" w:hAnsi="黑体"/>
          <w:kern w:val="0"/>
          <w:szCs w:val="20"/>
        </w:rPr>
      </w:pPr>
      <w:r>
        <w:rPr>
          <w:rFonts w:ascii="黑体" w:eastAsia="黑体" w:hAnsi="黑体" w:hint="eastAsia"/>
          <w:kern w:val="0"/>
          <w:szCs w:val="20"/>
        </w:rPr>
        <w:t>表</w:t>
      </w:r>
      <w:r>
        <w:rPr>
          <w:rFonts w:ascii="黑体" w:eastAsia="黑体" w:hAnsi="Times New Roman" w:hint="eastAsia"/>
          <w:kern w:val="0"/>
          <w:szCs w:val="20"/>
        </w:rPr>
        <w:t>1</w:t>
      </w:r>
      <w:r>
        <w:rPr>
          <w:rFonts w:ascii="黑体" w:eastAsia="黑体" w:hAnsi="黑体" w:hint="eastAsia"/>
          <w:kern w:val="0"/>
          <w:szCs w:val="20"/>
        </w:rPr>
        <w:t xml:space="preserve">  产品单位能耗指标要求</w:t>
      </w:r>
    </w:p>
    <w:tbl>
      <w:tblPr>
        <w:tblStyle w:val="TableNormal"/>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03"/>
        <w:gridCol w:w="992"/>
        <w:gridCol w:w="2127"/>
        <w:gridCol w:w="1134"/>
        <w:gridCol w:w="2693"/>
        <w:gridCol w:w="1701"/>
      </w:tblGrid>
      <w:tr>
        <w:tblPrEx>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703"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序号</w:t>
            </w:r>
          </w:p>
        </w:tc>
        <w:tc>
          <w:tcPr>
            <w:tcW w:w="992"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一级指标</w:t>
            </w:r>
          </w:p>
        </w:tc>
        <w:tc>
          <w:tcPr>
            <w:tcW w:w="2127"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二级指标</w:t>
            </w:r>
          </w:p>
        </w:tc>
        <w:tc>
          <w:tcPr>
            <w:tcW w:w="1134"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单位</w:t>
            </w:r>
          </w:p>
        </w:tc>
        <w:tc>
          <w:tcPr>
            <w:tcW w:w="2693"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基准值</w:t>
            </w:r>
          </w:p>
        </w:tc>
        <w:tc>
          <w:tcPr>
            <w:tcW w:w="1701"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判定依据</w:t>
            </w:r>
          </w:p>
        </w:tc>
      </w:tr>
      <w:tr>
        <w:tblPrEx>
          <w:tblW w:w="0" w:type="auto"/>
          <w:tblInd w:w="114" w:type="dxa"/>
          <w:tblLayout w:type="fixed"/>
          <w:tblCellMar>
            <w:top w:w="0" w:type="dxa"/>
            <w:left w:w="108" w:type="dxa"/>
            <w:bottom w:w="0" w:type="dxa"/>
            <w:right w:w="108" w:type="dxa"/>
          </w:tblCellMar>
          <w:tblLook w:val="0000"/>
        </w:tblPrEx>
        <w:tc>
          <w:tcPr>
            <w:tcW w:w="703"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w:t>
            </w:r>
          </w:p>
        </w:tc>
        <w:tc>
          <w:tcPr>
            <w:tcW w:w="992"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能源属性</w:t>
            </w:r>
          </w:p>
        </w:tc>
        <w:tc>
          <w:tcPr>
            <w:tcW w:w="2127"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单位产品综合能耗</w:t>
            </w:r>
          </w:p>
        </w:tc>
        <w:tc>
          <w:tcPr>
            <w:tcW w:w="1134"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tce/10</w:t>
            </w:r>
            <w:r>
              <w:rPr>
                <w:rFonts w:ascii="Times New Roman" w:hAnsi="Times New Roman"/>
                <w:color w:val="000000"/>
                <w:kern w:val="0"/>
                <w:sz w:val="18"/>
                <w:szCs w:val="18"/>
                <w:vertAlign w:val="superscript"/>
              </w:rPr>
              <w:t>4</w:t>
            </w:r>
            <w:r>
              <w:rPr>
                <w:rFonts w:ascii="Times New Roman" w:hAnsi="Times New Roman"/>
                <w:color w:val="000000"/>
                <w:kern w:val="0"/>
                <w:sz w:val="18"/>
                <w:szCs w:val="18"/>
              </w:rPr>
              <w:t>m</w:t>
            </w:r>
          </w:p>
        </w:tc>
        <w:tc>
          <w:tcPr>
            <w:tcW w:w="2693"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符合《合成革行业清洁生产评价指标体系》中</w:t>
            </w:r>
            <w:r>
              <w:rPr>
                <w:rFonts w:ascii="Times New Roman" w:hAnsi="Times New Roman"/>
                <w:color w:val="000000"/>
                <w:kern w:val="0"/>
                <w:sz w:val="18"/>
                <w:szCs w:val="18"/>
              </w:rPr>
              <w:t>1</w:t>
            </w:r>
            <w:r>
              <w:rPr>
                <w:rFonts w:ascii="Times New Roman" w:hAnsi="宋体"/>
                <w:color w:val="000000"/>
                <w:kern w:val="0"/>
                <w:sz w:val="18"/>
                <w:szCs w:val="18"/>
              </w:rPr>
              <w:t>级基准值要求</w:t>
            </w:r>
          </w:p>
        </w:tc>
        <w:tc>
          <w:tcPr>
            <w:tcW w:w="1701"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按附录</w:t>
            </w:r>
            <w:r>
              <w:rPr>
                <w:rFonts w:ascii="Times New Roman" w:hAnsi="Times New Roman"/>
                <w:color w:val="000000"/>
                <w:kern w:val="0"/>
                <w:sz w:val="18"/>
                <w:szCs w:val="18"/>
              </w:rPr>
              <w:t>A.1</w:t>
            </w:r>
            <w:r>
              <w:rPr>
                <w:rFonts w:ascii="Times New Roman" w:hAnsi="宋体"/>
                <w:color w:val="000000"/>
                <w:kern w:val="0"/>
                <w:sz w:val="18"/>
                <w:szCs w:val="18"/>
              </w:rPr>
              <w:t>计算，并提供证明材料</w:t>
            </w:r>
          </w:p>
        </w:tc>
      </w:tr>
    </w:tbl>
    <w:p>
      <w:pPr>
        <w:spacing w:before="156" w:beforeLines="50"/>
        <w:rPr>
          <w:rFonts w:ascii="黑体" w:eastAsia="黑体"/>
          <w:bCs/>
          <w:szCs w:val="21"/>
        </w:rPr>
      </w:pPr>
      <w:r>
        <w:rPr>
          <w:rFonts w:ascii="黑体" w:eastAsia="黑体" w:hint="eastAsia"/>
          <w:bCs/>
          <w:szCs w:val="21"/>
        </w:rPr>
        <w:t>4.2.3  资源属性指标</w:t>
      </w:r>
    </w:p>
    <w:p>
      <w:pPr>
        <w:ind w:firstLine="420" w:firstLineChars="200"/>
        <w:rPr>
          <w:rFonts w:ascii="宋体" w:hAnsi="宋体"/>
          <w:szCs w:val="21"/>
        </w:rPr>
      </w:pPr>
      <w:r>
        <w:rPr>
          <w:rFonts w:ascii="宋体" w:eastAsia="宋体" w:hAnsi="宋体" w:cs="宋体" w:hint="eastAsia"/>
          <w:szCs w:val="21"/>
          <w:lang w:val="en-US" w:eastAsia="zh-CN"/>
        </w:rPr>
        <w:t>水性超细纤维聚氨酯合成革</w:t>
      </w:r>
      <w:r>
        <w:rPr>
          <w:rFonts w:ascii="宋体" w:hAnsi="宋体" w:hint="eastAsia"/>
          <w:szCs w:val="21"/>
        </w:rPr>
        <w:t>的资源属性指标要求应符合表</w:t>
      </w:r>
      <w:r>
        <w:rPr>
          <w:rFonts w:ascii="Times New Roman" w:hAnsi="Times New Roman"/>
          <w:szCs w:val="21"/>
        </w:rPr>
        <w:t>2</w:t>
      </w:r>
      <w:r>
        <w:rPr>
          <w:rFonts w:ascii="宋体" w:hAnsi="宋体" w:hint="eastAsia"/>
          <w:szCs w:val="21"/>
        </w:rPr>
        <w:t>的要求，且不低于同期水平。</w:t>
      </w:r>
    </w:p>
    <w:p>
      <w:pPr>
        <w:spacing w:before="156" w:beforeLines="50" w:after="156" w:afterLines="50"/>
        <w:jc w:val="center"/>
        <w:rPr>
          <w:rFonts w:ascii="黑体" w:eastAsia="黑体" w:hAnsi="黑体"/>
          <w:kern w:val="0"/>
          <w:szCs w:val="20"/>
        </w:rPr>
      </w:pPr>
      <w:r>
        <w:rPr>
          <w:rFonts w:ascii="黑体" w:eastAsia="黑体" w:hAnsi="黑体" w:hint="eastAsia"/>
          <w:kern w:val="0"/>
          <w:szCs w:val="20"/>
        </w:rPr>
        <w:t>表</w:t>
      </w:r>
      <w:r>
        <w:rPr>
          <w:rFonts w:ascii="黑体" w:eastAsia="黑体" w:hAnsi="Times New Roman" w:hint="eastAsia"/>
          <w:kern w:val="0"/>
          <w:szCs w:val="20"/>
        </w:rPr>
        <w:t>2</w:t>
      </w:r>
      <w:r>
        <w:rPr>
          <w:rFonts w:ascii="黑体" w:eastAsia="黑体" w:hAnsi="黑体" w:hint="eastAsia"/>
          <w:kern w:val="0"/>
          <w:szCs w:val="20"/>
        </w:rPr>
        <w:t xml:space="preserve">  产品资源属性指标要求</w:t>
      </w:r>
    </w:p>
    <w:tbl>
      <w:tblPr>
        <w:tblStyle w:val="TableNormal"/>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16"/>
        <w:gridCol w:w="708"/>
        <w:gridCol w:w="1280"/>
        <w:gridCol w:w="3119"/>
        <w:gridCol w:w="874"/>
        <w:gridCol w:w="1677"/>
        <w:gridCol w:w="1276"/>
      </w:tblGrid>
      <w:tr>
        <w:tblPrEx>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416"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序号</w:t>
            </w:r>
          </w:p>
        </w:tc>
        <w:tc>
          <w:tcPr>
            <w:tcW w:w="708"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一级指标</w:t>
            </w:r>
          </w:p>
        </w:tc>
        <w:tc>
          <w:tcPr>
            <w:tcW w:w="4399" w:type="dxa"/>
            <w:gridSpan w:val="2"/>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二级指标</w:t>
            </w:r>
          </w:p>
        </w:tc>
        <w:tc>
          <w:tcPr>
            <w:tcW w:w="874"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单位</w:t>
            </w:r>
          </w:p>
        </w:tc>
        <w:tc>
          <w:tcPr>
            <w:tcW w:w="1677"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基准值</w:t>
            </w:r>
          </w:p>
        </w:tc>
        <w:tc>
          <w:tcPr>
            <w:tcW w:w="1276" w:type="dxa"/>
            <w:tcBorders>
              <w:top w:val="single" w:sz="8" w:space="0" w:color="auto"/>
              <w:bottom w:val="single" w:sz="8" w:space="0" w:color="auto"/>
            </w:tcBorders>
            <w:vAlign w:val="center"/>
          </w:tcPr>
          <w:p>
            <w:pPr>
              <w:widowControl/>
              <w:jc w:val="center"/>
              <w:rPr>
                <w:rFonts w:ascii="Times New Roman" w:hAnsi="Times New Roman"/>
                <w:sz w:val="18"/>
                <w:szCs w:val="18"/>
              </w:rPr>
            </w:pPr>
            <w:r>
              <w:rPr>
                <w:rFonts w:ascii="Times New Roman" w:hAnsi="宋体"/>
                <w:sz w:val="18"/>
                <w:szCs w:val="18"/>
              </w:rPr>
              <w:t>判定依据</w:t>
            </w:r>
          </w:p>
        </w:tc>
      </w:tr>
      <w:tr>
        <w:tblPrEx>
          <w:tblW w:w="0" w:type="auto"/>
          <w:tblInd w:w="114" w:type="dxa"/>
          <w:tblLayout w:type="fixed"/>
          <w:tblCellMar>
            <w:top w:w="0" w:type="dxa"/>
            <w:left w:w="108" w:type="dxa"/>
            <w:bottom w:w="0" w:type="dxa"/>
            <w:right w:w="108" w:type="dxa"/>
          </w:tblCellMar>
          <w:tblLook w:val="0000"/>
        </w:tblPrEx>
        <w:tc>
          <w:tcPr>
            <w:tcW w:w="416"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w:t>
            </w:r>
          </w:p>
        </w:tc>
        <w:tc>
          <w:tcPr>
            <w:tcW w:w="708" w:type="dxa"/>
            <w:vMerge w:val="restart"/>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资源属性</w:t>
            </w:r>
          </w:p>
        </w:tc>
        <w:tc>
          <w:tcPr>
            <w:tcW w:w="4399" w:type="dxa"/>
            <w:gridSpan w:val="2"/>
            <w:tcBorders>
              <w:top w:val="single" w:sz="8" w:space="0" w:color="auto"/>
            </w:tcBorders>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单位产品取水量</w:t>
            </w:r>
          </w:p>
        </w:tc>
        <w:tc>
          <w:tcPr>
            <w:tcW w:w="874"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m³/10</w:t>
            </w:r>
            <w:r>
              <w:rPr>
                <w:rFonts w:ascii="Times New Roman" w:hAnsi="Times New Roman"/>
                <w:color w:val="000000"/>
                <w:kern w:val="0"/>
                <w:sz w:val="18"/>
                <w:szCs w:val="18"/>
                <w:vertAlign w:val="superscript"/>
              </w:rPr>
              <w:t>4</w:t>
            </w:r>
            <w:r>
              <w:rPr>
                <w:rFonts w:ascii="Times New Roman" w:hAnsi="Times New Roman"/>
                <w:color w:val="000000"/>
                <w:kern w:val="0"/>
                <w:sz w:val="18"/>
                <w:szCs w:val="18"/>
              </w:rPr>
              <w:t>m</w:t>
            </w:r>
          </w:p>
        </w:tc>
        <w:tc>
          <w:tcPr>
            <w:tcW w:w="1677" w:type="dxa"/>
            <w:vMerge w:val="restart"/>
            <w:tcBorders>
              <w:top w:val="single" w:sz="8" w:space="0" w:color="auto"/>
            </w:tcBorders>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符合《合成革行业清洁生产评价指标体系》中</w:t>
            </w:r>
            <w:r>
              <w:rPr>
                <w:rFonts w:ascii="Times New Roman" w:hAnsi="Times New Roman"/>
                <w:color w:val="000000"/>
                <w:kern w:val="0"/>
                <w:sz w:val="18"/>
                <w:szCs w:val="18"/>
              </w:rPr>
              <w:t>1</w:t>
            </w:r>
            <w:r>
              <w:rPr>
                <w:rFonts w:ascii="Times New Roman" w:hAnsi="宋体"/>
                <w:color w:val="000000"/>
                <w:kern w:val="0"/>
                <w:sz w:val="18"/>
                <w:szCs w:val="18"/>
              </w:rPr>
              <w:t>级基准值要求</w:t>
            </w:r>
          </w:p>
        </w:tc>
        <w:tc>
          <w:tcPr>
            <w:tcW w:w="1276" w:type="dxa"/>
            <w:tcBorders>
              <w:top w:val="single" w:sz="8" w:space="0" w:color="auto"/>
            </w:tcBorders>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按附录</w:t>
            </w:r>
            <w:r>
              <w:rPr>
                <w:rFonts w:ascii="Times New Roman" w:hAnsi="Times New Roman"/>
                <w:color w:val="000000"/>
                <w:kern w:val="0"/>
                <w:sz w:val="18"/>
                <w:szCs w:val="18"/>
              </w:rPr>
              <w:t>A.2</w:t>
            </w:r>
            <w:r>
              <w:rPr>
                <w:rFonts w:ascii="Times New Roman" w:hAnsi="宋体"/>
                <w:color w:val="000000"/>
                <w:kern w:val="0"/>
                <w:sz w:val="18"/>
                <w:szCs w:val="18"/>
              </w:rPr>
              <w:t>计算，并提供证明材料</w:t>
            </w:r>
          </w:p>
        </w:tc>
      </w:tr>
      <w:tr>
        <w:tblPrEx>
          <w:tblW w:w="0" w:type="auto"/>
          <w:tblInd w:w="114" w:type="dxa"/>
          <w:tblLayout w:type="fixed"/>
          <w:tblCellMar>
            <w:top w:w="0" w:type="dxa"/>
            <w:left w:w="108" w:type="dxa"/>
            <w:bottom w:w="0" w:type="dxa"/>
            <w:right w:w="108" w:type="dxa"/>
          </w:tblCellMar>
          <w:tblLook w:val="0000"/>
        </w:tblPrEx>
        <w:tc>
          <w:tcPr>
            <w:tcW w:w="416"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2</w:t>
            </w:r>
          </w:p>
        </w:tc>
        <w:tc>
          <w:tcPr>
            <w:tcW w:w="708" w:type="dxa"/>
            <w:vMerge/>
            <w:vAlign w:val="center"/>
          </w:tcPr>
          <w:p>
            <w:pPr>
              <w:jc w:val="left"/>
              <w:rPr>
                <w:rFonts w:ascii="Times New Roman" w:hAnsi="Times New Roman"/>
                <w:color w:val="000000"/>
                <w:kern w:val="0"/>
                <w:sz w:val="18"/>
                <w:szCs w:val="18"/>
              </w:rPr>
            </w:pPr>
          </w:p>
        </w:tc>
        <w:tc>
          <w:tcPr>
            <w:tcW w:w="4399" w:type="dxa"/>
            <w:gridSpan w:val="2"/>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水重复利用率</w:t>
            </w:r>
          </w:p>
        </w:tc>
        <w:tc>
          <w:tcPr>
            <w:tcW w:w="874" w:type="dxa"/>
            <w:vAlign w:val="center"/>
          </w:tcPr>
          <w:p>
            <w:pPr>
              <w:jc w:val="center"/>
              <w:rPr>
                <w:rFonts w:ascii="Times New Roman" w:hAnsi="Times New Roman"/>
                <w:color w:val="000000"/>
                <w:kern w:val="0"/>
                <w:sz w:val="18"/>
                <w:szCs w:val="18"/>
              </w:rPr>
            </w:pPr>
            <w:r>
              <w:rPr>
                <w:rFonts w:ascii="Times New Roman" w:hAnsi="Times New Roman"/>
                <w:color w:val="000000"/>
                <w:kern w:val="0"/>
                <w:sz w:val="18"/>
                <w:szCs w:val="18"/>
              </w:rPr>
              <w:t>%</w:t>
            </w:r>
          </w:p>
        </w:tc>
        <w:tc>
          <w:tcPr>
            <w:tcW w:w="1677" w:type="dxa"/>
            <w:vMerge/>
            <w:vAlign w:val="center"/>
          </w:tcPr>
          <w:p>
            <w:pPr>
              <w:jc w:val="left"/>
              <w:rPr>
                <w:rFonts w:ascii="Times New Roman" w:hAnsi="Times New Roman"/>
                <w:color w:val="000000"/>
                <w:kern w:val="0"/>
                <w:sz w:val="18"/>
                <w:szCs w:val="18"/>
              </w:rPr>
            </w:pPr>
          </w:p>
        </w:tc>
        <w:tc>
          <w:tcPr>
            <w:tcW w:w="1276" w:type="dxa"/>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按附录</w:t>
            </w:r>
            <w:r>
              <w:rPr>
                <w:rFonts w:ascii="Times New Roman" w:hAnsi="Times New Roman"/>
                <w:color w:val="000000"/>
                <w:kern w:val="0"/>
                <w:sz w:val="18"/>
                <w:szCs w:val="18"/>
              </w:rPr>
              <w:t>A.3</w:t>
            </w:r>
            <w:r>
              <w:rPr>
                <w:rFonts w:ascii="Times New Roman" w:hAnsi="宋体"/>
                <w:color w:val="000000"/>
                <w:kern w:val="0"/>
                <w:sz w:val="18"/>
                <w:szCs w:val="18"/>
              </w:rPr>
              <w:t>计算，并提供证明材料</w:t>
            </w: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3</w:t>
            </w:r>
          </w:p>
        </w:tc>
        <w:tc>
          <w:tcPr>
            <w:tcW w:w="708" w:type="dxa"/>
            <w:vMerge/>
            <w:vAlign w:val="center"/>
          </w:tcPr>
          <w:p>
            <w:pPr>
              <w:jc w:val="left"/>
              <w:rPr>
                <w:rFonts w:ascii="Times New Roman" w:hAnsi="Times New Roman"/>
                <w:color w:val="000000"/>
                <w:kern w:val="0"/>
                <w:sz w:val="18"/>
                <w:szCs w:val="18"/>
              </w:rPr>
            </w:pPr>
          </w:p>
        </w:tc>
        <w:tc>
          <w:tcPr>
            <w:tcW w:w="1280" w:type="dxa"/>
            <w:vAlign w:val="center"/>
          </w:tcPr>
          <w:p>
            <w:pPr>
              <w:widowControl/>
              <w:jc w:val="left"/>
              <w:rPr>
                <w:rFonts w:ascii="Times New Roman" w:hAnsi="宋体"/>
                <w:color w:val="000000"/>
                <w:kern w:val="0"/>
                <w:sz w:val="18"/>
                <w:szCs w:val="18"/>
              </w:rPr>
            </w:pPr>
          </w:p>
          <w:p>
            <w:pPr>
              <w:widowControl/>
              <w:spacing w:after="0"/>
              <w:jc w:val="left"/>
              <w:rPr>
                <w:rFonts w:ascii="Times New Roman" w:hAnsi="Times New Roman"/>
                <w:color w:val="000000"/>
                <w:kern w:val="0"/>
                <w:sz w:val="18"/>
                <w:szCs w:val="18"/>
              </w:rPr>
            </w:pPr>
            <w:r>
              <w:rPr>
                <w:rFonts w:ascii="Times New Roman" w:hAnsi="宋体"/>
                <w:color w:val="000000"/>
                <w:kern w:val="0"/>
                <w:sz w:val="18"/>
                <w:szCs w:val="18"/>
              </w:rPr>
              <w:t>烷基酚（</w:t>
            </w:r>
            <w:r>
              <w:rPr>
                <w:rFonts w:ascii="Times New Roman" w:hAnsi="Times New Roman"/>
                <w:color w:val="000000"/>
                <w:kern w:val="0"/>
                <w:sz w:val="18"/>
                <w:szCs w:val="18"/>
              </w:rPr>
              <w:t>AP</w:t>
            </w:r>
            <w:r>
              <w:rPr>
                <w:rFonts w:ascii="Times New Roman" w:hAnsi="宋体"/>
                <w:color w:val="000000"/>
                <w:kern w:val="0"/>
                <w:sz w:val="18"/>
                <w:szCs w:val="18"/>
              </w:rPr>
              <w:t>）和烷基酚聚氧乙烯醚（</w:t>
            </w:r>
            <w:r>
              <w:rPr>
                <w:rFonts w:ascii="Times New Roman" w:hAnsi="Times New Roman"/>
                <w:color w:val="000000"/>
                <w:kern w:val="0"/>
                <w:sz w:val="18"/>
                <w:szCs w:val="18"/>
              </w:rPr>
              <w:t>APEO</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辛基苯酚（</w:t>
            </w:r>
            <w:r>
              <w:rPr>
                <w:rFonts w:ascii="Times New Roman" w:hAnsi="Times New Roman"/>
                <w:color w:val="000000"/>
                <w:kern w:val="0"/>
                <w:sz w:val="18"/>
                <w:szCs w:val="18"/>
              </w:rPr>
              <w:t>OP</w:t>
            </w:r>
            <w:r>
              <w:rPr>
                <w:rFonts w:ascii="Times New Roman" w:hAnsi="宋体"/>
                <w:color w:val="000000"/>
                <w:kern w:val="0"/>
                <w:sz w:val="18"/>
                <w:szCs w:val="18"/>
              </w:rPr>
              <w:t>）及其同分异构体（总量）</w:t>
            </w:r>
          </w:p>
        </w:tc>
        <w:tc>
          <w:tcPr>
            <w:tcW w:w="874"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250</w:t>
            </w:r>
          </w:p>
        </w:tc>
        <w:tc>
          <w:tcPr>
            <w:tcW w:w="1276" w:type="dxa"/>
            <w:vAlign w:val="center"/>
          </w:tcPr>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tc>
      </w:tr>
    </w:tbl>
    <w:p>
      <w:p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218" w:right="1134" w:bottom="1134" w:left="1418" w:header="851" w:footer="992" w:gutter="0"/>
          <w:pgNumType w:fmt="numberInDash" w:start="3"/>
          <w:cols w:space="708"/>
          <w:titlePg w:val="0"/>
          <w:docGrid w:type="lines" w:linePitch="312"/>
        </w:sectPr>
      </w:pPr>
    </w:p>
    <w:tbl>
      <w:tblPr>
        <w:tblStyle w:val="TableNormal"/>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16"/>
        <w:gridCol w:w="708"/>
        <w:gridCol w:w="1280"/>
        <w:gridCol w:w="3119"/>
        <w:gridCol w:w="874"/>
        <w:gridCol w:w="1677"/>
        <w:gridCol w:w="1276"/>
      </w:tblGrid>
      <w:tr>
        <w:tblPrEx>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1"/>
        </w:trPr>
        <w:tc>
          <w:tcPr>
            <w:tcW w:w="416" w:type="dxa"/>
            <w:vMerge w:val="restart"/>
            <w:vAlign w:val="center"/>
          </w:tcPr>
          <w:p/>
        </w:tc>
        <w:tc>
          <w:tcPr>
            <w:tcW w:w="708" w:type="dxa"/>
            <w:vMerge w:val="restart"/>
            <w:vAlign w:val="center"/>
          </w:tcPr>
          <w:p/>
        </w:tc>
        <w:tc>
          <w:tcPr>
            <w:tcW w:w="1280" w:type="dxa"/>
            <w:vMerge w:val="restart"/>
            <w:vAlign w:val="center"/>
          </w:tcPr>
          <w:p>
            <w:pPr>
              <w:widowControl/>
              <w:spacing w:before="0"/>
              <w:jc w:val="left"/>
              <w:rPr>
                <w:rFonts w:ascii="Times New Roman" w:hAnsi="Times New Roman"/>
                <w:color w:val="000000"/>
                <w:kern w:val="0"/>
                <w:sz w:val="18"/>
                <w:szCs w:val="18"/>
              </w:rPr>
            </w:pPr>
            <w:r>
              <w:rPr>
                <w:rFonts w:ascii="Times New Roman" w:hAnsi="宋体"/>
                <w:color w:val="000000"/>
                <w:kern w:val="0"/>
                <w:sz w:val="18"/>
                <w:szCs w:val="18"/>
              </w:rPr>
              <w:t>）类（见附录</w:t>
            </w:r>
            <w:r>
              <w:rPr>
                <w:rFonts w:ascii="Times New Roman" w:hAnsi="Times New Roman"/>
                <w:color w:val="000000"/>
                <w:kern w:val="0"/>
                <w:sz w:val="18"/>
                <w:szCs w:val="18"/>
              </w:rPr>
              <w:t>C</w:t>
            </w:r>
            <w:r>
              <w:rPr>
                <w:rFonts w:ascii="Times New Roman" w:hAnsi="宋体"/>
                <w:color w:val="000000"/>
                <w:kern w:val="0"/>
                <w:sz w:val="18"/>
                <w:szCs w:val="18"/>
              </w:rPr>
              <w:t>）</w:t>
            </w:r>
          </w:p>
        </w:tc>
        <w:tc>
          <w:tcPr>
            <w:tcW w:w="3119" w:type="dxa"/>
            <w:vAlign w:val="center"/>
          </w:tcPr>
          <w:p/>
        </w:tc>
        <w:tc>
          <w:tcPr>
            <w:tcW w:w="874" w:type="dxa"/>
            <w:vMerge w:val="restart"/>
            <w:vAlign w:val="center"/>
          </w:tcPr>
          <w:p/>
        </w:tc>
        <w:tc>
          <w:tcPr>
            <w:tcW w:w="1677" w:type="dxa"/>
            <w:vAlign w:val="center"/>
          </w:tcPr>
          <w:p/>
        </w:tc>
        <w:tc>
          <w:tcPr>
            <w:tcW w:w="1276" w:type="dxa"/>
            <w:vMerge w:val="restart"/>
            <w:vAlign w:val="center"/>
          </w:tcPr>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宋体"/>
                <w:sz w:val="18"/>
                <w:szCs w:val="18"/>
              </w:rPr>
            </w:pPr>
          </w:p>
          <w:p>
            <w:pPr>
              <w:jc w:val="left"/>
              <w:rPr>
                <w:rFonts w:ascii="Times New Roman" w:hAnsi="Times New Roman"/>
                <w:sz w:val="18"/>
                <w:szCs w:val="18"/>
              </w:rPr>
            </w:pPr>
            <w:r>
              <w:rPr>
                <w:rFonts w:ascii="Times New Roman" w:hAnsi="宋体"/>
                <w:sz w:val="18"/>
                <w:szCs w:val="18"/>
              </w:rPr>
              <w:t>企业自我声明并提供化学品清单和证明材料</w:t>
            </w: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壬基苯酚（</w:t>
            </w:r>
            <w:r>
              <w:rPr>
                <w:rFonts w:ascii="Times New Roman" w:hAnsi="Times New Roman"/>
                <w:color w:val="000000"/>
                <w:kern w:val="0"/>
                <w:sz w:val="18"/>
                <w:szCs w:val="18"/>
              </w:rPr>
              <w:t>NP</w:t>
            </w:r>
            <w:r>
              <w:rPr>
                <w:rFonts w:ascii="Times New Roman" w:hAnsi="宋体"/>
                <w:color w:val="000000"/>
                <w:kern w:val="0"/>
                <w:sz w:val="18"/>
                <w:szCs w:val="18"/>
              </w:rPr>
              <w:t>）及其同分异构体（总量）</w:t>
            </w:r>
          </w:p>
        </w:tc>
        <w:tc>
          <w:tcPr>
            <w:tcW w:w="874" w:type="dxa"/>
            <w:vMerge/>
            <w:vAlign w:val="center"/>
          </w:tcPr>
          <w:p>
            <w:pPr>
              <w:widowControl/>
              <w:jc w:val="left"/>
              <w:rPr>
                <w:rFonts w:ascii="Times New Roman" w:hAnsi="Times New Roman"/>
                <w:color w:val="000000"/>
                <w:kern w:val="0"/>
                <w:sz w:val="18"/>
                <w:szCs w:val="18"/>
              </w:rPr>
            </w:pPr>
          </w:p>
        </w:tc>
        <w:tc>
          <w:tcPr>
            <w:tcW w:w="1677"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250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辛基酚聚氧乙烯醚（</w:t>
            </w:r>
            <w:r>
              <w:rPr>
                <w:rFonts w:ascii="Times New Roman" w:hAnsi="Times New Roman"/>
                <w:color w:val="000000"/>
                <w:kern w:val="0"/>
                <w:sz w:val="18"/>
                <w:szCs w:val="18"/>
              </w:rPr>
              <w:t>OPEO</w:t>
            </w:r>
            <w:r>
              <w:rPr>
                <w:rFonts w:ascii="Times New Roman" w:hAnsi="宋体"/>
                <w:color w:val="000000"/>
                <w:kern w:val="0"/>
                <w:sz w:val="18"/>
                <w:szCs w:val="18"/>
              </w:rPr>
              <w:t>）</w:t>
            </w:r>
          </w:p>
        </w:tc>
        <w:tc>
          <w:tcPr>
            <w:tcW w:w="874" w:type="dxa"/>
            <w:vMerge/>
            <w:vAlign w:val="center"/>
          </w:tcPr>
          <w:p>
            <w:pPr>
              <w:widowControl/>
              <w:jc w:val="left"/>
              <w:rPr>
                <w:rFonts w:ascii="Times New Roman" w:hAnsi="Times New Roman"/>
                <w:color w:val="000000"/>
                <w:kern w:val="0"/>
                <w:sz w:val="18"/>
                <w:szCs w:val="18"/>
              </w:rPr>
            </w:pPr>
          </w:p>
        </w:tc>
        <w:tc>
          <w:tcPr>
            <w:tcW w:w="1677"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500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壬基酚聚氧乙烯醚（</w:t>
            </w:r>
            <w:r>
              <w:rPr>
                <w:rFonts w:ascii="Times New Roman" w:hAnsi="Times New Roman"/>
                <w:color w:val="000000"/>
                <w:kern w:val="0"/>
                <w:sz w:val="18"/>
                <w:szCs w:val="18"/>
              </w:rPr>
              <w:t>NPEO</w:t>
            </w:r>
            <w:r>
              <w:rPr>
                <w:rFonts w:ascii="Times New Roman" w:hAnsi="宋体"/>
                <w:color w:val="000000"/>
                <w:kern w:val="0"/>
                <w:sz w:val="18"/>
                <w:szCs w:val="18"/>
              </w:rPr>
              <w:t>）</w:t>
            </w:r>
          </w:p>
        </w:tc>
        <w:tc>
          <w:tcPr>
            <w:tcW w:w="874" w:type="dxa"/>
            <w:vMerge/>
            <w:vAlign w:val="center"/>
          </w:tcPr>
          <w:p>
            <w:pPr>
              <w:widowControl/>
              <w:jc w:val="left"/>
              <w:rPr>
                <w:rFonts w:ascii="Times New Roman" w:hAnsi="Times New Roman"/>
                <w:color w:val="000000"/>
                <w:kern w:val="0"/>
                <w:sz w:val="18"/>
                <w:szCs w:val="18"/>
              </w:rPr>
            </w:pPr>
          </w:p>
        </w:tc>
        <w:tc>
          <w:tcPr>
            <w:tcW w:w="1677"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500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jc w:val="center"/>
              <w:rPr>
                <w:rFonts w:ascii="Times New Roman" w:hAnsi="Times New Roman"/>
                <w:color w:val="000000"/>
                <w:kern w:val="0"/>
                <w:sz w:val="18"/>
                <w:szCs w:val="18"/>
              </w:rPr>
            </w:pPr>
            <w:r>
              <w:rPr>
                <w:rFonts w:ascii="Times New Roman" w:hAnsi="Times New Roman"/>
                <w:color w:val="000000"/>
                <w:kern w:val="0"/>
                <w:sz w:val="18"/>
                <w:szCs w:val="18"/>
              </w:rPr>
              <w:t>4</w:t>
            </w:r>
          </w:p>
        </w:tc>
        <w:tc>
          <w:tcPr>
            <w:tcW w:w="708" w:type="dxa"/>
            <w:vMerge/>
            <w:vAlign w:val="center"/>
          </w:tcPr>
          <w:p>
            <w:pPr>
              <w:jc w:val="left"/>
              <w:rPr>
                <w:rFonts w:ascii="Times New Roman" w:hAnsi="Times New Roman"/>
                <w:color w:val="000000"/>
                <w:kern w:val="0"/>
                <w:sz w:val="18"/>
                <w:szCs w:val="18"/>
              </w:rPr>
            </w:pPr>
          </w:p>
        </w:tc>
        <w:tc>
          <w:tcPr>
            <w:tcW w:w="1280" w:type="dxa"/>
            <w:vMerge w:val="restart"/>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氯化苯和氯化甲苯</w:t>
            </w:r>
            <w:r>
              <w:rPr>
                <w:rFonts w:ascii="Times New Roman" w:hAnsi="Times New Roman"/>
                <w:color w:val="000000"/>
                <w:kern w:val="0"/>
                <w:sz w:val="18"/>
                <w:szCs w:val="18"/>
              </w:rPr>
              <w:t xml:space="preserve">              </w:t>
            </w:r>
          </w:p>
        </w:tc>
        <w:tc>
          <w:tcPr>
            <w:tcW w:w="3119"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w:t>
            </w:r>
            <w:r>
              <w:rPr>
                <w:rFonts w:ascii="Times New Roman" w:hAnsi="宋体"/>
                <w:color w:val="000000"/>
                <w:kern w:val="0"/>
                <w:sz w:val="18"/>
                <w:szCs w:val="18"/>
              </w:rPr>
              <w:t>，</w:t>
            </w:r>
            <w:r>
              <w:rPr>
                <w:rFonts w:ascii="Times New Roman" w:hAnsi="Times New Roman"/>
                <w:color w:val="000000"/>
                <w:kern w:val="0"/>
                <w:sz w:val="18"/>
                <w:szCs w:val="18"/>
              </w:rPr>
              <w:t>2-</w:t>
            </w:r>
            <w:r>
              <w:rPr>
                <w:rFonts w:ascii="Times New Roman" w:hAnsi="宋体"/>
                <w:color w:val="000000"/>
                <w:kern w:val="0"/>
                <w:sz w:val="18"/>
                <w:szCs w:val="18"/>
              </w:rPr>
              <w:t>二氯苯</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1 000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其他一氯苯、二氯苯、三氯苯、四氯苯、五氯苯和六氯苯同分异构体以及一氯甲苯、二氯甲苯、三氯甲苯、四氯甲苯和五氯甲苯同分异构体（总量）</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200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5</w:t>
            </w:r>
          </w:p>
        </w:tc>
        <w:tc>
          <w:tcPr>
            <w:tcW w:w="708" w:type="dxa"/>
            <w:vMerge/>
            <w:vAlign w:val="center"/>
          </w:tcPr>
          <w:p>
            <w:pPr>
              <w:jc w:val="left"/>
              <w:rPr>
                <w:rFonts w:ascii="Times New Roman" w:hAnsi="Times New Roman"/>
                <w:color w:val="000000"/>
                <w:kern w:val="0"/>
                <w:sz w:val="18"/>
                <w:szCs w:val="18"/>
              </w:rPr>
            </w:pPr>
          </w:p>
        </w:tc>
        <w:tc>
          <w:tcPr>
            <w:tcW w:w="1280" w:type="dxa"/>
            <w:vMerge w:val="restart"/>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氯化苯酚（见附录</w:t>
            </w:r>
            <w:r>
              <w:rPr>
                <w:rFonts w:ascii="Times New Roman" w:hAnsi="Times New Roman"/>
                <w:color w:val="000000"/>
                <w:kern w:val="0"/>
                <w:sz w:val="18"/>
                <w:szCs w:val="18"/>
              </w:rPr>
              <w:t>D</w:t>
            </w:r>
            <w:r>
              <w:rPr>
                <w:rFonts w:ascii="Times New Roman" w:hAnsi="宋体"/>
                <w:color w:val="000000"/>
                <w:kern w:val="0"/>
                <w:sz w:val="18"/>
                <w:szCs w:val="18"/>
              </w:rPr>
              <w:t>）</w:t>
            </w:r>
            <w:r>
              <w:rPr>
                <w:rFonts w:ascii="Times New Roman" w:hAnsi="Times New Roman"/>
                <w:color w:val="000000"/>
                <w:kern w:val="0"/>
                <w:sz w:val="18"/>
                <w:szCs w:val="18"/>
              </w:rPr>
              <w:t xml:space="preserve">                       </w:t>
            </w:r>
          </w:p>
        </w:tc>
        <w:tc>
          <w:tcPr>
            <w:tcW w:w="3119" w:type="dxa"/>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四氯苯酚（</w:t>
            </w:r>
            <w:r>
              <w:rPr>
                <w:rFonts w:ascii="Times New Roman" w:hAnsi="Times New Roman"/>
                <w:color w:val="000000"/>
                <w:kern w:val="0"/>
                <w:sz w:val="18"/>
                <w:szCs w:val="18"/>
              </w:rPr>
              <w:t>TeCP</w:t>
            </w:r>
            <w:r>
              <w:rPr>
                <w:rFonts w:ascii="Times New Roman" w:hAnsi="宋体"/>
                <w:color w:val="000000"/>
                <w:kern w:val="0"/>
                <w:sz w:val="18"/>
                <w:szCs w:val="18"/>
              </w:rPr>
              <w:t>）、五氯苯酚</w:t>
            </w:r>
            <w:r>
              <w:rPr>
                <w:rFonts w:ascii="Times New Roman" w:hAnsi="Times New Roman"/>
                <w:color w:val="000000"/>
                <w:kern w:val="0"/>
                <w:sz w:val="18"/>
                <w:szCs w:val="18"/>
              </w:rPr>
              <w:t xml:space="preserve">(PCP) </w:t>
            </w:r>
            <w:r>
              <w:rPr>
                <w:rFonts w:ascii="Times New Roman" w:hAnsi="宋体"/>
                <w:color w:val="000000"/>
                <w:kern w:val="0"/>
                <w:sz w:val="18"/>
                <w:szCs w:val="18"/>
              </w:rPr>
              <w:t>（总量）</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一氯苯酚（</w:t>
            </w:r>
            <w:r>
              <w:rPr>
                <w:rFonts w:ascii="Times New Roman" w:hAnsi="Times New Roman"/>
                <w:color w:val="000000"/>
                <w:kern w:val="0"/>
                <w:sz w:val="18"/>
                <w:szCs w:val="18"/>
              </w:rPr>
              <w:t>MCP</w:t>
            </w:r>
            <w:r>
              <w:rPr>
                <w:rFonts w:ascii="Times New Roman" w:hAnsi="宋体"/>
                <w:color w:val="000000"/>
                <w:kern w:val="0"/>
                <w:sz w:val="18"/>
                <w:szCs w:val="18"/>
              </w:rPr>
              <w:t>）、二氯苯酚（</w:t>
            </w:r>
            <w:r>
              <w:rPr>
                <w:rFonts w:ascii="Times New Roman" w:hAnsi="Times New Roman"/>
                <w:color w:val="000000"/>
                <w:kern w:val="0"/>
                <w:sz w:val="18"/>
                <w:szCs w:val="18"/>
              </w:rPr>
              <w:t>DCP</w:t>
            </w:r>
            <w:r>
              <w:rPr>
                <w:rFonts w:ascii="Times New Roman" w:hAnsi="宋体"/>
                <w:color w:val="000000"/>
                <w:kern w:val="0"/>
                <w:sz w:val="18"/>
                <w:szCs w:val="18"/>
              </w:rPr>
              <w:t>）、三氯苯酚（</w:t>
            </w:r>
            <w:r>
              <w:rPr>
                <w:rFonts w:ascii="Times New Roman" w:hAnsi="Times New Roman"/>
                <w:color w:val="000000"/>
                <w:kern w:val="0"/>
                <w:sz w:val="18"/>
                <w:szCs w:val="18"/>
              </w:rPr>
              <w:t>TrCP</w:t>
            </w:r>
            <w:r>
              <w:rPr>
                <w:rFonts w:ascii="Times New Roman" w:hAnsi="宋体"/>
                <w:color w:val="000000"/>
                <w:kern w:val="0"/>
                <w:sz w:val="18"/>
                <w:szCs w:val="18"/>
              </w:rPr>
              <w:t>）、四氯苯酚（</w:t>
            </w:r>
            <w:r>
              <w:rPr>
                <w:rFonts w:ascii="Times New Roman" w:hAnsi="Times New Roman"/>
                <w:color w:val="000000"/>
                <w:kern w:val="0"/>
                <w:sz w:val="18"/>
                <w:szCs w:val="18"/>
              </w:rPr>
              <w:t>TeCP</w:t>
            </w:r>
            <w:r>
              <w:rPr>
                <w:rFonts w:ascii="Times New Roman" w:hAnsi="宋体"/>
                <w:color w:val="000000"/>
                <w:kern w:val="0"/>
                <w:sz w:val="18"/>
                <w:szCs w:val="18"/>
              </w:rPr>
              <w:t>）（总量）</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6</w:t>
            </w:r>
          </w:p>
        </w:tc>
        <w:tc>
          <w:tcPr>
            <w:tcW w:w="708" w:type="dxa"/>
            <w:vMerge/>
            <w:vAlign w:val="center"/>
          </w:tcPr>
          <w:p>
            <w:pPr>
              <w:widowControl/>
              <w:jc w:val="left"/>
              <w:rPr>
                <w:rFonts w:ascii="Times New Roman" w:hAnsi="Times New Roman"/>
                <w:color w:val="000000"/>
                <w:kern w:val="0"/>
                <w:sz w:val="18"/>
                <w:szCs w:val="18"/>
              </w:rPr>
            </w:pPr>
          </w:p>
        </w:tc>
        <w:tc>
          <w:tcPr>
            <w:tcW w:w="1280"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染料（见附录</w:t>
            </w:r>
            <w:r>
              <w:rPr>
                <w:rFonts w:ascii="Times New Roman" w:hAnsi="Times New Roman"/>
                <w:color w:val="000000"/>
                <w:kern w:val="0"/>
                <w:sz w:val="18"/>
                <w:szCs w:val="18"/>
              </w:rPr>
              <w:t>E</w:t>
            </w:r>
            <w:r>
              <w:rPr>
                <w:rFonts w:ascii="Times New Roman" w:hAnsi="宋体"/>
                <w:color w:val="000000"/>
                <w:kern w:val="0"/>
                <w:sz w:val="18"/>
                <w:szCs w:val="18"/>
              </w:rPr>
              <w:t>）</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可分解出致癌芳香胺的偶氮着色剂</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150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致癌染料</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致敏性分散染料</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海军蓝染色剂（总量）</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7</w:t>
            </w:r>
          </w:p>
        </w:tc>
        <w:tc>
          <w:tcPr>
            <w:tcW w:w="708" w:type="dxa"/>
            <w:vMerge/>
            <w:vAlign w:val="center"/>
          </w:tcPr>
          <w:p>
            <w:pPr>
              <w:widowControl/>
              <w:jc w:val="left"/>
              <w:rPr>
                <w:rFonts w:ascii="Times New Roman" w:hAnsi="Times New Roman"/>
                <w:color w:val="000000"/>
                <w:kern w:val="0"/>
                <w:sz w:val="18"/>
                <w:szCs w:val="18"/>
              </w:rPr>
            </w:pPr>
          </w:p>
        </w:tc>
        <w:tc>
          <w:tcPr>
            <w:tcW w:w="1280"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阻燃剂（见附录</w:t>
            </w:r>
            <w:r>
              <w:rPr>
                <w:rFonts w:ascii="Times New Roman" w:hAnsi="Times New Roman"/>
                <w:color w:val="000000"/>
                <w:kern w:val="0"/>
                <w:sz w:val="18"/>
                <w:szCs w:val="18"/>
              </w:rPr>
              <w:t>F</w:t>
            </w:r>
            <w:r>
              <w:rPr>
                <w:rFonts w:ascii="Times New Roman" w:hAnsi="宋体"/>
                <w:color w:val="000000"/>
                <w:kern w:val="0"/>
                <w:sz w:val="18"/>
                <w:szCs w:val="18"/>
              </w:rPr>
              <w:t>）</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短链氯化石蜡</w:t>
            </w:r>
            <w:r>
              <w:rPr>
                <w:rFonts w:ascii="Times New Roman" w:hAnsi="Times New Roman"/>
                <w:color w:val="000000"/>
                <w:kern w:val="0"/>
                <w:sz w:val="18"/>
                <w:szCs w:val="18"/>
              </w:rPr>
              <w:t>(SCCP)(C10-C13)</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TCEP</w:t>
            </w:r>
            <w:r>
              <w:rPr>
                <w:rFonts w:ascii="Times New Roman" w:hAnsi="宋体"/>
                <w:color w:val="000000"/>
                <w:kern w:val="0"/>
                <w:sz w:val="18"/>
                <w:szCs w:val="18"/>
              </w:rPr>
              <w:t>，</w:t>
            </w:r>
            <w:r>
              <w:rPr>
                <w:rFonts w:ascii="Times New Roman" w:hAnsi="Times New Roman"/>
                <w:color w:val="000000"/>
                <w:kern w:val="0"/>
                <w:sz w:val="18"/>
                <w:szCs w:val="18"/>
              </w:rPr>
              <w:t>DecaBDE</w:t>
            </w:r>
            <w:r>
              <w:rPr>
                <w:rFonts w:ascii="Times New Roman" w:hAnsi="宋体"/>
                <w:color w:val="000000"/>
                <w:kern w:val="0"/>
                <w:sz w:val="18"/>
                <w:szCs w:val="18"/>
              </w:rPr>
              <w:t>，</w:t>
            </w:r>
            <w:r>
              <w:rPr>
                <w:rFonts w:ascii="Times New Roman" w:hAnsi="Times New Roman"/>
                <w:color w:val="000000"/>
                <w:kern w:val="0"/>
                <w:sz w:val="18"/>
                <w:szCs w:val="18"/>
              </w:rPr>
              <w:t>TRIS</w:t>
            </w:r>
            <w:r>
              <w:rPr>
                <w:rFonts w:ascii="Times New Roman" w:hAnsi="宋体"/>
                <w:color w:val="000000"/>
                <w:kern w:val="0"/>
                <w:sz w:val="18"/>
                <w:szCs w:val="18"/>
              </w:rPr>
              <w:t>，</w:t>
            </w:r>
            <w:r>
              <w:rPr>
                <w:rFonts w:ascii="Times New Roman" w:hAnsi="Times New Roman"/>
                <w:color w:val="000000"/>
                <w:kern w:val="0"/>
                <w:sz w:val="18"/>
                <w:szCs w:val="18"/>
              </w:rPr>
              <w:t>PentaBDE</w:t>
            </w:r>
            <w:r>
              <w:rPr>
                <w:rFonts w:ascii="Times New Roman" w:hAnsi="宋体"/>
                <w:color w:val="000000"/>
                <w:kern w:val="0"/>
                <w:sz w:val="18"/>
                <w:szCs w:val="18"/>
              </w:rPr>
              <w:t>，</w:t>
            </w:r>
            <w:r>
              <w:rPr>
                <w:rFonts w:ascii="Times New Roman" w:hAnsi="Times New Roman"/>
                <w:color w:val="000000"/>
                <w:kern w:val="0"/>
                <w:sz w:val="18"/>
                <w:szCs w:val="18"/>
              </w:rPr>
              <w:t>OctaBDE</w:t>
            </w:r>
            <w:r>
              <w:rPr>
                <w:rFonts w:ascii="Times New Roman" w:hAnsi="宋体"/>
                <w:color w:val="000000"/>
                <w:kern w:val="0"/>
                <w:sz w:val="18"/>
                <w:szCs w:val="18"/>
              </w:rPr>
              <w:t>，</w:t>
            </w:r>
            <w:r>
              <w:rPr>
                <w:rFonts w:ascii="Times New Roman" w:hAnsi="Times New Roman"/>
                <w:color w:val="000000"/>
                <w:sz w:val="18"/>
                <w:szCs w:val="18"/>
                <w:lang w:val="en-GB"/>
              </w:rPr>
              <w:t>BDBPP</w:t>
            </w:r>
            <w:r>
              <w:rPr>
                <w:rFonts w:ascii="Times New Roman" w:hAnsi="宋体"/>
                <w:color w:val="000000"/>
                <w:kern w:val="0"/>
                <w:sz w:val="18"/>
                <w:szCs w:val="18"/>
              </w:rPr>
              <w:t>，</w:t>
            </w:r>
            <w:r>
              <w:rPr>
                <w:rFonts w:ascii="Times New Roman" w:hAnsi="Times New Roman"/>
                <w:color w:val="000000"/>
                <w:kern w:val="0"/>
                <w:sz w:val="18"/>
                <w:szCs w:val="18"/>
              </w:rPr>
              <w:t>TEPA</w:t>
            </w:r>
            <w:r>
              <w:rPr>
                <w:rFonts w:ascii="Times New Roman" w:hAnsi="宋体"/>
                <w:color w:val="000000"/>
                <w:kern w:val="0"/>
                <w:sz w:val="18"/>
                <w:szCs w:val="18"/>
              </w:rPr>
              <w:t>，</w:t>
            </w:r>
            <w:r>
              <w:rPr>
                <w:rFonts w:ascii="Times New Roman" w:hAnsi="Times New Roman"/>
                <w:color w:val="000000"/>
                <w:kern w:val="0"/>
                <w:sz w:val="18"/>
                <w:szCs w:val="18"/>
              </w:rPr>
              <w:t>PBB</w:t>
            </w:r>
            <w:r>
              <w:rPr>
                <w:rFonts w:ascii="Times New Roman" w:hAnsi="宋体"/>
                <w:color w:val="000000"/>
                <w:kern w:val="0"/>
                <w:sz w:val="18"/>
                <w:szCs w:val="18"/>
              </w:rPr>
              <w:t>，</w:t>
            </w:r>
            <w:r>
              <w:rPr>
                <w:rFonts w:ascii="Times New Roman" w:hAnsi="Times New Roman"/>
                <w:color w:val="000000"/>
                <w:kern w:val="0"/>
                <w:sz w:val="18"/>
                <w:szCs w:val="18"/>
              </w:rPr>
              <w:t>TBBPA</w:t>
            </w:r>
            <w:r>
              <w:rPr>
                <w:rFonts w:ascii="Times New Roman" w:hAnsi="宋体"/>
                <w:color w:val="000000"/>
                <w:kern w:val="0"/>
                <w:sz w:val="18"/>
                <w:szCs w:val="18"/>
              </w:rPr>
              <w:t>，</w:t>
            </w:r>
            <w:r>
              <w:rPr>
                <w:rFonts w:ascii="Times New Roman" w:hAnsi="Times New Roman"/>
                <w:color w:val="000000"/>
                <w:kern w:val="0"/>
                <w:sz w:val="18"/>
                <w:szCs w:val="18"/>
              </w:rPr>
              <w:t>HBCDD</w:t>
            </w:r>
            <w:r>
              <w:rPr>
                <w:rFonts w:ascii="Times New Roman" w:hAnsi="宋体"/>
                <w:color w:val="000000"/>
                <w:kern w:val="0"/>
                <w:sz w:val="18"/>
                <w:szCs w:val="18"/>
              </w:rPr>
              <w:t>，</w:t>
            </w:r>
            <w:r>
              <w:rPr>
                <w:rFonts w:ascii="Times New Roman" w:hAnsi="Times New Roman"/>
                <w:color w:val="000000"/>
                <w:kern w:val="0"/>
                <w:sz w:val="18"/>
                <w:szCs w:val="18"/>
              </w:rPr>
              <w:t>BBMP</w:t>
            </w:r>
            <w:r>
              <w:rPr>
                <w:rFonts w:ascii="Times New Roman" w:hAnsi="宋体"/>
                <w:color w:val="000000"/>
                <w:kern w:val="0"/>
                <w:sz w:val="18"/>
                <w:szCs w:val="18"/>
              </w:rPr>
              <w:t>，</w:t>
            </w:r>
            <w:r>
              <w:rPr>
                <w:rFonts w:ascii="Times New Roman" w:hAnsi="Times New Roman"/>
                <w:color w:val="000000"/>
                <w:kern w:val="0"/>
                <w:sz w:val="18"/>
                <w:szCs w:val="18"/>
              </w:rPr>
              <w:t>TDCPP</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8</w:t>
            </w:r>
          </w:p>
        </w:tc>
        <w:tc>
          <w:tcPr>
            <w:tcW w:w="708" w:type="dxa"/>
            <w:vMerge/>
            <w:vAlign w:val="center"/>
          </w:tcPr>
          <w:p>
            <w:pPr>
              <w:widowControl/>
              <w:jc w:val="left"/>
              <w:rPr>
                <w:rFonts w:ascii="Times New Roman" w:hAnsi="Times New Roman"/>
                <w:color w:val="000000"/>
                <w:kern w:val="0"/>
                <w:sz w:val="18"/>
                <w:szCs w:val="18"/>
              </w:rPr>
            </w:pPr>
          </w:p>
        </w:tc>
        <w:tc>
          <w:tcPr>
            <w:tcW w:w="128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乙二醇类物质（见附录</w:t>
            </w:r>
            <w:r>
              <w:rPr>
                <w:rFonts w:ascii="Times New Roman" w:hAnsi="Times New Roman"/>
                <w:color w:val="000000"/>
                <w:kern w:val="0"/>
                <w:sz w:val="18"/>
                <w:szCs w:val="18"/>
              </w:rPr>
              <w:t>G</w:t>
            </w:r>
            <w:r>
              <w:rPr>
                <w:rFonts w:ascii="Times New Roman" w:hAnsi="宋体"/>
                <w:color w:val="000000"/>
                <w:kern w:val="0"/>
                <w:sz w:val="18"/>
                <w:szCs w:val="18"/>
              </w:rPr>
              <w:t>）</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二甘醇二甲醚、乙二醇单乙醚、乙二醇乙醚乙酸酯、乙二醇二甲醚、乙二醇甲醚、乙二醇甲醚乙酸酯、</w:t>
            </w:r>
            <w:r>
              <w:rPr>
                <w:rFonts w:ascii="Times New Roman" w:hAnsi="Times New Roman"/>
                <w:color w:val="000000"/>
                <w:kern w:val="0"/>
                <w:sz w:val="18"/>
                <w:szCs w:val="18"/>
              </w:rPr>
              <w:t>2-</w:t>
            </w:r>
            <w:r>
              <w:rPr>
                <w:rFonts w:ascii="Times New Roman" w:hAnsi="宋体"/>
                <w:color w:val="000000"/>
                <w:kern w:val="0"/>
                <w:sz w:val="18"/>
                <w:szCs w:val="18"/>
              </w:rPr>
              <w:t>甲氧基</w:t>
            </w:r>
            <w:r>
              <w:rPr>
                <w:rFonts w:ascii="Times New Roman" w:hAnsi="Times New Roman"/>
                <w:color w:val="000000"/>
                <w:kern w:val="0"/>
                <w:sz w:val="18"/>
                <w:szCs w:val="18"/>
              </w:rPr>
              <w:t>-1-</w:t>
            </w:r>
            <w:r>
              <w:rPr>
                <w:rFonts w:ascii="Times New Roman" w:hAnsi="宋体"/>
                <w:color w:val="000000"/>
                <w:kern w:val="0"/>
                <w:sz w:val="18"/>
                <w:szCs w:val="18"/>
              </w:rPr>
              <w:t>丙醇乙酸酯、三甘醇二甲醚</w:t>
            </w:r>
          </w:p>
        </w:tc>
        <w:tc>
          <w:tcPr>
            <w:tcW w:w="874"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9</w:t>
            </w:r>
          </w:p>
        </w:tc>
        <w:tc>
          <w:tcPr>
            <w:tcW w:w="708" w:type="dxa"/>
            <w:vMerge/>
            <w:vAlign w:val="center"/>
          </w:tcPr>
          <w:p>
            <w:pPr>
              <w:widowControl/>
              <w:jc w:val="left"/>
              <w:rPr>
                <w:rFonts w:ascii="Times New Roman" w:hAnsi="Times New Roman"/>
                <w:color w:val="000000"/>
                <w:kern w:val="0"/>
                <w:sz w:val="18"/>
                <w:szCs w:val="18"/>
              </w:rPr>
            </w:pPr>
          </w:p>
        </w:tc>
        <w:tc>
          <w:tcPr>
            <w:tcW w:w="1280"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卤化溶剂</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三氯乙烯</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40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1,2-</w:t>
            </w:r>
            <w:r>
              <w:rPr>
                <w:rFonts w:ascii="Times New Roman" w:hAnsi="宋体"/>
                <w:color w:val="000000"/>
                <w:kern w:val="0"/>
                <w:sz w:val="18"/>
                <w:szCs w:val="18"/>
              </w:rPr>
              <w:t>二氯乙烷，二氯甲烷，四氯乙烯</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5</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10</w:t>
            </w:r>
          </w:p>
        </w:tc>
        <w:tc>
          <w:tcPr>
            <w:tcW w:w="708"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资源属性</w:t>
            </w:r>
          </w:p>
        </w:tc>
        <w:tc>
          <w:tcPr>
            <w:tcW w:w="1280"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有机锡化合物</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二丁基锡（</w:t>
            </w:r>
            <w:r>
              <w:rPr>
                <w:rFonts w:ascii="Times New Roman" w:hAnsi="Times New Roman"/>
                <w:color w:val="000000"/>
                <w:kern w:val="0"/>
                <w:sz w:val="18"/>
                <w:szCs w:val="18"/>
              </w:rPr>
              <w:t>DBT</w:t>
            </w:r>
            <w:r>
              <w:rPr>
                <w:rFonts w:ascii="Times New Roman" w:hAnsi="宋体"/>
                <w:color w:val="000000"/>
                <w:kern w:val="0"/>
                <w:sz w:val="18"/>
                <w:szCs w:val="18"/>
              </w:rPr>
              <w:t>）</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20</w:t>
            </w:r>
          </w:p>
        </w:tc>
        <w:tc>
          <w:tcPr>
            <w:tcW w:w="1276" w:type="dxa"/>
            <w:vMerge/>
            <w:vAlign w:val="center"/>
          </w:tcPr>
          <w:p>
            <w:pPr>
              <w:jc w:val="left"/>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单、双和三甲基锡衍生物</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5</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单、双和三丁基锡衍生物</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5</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单、双和三苯基锡衍生物</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5</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单、双和三辛基锡衍生物</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5</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11</w:t>
            </w:r>
          </w:p>
        </w:tc>
        <w:tc>
          <w:tcPr>
            <w:tcW w:w="708" w:type="dxa"/>
            <w:vMerge/>
            <w:vAlign w:val="center"/>
          </w:tcPr>
          <w:p>
            <w:pPr>
              <w:widowControl/>
              <w:jc w:val="left"/>
              <w:rPr>
                <w:rFonts w:ascii="Times New Roman" w:hAnsi="Times New Roman"/>
                <w:color w:val="000000"/>
                <w:kern w:val="0"/>
                <w:sz w:val="18"/>
                <w:szCs w:val="18"/>
              </w:rPr>
            </w:pPr>
          </w:p>
        </w:tc>
        <w:tc>
          <w:tcPr>
            <w:tcW w:w="1280"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多环芳烃（</w:t>
            </w:r>
            <w:r>
              <w:rPr>
                <w:rFonts w:ascii="Times New Roman" w:hAnsi="Times New Roman"/>
                <w:color w:val="000000"/>
                <w:kern w:val="0"/>
                <w:sz w:val="18"/>
                <w:szCs w:val="18"/>
              </w:rPr>
              <w:t>PAHs</w:t>
            </w:r>
            <w:r>
              <w:rPr>
                <w:rFonts w:ascii="Times New Roman" w:hAnsi="宋体"/>
                <w:color w:val="000000"/>
                <w:kern w:val="0"/>
                <w:sz w:val="18"/>
                <w:szCs w:val="18"/>
              </w:rPr>
              <w:t>）（见附录</w:t>
            </w:r>
            <w:r>
              <w:rPr>
                <w:rFonts w:ascii="Times New Roman" w:hAnsi="Times New Roman"/>
                <w:color w:val="000000"/>
                <w:kern w:val="0"/>
                <w:sz w:val="18"/>
                <w:szCs w:val="18"/>
              </w:rPr>
              <w:t>H</w:t>
            </w:r>
            <w:r>
              <w:rPr>
                <w:rFonts w:ascii="Times New Roman" w:hAnsi="宋体"/>
                <w:color w:val="000000"/>
                <w:kern w:val="0"/>
                <w:sz w:val="18"/>
                <w:szCs w:val="18"/>
              </w:rPr>
              <w:t>）</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苯并</w:t>
            </w:r>
            <w:r>
              <w:rPr>
                <w:rFonts w:ascii="Times New Roman" w:hAnsi="Times New Roman"/>
                <w:color w:val="000000"/>
                <w:kern w:val="0"/>
                <w:sz w:val="18"/>
                <w:szCs w:val="18"/>
              </w:rPr>
              <w:t>(a)</w:t>
            </w:r>
            <w:r>
              <w:rPr>
                <w:rFonts w:ascii="Times New Roman" w:hAnsi="宋体"/>
                <w:color w:val="000000"/>
                <w:kern w:val="0"/>
                <w:sz w:val="18"/>
                <w:szCs w:val="18"/>
              </w:rPr>
              <w:t>芘（</w:t>
            </w:r>
            <w:r>
              <w:rPr>
                <w:rFonts w:ascii="Times New Roman" w:hAnsi="Times New Roman"/>
                <w:color w:val="000000"/>
                <w:kern w:val="0"/>
                <w:sz w:val="18"/>
                <w:szCs w:val="18"/>
              </w:rPr>
              <w:t>BaP</w:t>
            </w:r>
            <w:r>
              <w:rPr>
                <w:rFonts w:ascii="Times New Roman" w:hAnsi="宋体"/>
                <w:color w:val="000000"/>
                <w:kern w:val="0"/>
                <w:sz w:val="18"/>
                <w:szCs w:val="18"/>
              </w:rPr>
              <w:t>）</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其他多环芳烃（</w:t>
            </w:r>
            <w:r>
              <w:rPr>
                <w:rFonts w:ascii="Times New Roman" w:hAnsi="Times New Roman"/>
                <w:color w:val="000000"/>
                <w:kern w:val="0"/>
                <w:sz w:val="18"/>
                <w:szCs w:val="18"/>
              </w:rPr>
              <w:t>PAHs</w:t>
            </w:r>
            <w:r>
              <w:rPr>
                <w:rFonts w:ascii="Times New Roman" w:hAnsi="宋体"/>
                <w:color w:val="000000"/>
                <w:kern w:val="0"/>
                <w:sz w:val="18"/>
                <w:szCs w:val="18"/>
              </w:rPr>
              <w:t>）（总量）</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200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12</w:t>
            </w:r>
          </w:p>
        </w:tc>
        <w:tc>
          <w:tcPr>
            <w:tcW w:w="708" w:type="dxa"/>
            <w:vMerge/>
            <w:vAlign w:val="center"/>
          </w:tcPr>
          <w:p>
            <w:pPr>
              <w:widowControl/>
              <w:jc w:val="left"/>
              <w:rPr>
                <w:rFonts w:ascii="Times New Roman" w:hAnsi="Times New Roman"/>
                <w:color w:val="000000"/>
                <w:kern w:val="0"/>
                <w:sz w:val="18"/>
                <w:szCs w:val="18"/>
              </w:rPr>
            </w:pPr>
          </w:p>
        </w:tc>
        <w:tc>
          <w:tcPr>
            <w:tcW w:w="1280"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全氟化合物（</w:t>
            </w:r>
            <w:r>
              <w:rPr>
                <w:rFonts w:ascii="Times New Roman" w:hAnsi="Times New Roman"/>
                <w:color w:val="000000"/>
                <w:kern w:val="0"/>
                <w:sz w:val="18"/>
                <w:szCs w:val="18"/>
              </w:rPr>
              <w:t>PFC</w:t>
            </w:r>
            <w:r>
              <w:rPr>
                <w:rFonts w:ascii="Times New Roman" w:hAnsi="宋体"/>
                <w:color w:val="000000"/>
                <w:kern w:val="0"/>
                <w:sz w:val="18"/>
                <w:szCs w:val="18"/>
              </w:rPr>
              <w:t>）</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全氟辛烷磺酸（</w:t>
            </w:r>
            <w:r>
              <w:rPr>
                <w:rFonts w:ascii="Times New Roman" w:hAnsi="Times New Roman"/>
                <w:color w:val="000000"/>
                <w:kern w:val="0"/>
                <w:sz w:val="18"/>
                <w:szCs w:val="18"/>
              </w:rPr>
              <w:t>PFOS</w:t>
            </w:r>
            <w:r>
              <w:rPr>
                <w:rFonts w:ascii="Times New Roman" w:hAnsi="宋体"/>
                <w:color w:val="000000"/>
                <w:kern w:val="0"/>
                <w:sz w:val="18"/>
                <w:szCs w:val="18"/>
              </w:rPr>
              <w:t>）和相关物质（总量）</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全氟辛酸（</w:t>
            </w:r>
            <w:r>
              <w:rPr>
                <w:rFonts w:ascii="Times New Roman" w:hAnsi="Times New Roman"/>
                <w:color w:val="000000"/>
                <w:kern w:val="0"/>
                <w:sz w:val="18"/>
                <w:szCs w:val="18"/>
              </w:rPr>
              <w:t>PFOA</w:t>
            </w:r>
            <w:r>
              <w:rPr>
                <w:rFonts w:ascii="Times New Roman" w:hAnsi="宋体"/>
                <w:color w:val="000000"/>
                <w:kern w:val="0"/>
                <w:sz w:val="18"/>
                <w:szCs w:val="18"/>
              </w:rPr>
              <w:t>）和相关物质（总量）</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13</w:t>
            </w:r>
          </w:p>
        </w:tc>
        <w:tc>
          <w:tcPr>
            <w:tcW w:w="708" w:type="dxa"/>
            <w:vMerge/>
            <w:vAlign w:val="center"/>
          </w:tcPr>
          <w:p>
            <w:pPr>
              <w:widowControl/>
              <w:jc w:val="left"/>
              <w:rPr>
                <w:rFonts w:ascii="Times New Roman" w:hAnsi="Times New Roman"/>
                <w:color w:val="000000"/>
                <w:kern w:val="0"/>
                <w:sz w:val="18"/>
                <w:szCs w:val="18"/>
              </w:rPr>
            </w:pPr>
          </w:p>
        </w:tc>
        <w:tc>
          <w:tcPr>
            <w:tcW w:w="128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邻苯二甲酸酯（见附录</w:t>
            </w:r>
            <w:r>
              <w:rPr>
                <w:rFonts w:ascii="Times New Roman" w:hAnsi="Times New Roman"/>
                <w:color w:val="000000"/>
                <w:kern w:val="0"/>
                <w:sz w:val="18"/>
                <w:szCs w:val="18"/>
              </w:rPr>
              <w:t>I</w:t>
            </w:r>
            <w:r>
              <w:rPr>
                <w:rFonts w:ascii="Times New Roman" w:hAnsi="宋体"/>
                <w:color w:val="000000"/>
                <w:kern w:val="0"/>
                <w:sz w:val="18"/>
                <w:szCs w:val="18"/>
              </w:rPr>
              <w:t>）</w:t>
            </w:r>
          </w:p>
        </w:tc>
        <w:tc>
          <w:tcPr>
            <w:tcW w:w="3119" w:type="dxa"/>
            <w:vAlign w:val="center"/>
          </w:tcPr>
          <w:p>
            <w:pPr>
              <w:widowControl/>
              <w:spacing w:after="0"/>
              <w:jc w:val="left"/>
              <w:rPr>
                <w:rFonts w:ascii="Times New Roman" w:hAnsi="Times New Roman"/>
                <w:color w:val="000000"/>
                <w:kern w:val="0"/>
                <w:sz w:val="18"/>
                <w:szCs w:val="18"/>
              </w:rPr>
            </w:pPr>
            <w:r>
              <w:rPr>
                <w:rFonts w:ascii="Times New Roman" w:hAnsi="Times New Roman"/>
                <w:color w:val="000000"/>
                <w:kern w:val="0"/>
                <w:sz w:val="18"/>
                <w:szCs w:val="18"/>
              </w:rPr>
              <w:t>DEHP</w:t>
            </w:r>
            <w:r>
              <w:rPr>
                <w:rFonts w:ascii="Times New Roman" w:hAnsi="宋体"/>
                <w:color w:val="000000"/>
                <w:kern w:val="0"/>
                <w:sz w:val="18"/>
                <w:szCs w:val="18"/>
              </w:rPr>
              <w:t>，</w:t>
            </w:r>
            <w:r>
              <w:rPr>
                <w:rFonts w:ascii="Times New Roman" w:hAnsi="Times New Roman"/>
                <w:color w:val="000000"/>
                <w:kern w:val="0"/>
                <w:sz w:val="18"/>
                <w:szCs w:val="18"/>
              </w:rPr>
              <w:t>DMEP</w:t>
            </w:r>
            <w:r>
              <w:rPr>
                <w:rFonts w:ascii="Times New Roman" w:hAnsi="宋体"/>
                <w:color w:val="000000"/>
                <w:kern w:val="0"/>
                <w:sz w:val="18"/>
                <w:szCs w:val="18"/>
              </w:rPr>
              <w:t>，</w:t>
            </w:r>
            <w:r>
              <w:rPr>
                <w:rFonts w:ascii="Times New Roman" w:hAnsi="Times New Roman"/>
                <w:color w:val="000000"/>
                <w:kern w:val="0"/>
                <w:sz w:val="18"/>
                <w:szCs w:val="18"/>
              </w:rPr>
              <w:t>DNOP</w:t>
            </w:r>
            <w:r>
              <w:rPr>
                <w:rFonts w:ascii="Times New Roman" w:hAnsi="宋体"/>
                <w:color w:val="000000"/>
                <w:kern w:val="0"/>
                <w:sz w:val="18"/>
                <w:szCs w:val="18"/>
              </w:rPr>
              <w:t>，</w:t>
            </w:r>
            <w:r>
              <w:rPr>
                <w:rFonts w:ascii="Times New Roman" w:hAnsi="Times New Roman"/>
                <w:color w:val="000000"/>
                <w:kern w:val="0"/>
                <w:sz w:val="18"/>
                <w:szCs w:val="18"/>
              </w:rPr>
              <w:t>DIDP</w:t>
            </w:r>
            <w:r>
              <w:rPr>
                <w:rFonts w:ascii="Times New Roman" w:hAnsi="宋体"/>
                <w:color w:val="000000"/>
                <w:kern w:val="0"/>
                <w:sz w:val="18"/>
                <w:szCs w:val="18"/>
              </w:rPr>
              <w:t>，</w:t>
            </w:r>
            <w:r>
              <w:rPr>
                <w:rFonts w:ascii="Times New Roman" w:hAnsi="Times New Roman"/>
                <w:color w:val="000000"/>
                <w:kern w:val="0"/>
                <w:sz w:val="18"/>
                <w:szCs w:val="18"/>
              </w:rPr>
              <w:t>DINP</w:t>
            </w:r>
            <w:r>
              <w:rPr>
                <w:rFonts w:ascii="Times New Roman" w:hAnsi="宋体"/>
                <w:color w:val="000000"/>
                <w:kern w:val="0"/>
                <w:sz w:val="18"/>
                <w:szCs w:val="18"/>
              </w:rPr>
              <w:t>，</w:t>
            </w:r>
            <w:r>
              <w:rPr>
                <w:rFonts w:ascii="Times New Roman" w:hAnsi="Times New Roman"/>
                <w:color w:val="000000"/>
                <w:kern w:val="0"/>
                <w:sz w:val="18"/>
                <w:szCs w:val="18"/>
              </w:rPr>
              <w:t>DnHP</w:t>
            </w:r>
            <w:r>
              <w:rPr>
                <w:rFonts w:ascii="Times New Roman" w:hAnsi="宋体"/>
                <w:color w:val="000000"/>
                <w:kern w:val="0"/>
                <w:sz w:val="18"/>
                <w:szCs w:val="18"/>
              </w:rPr>
              <w:t>，</w:t>
            </w:r>
            <w:r>
              <w:rPr>
                <w:rFonts w:ascii="Times New Roman" w:hAnsi="Times New Roman"/>
                <w:color w:val="000000"/>
                <w:kern w:val="0"/>
                <w:sz w:val="18"/>
                <w:szCs w:val="18"/>
              </w:rPr>
              <w:t>DBP</w:t>
            </w:r>
            <w:r>
              <w:rPr>
                <w:rFonts w:ascii="Times New Roman" w:hAnsi="宋体"/>
                <w:color w:val="000000"/>
                <w:kern w:val="0"/>
                <w:sz w:val="18"/>
                <w:szCs w:val="18"/>
              </w:rPr>
              <w:t>，</w:t>
            </w:r>
            <w:r>
              <w:rPr>
                <w:rFonts w:ascii="Times New Roman" w:hAnsi="Times New Roman"/>
                <w:color w:val="000000"/>
                <w:kern w:val="0"/>
                <w:sz w:val="18"/>
                <w:szCs w:val="18"/>
              </w:rPr>
              <w:t>BBP</w:t>
            </w:r>
            <w:r>
              <w:rPr>
                <w:rFonts w:ascii="Times New Roman" w:hAnsi="宋体"/>
                <w:color w:val="000000"/>
                <w:kern w:val="0"/>
                <w:sz w:val="18"/>
                <w:szCs w:val="18"/>
              </w:rPr>
              <w:t>，</w:t>
            </w:r>
            <w:r>
              <w:rPr>
                <w:rFonts w:ascii="Times New Roman" w:hAnsi="Times New Roman"/>
                <w:color w:val="000000"/>
                <w:kern w:val="0"/>
                <w:sz w:val="18"/>
                <w:szCs w:val="18"/>
              </w:rPr>
              <w:t>DNP</w:t>
            </w:r>
            <w:r>
              <w:rPr>
                <w:rFonts w:ascii="Times New Roman" w:hAnsi="宋体"/>
                <w:color w:val="000000"/>
                <w:kern w:val="0"/>
                <w:sz w:val="18"/>
                <w:szCs w:val="18"/>
              </w:rPr>
              <w:t>，</w:t>
            </w:r>
            <w:r>
              <w:rPr>
                <w:rFonts w:ascii="Times New Roman" w:hAnsi="Times New Roman"/>
                <w:color w:val="000000"/>
                <w:kern w:val="0"/>
                <w:sz w:val="18"/>
                <w:szCs w:val="18"/>
              </w:rPr>
              <w:t>DEP</w:t>
            </w:r>
            <w:r>
              <w:rPr>
                <w:rFonts w:ascii="Times New Roman" w:hAnsi="宋体"/>
                <w:color w:val="000000"/>
                <w:kern w:val="0"/>
                <w:sz w:val="18"/>
                <w:szCs w:val="18"/>
              </w:rPr>
              <w:t>，</w:t>
            </w:r>
            <w:r>
              <w:rPr>
                <w:rFonts w:ascii="Times New Roman" w:hAnsi="Times New Roman"/>
                <w:color w:val="000000"/>
                <w:kern w:val="0"/>
                <w:sz w:val="18"/>
                <w:szCs w:val="18"/>
              </w:rPr>
              <w:t>DPRP</w:t>
            </w:r>
            <w:r>
              <w:rPr>
                <w:rFonts w:ascii="Times New Roman" w:hAnsi="宋体"/>
                <w:color w:val="000000"/>
                <w:kern w:val="0"/>
                <w:sz w:val="18"/>
                <w:szCs w:val="18"/>
              </w:rPr>
              <w:t>，</w:t>
            </w:r>
            <w:r>
              <w:rPr>
                <w:rFonts w:ascii="Times New Roman" w:hAnsi="Times New Roman"/>
                <w:color w:val="000000"/>
                <w:kern w:val="0"/>
                <w:sz w:val="18"/>
                <w:szCs w:val="18"/>
              </w:rPr>
              <w:t>DIBP</w:t>
            </w:r>
            <w:r>
              <w:rPr>
                <w:rFonts w:ascii="Times New Roman" w:hAnsi="宋体"/>
                <w:color w:val="000000"/>
                <w:kern w:val="0"/>
                <w:sz w:val="18"/>
                <w:szCs w:val="18"/>
              </w:rPr>
              <w:t>，</w:t>
            </w:r>
            <w:r>
              <w:rPr>
                <w:rFonts w:ascii="Times New Roman" w:hAnsi="Times New Roman"/>
                <w:color w:val="000000"/>
                <w:kern w:val="0"/>
                <w:sz w:val="18"/>
                <w:szCs w:val="18"/>
              </w:rPr>
              <w:t>DCHP</w:t>
            </w:r>
            <w:r>
              <w:rPr>
                <w:rFonts w:ascii="Times New Roman" w:hAnsi="宋体"/>
                <w:color w:val="000000"/>
                <w:kern w:val="0"/>
                <w:sz w:val="18"/>
                <w:szCs w:val="18"/>
              </w:rPr>
              <w:t>，</w:t>
            </w:r>
            <w:r>
              <w:rPr>
                <w:rFonts w:ascii="Times New Roman" w:hAnsi="Times New Roman"/>
                <w:color w:val="000000"/>
                <w:kern w:val="0"/>
                <w:sz w:val="18"/>
                <w:szCs w:val="18"/>
              </w:rPr>
              <w:t>DIOP</w:t>
            </w:r>
            <w:r>
              <w:rPr>
                <w:rFonts w:ascii="Times New Roman" w:hAnsi="宋体"/>
                <w:color w:val="000000"/>
                <w:kern w:val="0"/>
                <w:sz w:val="18"/>
                <w:szCs w:val="18"/>
              </w:rPr>
              <w:t>，</w:t>
            </w:r>
          </w:p>
        </w:tc>
        <w:tc>
          <w:tcPr>
            <w:tcW w:w="874"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250</w:t>
            </w:r>
          </w:p>
        </w:tc>
        <w:tc>
          <w:tcPr>
            <w:tcW w:w="1276" w:type="dxa"/>
            <w:vMerge/>
            <w:vAlign w:val="center"/>
          </w:tcPr>
          <w:p>
            <w:pPr>
              <w:jc w:val="center"/>
              <w:rPr>
                <w:rFonts w:ascii="Times New Roman" w:hAnsi="Times New Roman"/>
                <w:sz w:val="18"/>
                <w:szCs w:val="18"/>
              </w:rPr>
            </w:pPr>
          </w:p>
        </w:tc>
      </w:tr>
    </w:tbl>
    <w:p>
      <w:p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218" w:right="1134" w:bottom="1134" w:left="1418" w:header="851" w:footer="992" w:gutter="0"/>
          <w:pgNumType w:fmt="numberInDash" w:start="4"/>
          <w:cols w:space="708"/>
          <w:titlePg w:val="0"/>
          <w:docGrid w:type="lines" w:linePitch="312"/>
        </w:sectPr>
      </w:pPr>
    </w:p>
    <w:tbl>
      <w:tblPr>
        <w:tblStyle w:val="TableNormal"/>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16"/>
        <w:gridCol w:w="708"/>
        <w:gridCol w:w="1280"/>
        <w:gridCol w:w="3119"/>
        <w:gridCol w:w="874"/>
        <w:gridCol w:w="1677"/>
        <w:gridCol w:w="1276"/>
      </w:tblGrid>
      <w:tr>
        <w:tblPrEx>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1"/>
        </w:trPr>
        <w:tc>
          <w:tcPr>
            <w:tcW w:w="416" w:type="dxa"/>
            <w:vAlign w:val="center"/>
          </w:tcPr>
          <w:p/>
        </w:tc>
        <w:tc>
          <w:tcPr>
            <w:tcW w:w="708" w:type="dxa"/>
            <w:vMerge w:val="restart"/>
            <w:vAlign w:val="center"/>
          </w:tcPr>
          <w:p/>
        </w:tc>
        <w:tc>
          <w:tcPr>
            <w:tcW w:w="1280" w:type="dxa"/>
            <w:vAlign w:val="center"/>
          </w:tcPr>
          <w:p/>
        </w:tc>
        <w:tc>
          <w:tcPr>
            <w:tcW w:w="3119" w:type="dxa"/>
            <w:vAlign w:val="center"/>
          </w:tcPr>
          <w:p>
            <w:pPr>
              <w:widowControl/>
              <w:spacing w:before="0"/>
              <w:jc w:val="left"/>
              <w:rPr>
                <w:rFonts w:ascii="Times New Roman" w:hAnsi="Times New Roman"/>
                <w:color w:val="000000"/>
                <w:kern w:val="0"/>
                <w:sz w:val="18"/>
                <w:szCs w:val="18"/>
              </w:rPr>
            </w:pPr>
            <w:r>
              <w:rPr>
                <w:rFonts w:ascii="Times New Roman" w:hAnsi="Times New Roman"/>
                <w:color w:val="000000"/>
                <w:kern w:val="0"/>
                <w:sz w:val="18"/>
                <w:szCs w:val="18"/>
              </w:rPr>
              <w:t>DHNUP</w:t>
            </w:r>
            <w:r>
              <w:rPr>
                <w:rFonts w:ascii="Times New Roman" w:hAnsi="宋体"/>
                <w:color w:val="000000"/>
                <w:kern w:val="0"/>
                <w:sz w:val="18"/>
                <w:szCs w:val="18"/>
              </w:rPr>
              <w:t>，</w:t>
            </w:r>
            <w:r>
              <w:rPr>
                <w:rFonts w:ascii="Times New Roman" w:hAnsi="Times New Roman"/>
                <w:color w:val="000000"/>
                <w:kern w:val="0"/>
                <w:sz w:val="18"/>
                <w:szCs w:val="18"/>
              </w:rPr>
              <w:t>DIHP</w:t>
            </w:r>
            <w:r>
              <w:rPr>
                <w:rFonts w:ascii="Times New Roman" w:hAnsi="宋体"/>
                <w:color w:val="000000"/>
                <w:kern w:val="0"/>
                <w:sz w:val="18"/>
                <w:szCs w:val="18"/>
              </w:rPr>
              <w:t>（总量）</w:t>
            </w:r>
          </w:p>
        </w:tc>
        <w:tc>
          <w:tcPr>
            <w:tcW w:w="874" w:type="dxa"/>
            <w:vAlign w:val="center"/>
          </w:tcPr>
          <w:p/>
        </w:tc>
        <w:tc>
          <w:tcPr>
            <w:tcW w:w="1677" w:type="dxa"/>
            <w:vAlign w:val="center"/>
          </w:tcPr>
          <w:p/>
        </w:tc>
        <w:tc>
          <w:tcPr>
            <w:tcW w:w="1276" w:type="dxa"/>
            <w:vMerge w:val="restart"/>
            <w:vAlign w:val="center"/>
          </w:tc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14</w:t>
            </w:r>
          </w:p>
        </w:tc>
        <w:tc>
          <w:tcPr>
            <w:tcW w:w="708" w:type="dxa"/>
            <w:vMerge/>
            <w:vAlign w:val="center"/>
          </w:tcPr>
          <w:p>
            <w:pPr>
              <w:widowControl/>
              <w:jc w:val="left"/>
              <w:rPr>
                <w:rFonts w:ascii="Times New Roman" w:hAnsi="Times New Roman"/>
                <w:color w:val="000000"/>
                <w:kern w:val="0"/>
                <w:sz w:val="18"/>
                <w:szCs w:val="18"/>
              </w:rPr>
            </w:pPr>
          </w:p>
        </w:tc>
        <w:tc>
          <w:tcPr>
            <w:tcW w:w="1280"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重金属总量</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砷（</w:t>
            </w:r>
            <w:r>
              <w:rPr>
                <w:rFonts w:ascii="Times New Roman" w:hAnsi="Times New Roman"/>
                <w:color w:val="000000"/>
                <w:kern w:val="0"/>
                <w:sz w:val="18"/>
                <w:szCs w:val="18"/>
              </w:rPr>
              <w:t>As</w:t>
            </w:r>
            <w:r>
              <w:rPr>
                <w:rFonts w:ascii="Times New Roman" w:hAnsi="宋体"/>
                <w:color w:val="000000"/>
                <w:kern w:val="0"/>
                <w:sz w:val="18"/>
                <w:szCs w:val="18"/>
              </w:rPr>
              <w:t>）</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镉（</w:t>
            </w:r>
            <w:r>
              <w:rPr>
                <w:rFonts w:ascii="Times New Roman" w:hAnsi="Times New Roman"/>
                <w:color w:val="000000"/>
                <w:kern w:val="0"/>
                <w:sz w:val="18"/>
                <w:szCs w:val="18"/>
              </w:rPr>
              <w:t>Cd</w:t>
            </w:r>
            <w:r>
              <w:rPr>
                <w:rFonts w:ascii="Times New Roman" w:hAnsi="宋体"/>
                <w:color w:val="000000"/>
                <w:kern w:val="0"/>
                <w:sz w:val="18"/>
                <w:szCs w:val="18"/>
              </w:rPr>
              <w:t>）</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20</w:t>
            </w:r>
            <w:r>
              <w:rPr>
                <w:rFonts w:ascii="Times New Roman" w:hAnsi="宋体"/>
                <w:color w:val="000000"/>
                <w:kern w:val="0"/>
                <w:sz w:val="18"/>
                <w:szCs w:val="18"/>
              </w:rPr>
              <w:t>（颜料中</w:t>
            </w:r>
            <w:r>
              <w:rPr>
                <w:rFonts w:ascii="宋体" w:hAnsi="宋体"/>
                <w:color w:val="000000"/>
                <w:kern w:val="0"/>
                <w:sz w:val="18"/>
                <w:szCs w:val="18"/>
              </w:rPr>
              <w:t>≤</w:t>
            </w:r>
            <w:r>
              <w:rPr>
                <w:rFonts w:ascii="Times New Roman" w:hAnsi="Times New Roman"/>
                <w:color w:val="000000"/>
                <w:kern w:val="0"/>
                <w:sz w:val="18"/>
                <w:szCs w:val="18"/>
              </w:rPr>
              <w:t>50</w:t>
            </w:r>
            <w:r>
              <w:rPr>
                <w:rFonts w:ascii="Times New Roman" w:hAnsi="宋体"/>
                <w:color w:val="000000"/>
                <w:kern w:val="0"/>
                <w:sz w:val="18"/>
                <w:szCs w:val="18"/>
              </w:rPr>
              <w:t>）</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汞（</w:t>
            </w:r>
            <w:r>
              <w:rPr>
                <w:rFonts w:ascii="Times New Roman" w:hAnsi="Times New Roman"/>
                <w:color w:val="000000"/>
                <w:kern w:val="0"/>
                <w:sz w:val="18"/>
                <w:szCs w:val="18"/>
              </w:rPr>
              <w:t>Hg</w:t>
            </w:r>
            <w:r>
              <w:rPr>
                <w:rFonts w:ascii="Times New Roman" w:hAnsi="宋体"/>
                <w:color w:val="000000"/>
                <w:kern w:val="0"/>
                <w:sz w:val="18"/>
                <w:szCs w:val="18"/>
              </w:rPr>
              <w:t>）</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4</w:t>
            </w:r>
            <w:r>
              <w:rPr>
                <w:rFonts w:ascii="Times New Roman" w:hAnsi="宋体"/>
                <w:color w:val="000000"/>
                <w:kern w:val="0"/>
                <w:sz w:val="18"/>
                <w:szCs w:val="18"/>
              </w:rPr>
              <w:t>（颜料中</w:t>
            </w:r>
            <w:r>
              <w:rPr>
                <w:rFonts w:ascii="宋体" w:hAnsi="宋体"/>
                <w:color w:val="000000"/>
                <w:kern w:val="0"/>
                <w:sz w:val="18"/>
                <w:szCs w:val="18"/>
              </w:rPr>
              <w:t>≤</w:t>
            </w:r>
            <w:r>
              <w:rPr>
                <w:rFonts w:ascii="Times New Roman" w:hAnsi="Times New Roman"/>
                <w:color w:val="000000"/>
                <w:kern w:val="0"/>
                <w:sz w:val="18"/>
                <w:szCs w:val="18"/>
              </w:rPr>
              <w:t>25</w:t>
            </w:r>
            <w:r>
              <w:rPr>
                <w:rFonts w:ascii="Times New Roman" w:hAnsi="宋体"/>
                <w:color w:val="000000"/>
                <w:kern w:val="0"/>
                <w:sz w:val="18"/>
                <w:szCs w:val="18"/>
              </w:rPr>
              <w:t>）</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铅（</w:t>
            </w:r>
            <w:r>
              <w:rPr>
                <w:rFonts w:ascii="Times New Roman" w:hAnsi="Times New Roman"/>
                <w:color w:val="000000"/>
                <w:kern w:val="0"/>
                <w:sz w:val="18"/>
                <w:szCs w:val="18"/>
              </w:rPr>
              <w:t>Pb</w:t>
            </w:r>
            <w:r>
              <w:rPr>
                <w:rFonts w:ascii="Times New Roman" w:hAnsi="宋体"/>
                <w:color w:val="000000"/>
                <w:kern w:val="0"/>
                <w:sz w:val="18"/>
                <w:szCs w:val="18"/>
              </w:rPr>
              <w:t>）</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100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六价铬（</w:t>
            </w:r>
            <w:r>
              <w:rPr>
                <w:rFonts w:ascii="Times New Roman" w:hAnsi="Times New Roman"/>
                <w:color w:val="000000"/>
                <w:kern w:val="0"/>
                <w:sz w:val="18"/>
                <w:szCs w:val="18"/>
              </w:rPr>
              <w:t>Cr</w:t>
            </w:r>
            <w:r>
              <w:rPr>
                <w:rFonts w:ascii="Times New Roman" w:hAnsi="Times New Roman"/>
                <w:color w:val="000000"/>
                <w:kern w:val="0"/>
                <w:sz w:val="18"/>
                <w:szCs w:val="18"/>
                <w:vertAlign w:val="superscript"/>
              </w:rPr>
              <w:t>6+</w:t>
            </w:r>
            <w:r>
              <w:rPr>
                <w:rFonts w:ascii="Times New Roman" w:hAnsi="宋体"/>
                <w:color w:val="000000"/>
                <w:kern w:val="0"/>
                <w:sz w:val="18"/>
                <w:szCs w:val="18"/>
              </w:rPr>
              <w:t>）</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10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15</w:t>
            </w:r>
          </w:p>
        </w:tc>
        <w:tc>
          <w:tcPr>
            <w:tcW w:w="708" w:type="dxa"/>
            <w:vMerge/>
            <w:vAlign w:val="center"/>
          </w:tcPr>
          <w:p>
            <w:pPr>
              <w:widowControl/>
              <w:jc w:val="left"/>
              <w:rPr>
                <w:rFonts w:ascii="Times New Roman" w:hAnsi="Times New Roman"/>
                <w:color w:val="000000"/>
                <w:kern w:val="0"/>
                <w:sz w:val="18"/>
                <w:szCs w:val="18"/>
              </w:rPr>
            </w:pPr>
          </w:p>
        </w:tc>
        <w:tc>
          <w:tcPr>
            <w:tcW w:w="1280"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挥发性有机化合物（</w:t>
            </w:r>
            <w:r>
              <w:rPr>
                <w:rFonts w:ascii="Times New Roman" w:hAnsi="Times New Roman"/>
                <w:color w:val="000000"/>
                <w:kern w:val="0"/>
                <w:sz w:val="18"/>
                <w:szCs w:val="18"/>
              </w:rPr>
              <w:t>VOC</w:t>
            </w:r>
            <w:r>
              <w:rPr>
                <w:rFonts w:ascii="Times New Roman" w:hAnsi="宋体"/>
                <w:color w:val="000000"/>
                <w:kern w:val="0"/>
                <w:sz w:val="18"/>
                <w:szCs w:val="18"/>
              </w:rPr>
              <w:t>）</w:t>
            </w: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苯</w:t>
            </w:r>
          </w:p>
        </w:tc>
        <w:tc>
          <w:tcPr>
            <w:tcW w:w="874"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50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416" w:type="dxa"/>
            <w:vMerge/>
            <w:vAlign w:val="center"/>
          </w:tcPr>
          <w:p>
            <w:pPr>
              <w:widowControl/>
              <w:jc w:val="center"/>
              <w:rPr>
                <w:rFonts w:ascii="Times New Roman" w:hAnsi="Times New Roman"/>
                <w:color w:val="000000"/>
                <w:kern w:val="0"/>
                <w:sz w:val="18"/>
                <w:szCs w:val="18"/>
              </w:rPr>
            </w:pPr>
          </w:p>
        </w:tc>
        <w:tc>
          <w:tcPr>
            <w:tcW w:w="708" w:type="dxa"/>
            <w:vMerge/>
            <w:vAlign w:val="center"/>
          </w:tcPr>
          <w:p>
            <w:pPr>
              <w:widowControl/>
              <w:jc w:val="left"/>
              <w:rPr>
                <w:rFonts w:ascii="Times New Roman" w:hAnsi="Times New Roman"/>
                <w:color w:val="000000"/>
                <w:kern w:val="0"/>
                <w:sz w:val="18"/>
                <w:szCs w:val="18"/>
              </w:rPr>
            </w:pPr>
          </w:p>
        </w:tc>
        <w:tc>
          <w:tcPr>
            <w:tcW w:w="1280" w:type="dxa"/>
            <w:vMerge/>
            <w:vAlign w:val="center"/>
          </w:tcPr>
          <w:p>
            <w:pPr>
              <w:widowControl/>
              <w:jc w:val="left"/>
              <w:rPr>
                <w:rFonts w:ascii="Times New Roman" w:hAnsi="Times New Roman"/>
                <w:color w:val="000000"/>
                <w:kern w:val="0"/>
                <w:sz w:val="18"/>
                <w:szCs w:val="18"/>
              </w:rPr>
            </w:pPr>
          </w:p>
        </w:tc>
        <w:tc>
          <w:tcPr>
            <w:tcW w:w="3119"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二甲苯，邻甲苯酚，对甲苯酚，间甲苯酚</w:t>
            </w:r>
          </w:p>
        </w:tc>
        <w:tc>
          <w:tcPr>
            <w:tcW w:w="874" w:type="dxa"/>
            <w:vMerge/>
            <w:vAlign w:val="center"/>
          </w:tcPr>
          <w:p>
            <w:pPr>
              <w:widowControl/>
              <w:jc w:val="center"/>
              <w:rPr>
                <w:rFonts w:ascii="Times New Roman" w:hAnsi="Times New Roman"/>
                <w:color w:val="000000"/>
                <w:kern w:val="0"/>
                <w:sz w:val="18"/>
                <w:szCs w:val="18"/>
              </w:rPr>
            </w:pPr>
          </w:p>
        </w:tc>
        <w:tc>
          <w:tcPr>
            <w:tcW w:w="1677"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500</w:t>
            </w:r>
          </w:p>
        </w:tc>
        <w:tc>
          <w:tcPr>
            <w:tcW w:w="1276" w:type="dxa"/>
            <w:vMerge/>
            <w:vAlign w:val="center"/>
          </w:tcPr>
          <w:p>
            <w:pPr>
              <w:jc w:val="center"/>
              <w:rPr>
                <w:rFonts w:ascii="Times New Roman" w:hAnsi="Times New Roman"/>
                <w:sz w:val="18"/>
                <w:szCs w:val="18"/>
              </w:rPr>
            </w:pPr>
          </w:p>
        </w:tc>
      </w:tr>
      <w:tr>
        <w:tblPrEx>
          <w:tblW w:w="0" w:type="auto"/>
          <w:tblInd w:w="114" w:type="dxa"/>
          <w:tblLayout w:type="fixed"/>
          <w:tblCellMar>
            <w:top w:w="0" w:type="dxa"/>
            <w:left w:w="108" w:type="dxa"/>
            <w:bottom w:w="0" w:type="dxa"/>
            <w:right w:w="108" w:type="dxa"/>
          </w:tblCellMar>
          <w:tblLook w:val="0000"/>
        </w:tblPrEx>
        <w:trPr>
          <w:trHeight w:val="431"/>
        </w:trPr>
        <w:tc>
          <w:tcPr>
            <w:tcW w:w="9350" w:type="dxa"/>
            <w:gridSpan w:val="7"/>
            <w:vAlign w:val="center"/>
          </w:tcPr>
          <w:p>
            <w:pPr>
              <w:jc w:val="both"/>
              <w:rPr>
                <w:rFonts w:ascii="Times New Roman" w:eastAsia="宋体" w:hAnsi="Times New Roman" w:hint="eastAsia"/>
                <w:sz w:val="18"/>
                <w:szCs w:val="18"/>
              </w:rPr>
            </w:pPr>
            <w:r>
              <w:rPr>
                <w:rFonts w:ascii="Times New Roman" w:hAnsi="Times New Roman" w:hint="eastAsia"/>
                <w:sz w:val="18"/>
                <w:szCs w:val="18"/>
                <w:lang w:val="en-US" w:eastAsia="zh-CN"/>
              </w:rPr>
              <w:t>注：</w:t>
            </w:r>
            <w:r>
              <w:rPr>
                <w:rFonts w:ascii="宋体" w:eastAsia="宋体" w:hAnsi="宋体" w:cs="宋体" w:hint="eastAsia"/>
                <w:sz w:val="18"/>
                <w:szCs w:val="18"/>
                <w:lang w:eastAsia="zh-CN"/>
              </w:rPr>
              <w:t>序号</w:t>
            </w:r>
            <w:r>
              <w:rPr>
                <w:rFonts w:ascii="宋体" w:eastAsia="宋体" w:hAnsi="宋体" w:cs="宋体" w:hint="eastAsia"/>
                <w:sz w:val="18"/>
                <w:szCs w:val="18"/>
                <w:lang w:val="en-US" w:eastAsia="zh-CN"/>
              </w:rPr>
              <w:t>3</w:t>
            </w:r>
            <w:r>
              <w:rPr>
                <w:rFonts w:ascii="宋体" w:eastAsia="宋体" w:hAnsi="宋体" w:cs="宋体" w:hint="eastAsia"/>
                <w:color w:val="auto"/>
                <w:kern w:val="0"/>
                <w:sz w:val="18"/>
                <w:szCs w:val="18"/>
              </w:rPr>
              <w:t>～</w:t>
            </w:r>
            <w:r>
              <w:rPr>
                <w:rFonts w:ascii="宋体" w:eastAsia="宋体" w:hAnsi="宋体" w:cs="宋体" w:hint="eastAsia"/>
                <w:color w:val="auto"/>
                <w:kern w:val="0"/>
                <w:sz w:val="18"/>
                <w:szCs w:val="18"/>
                <w:lang w:val="en-US" w:eastAsia="zh-CN"/>
              </w:rPr>
              <w:t>15</w:t>
            </w:r>
            <w:r>
              <w:rPr>
                <w:rFonts w:ascii="宋体" w:eastAsia="宋体" w:hAnsi="宋体" w:cs="宋体" w:hint="eastAsia"/>
                <w:sz w:val="18"/>
                <w:szCs w:val="18"/>
              </w:rPr>
              <w:t>要求等同采用国际有害化学物质零排放组织（ZDHC基金会）制定的生产限用物质清单（MRSL）的要求。</w:t>
            </w:r>
          </w:p>
        </w:tc>
      </w:tr>
    </w:tbl>
    <w:p>
      <w:pPr>
        <w:spacing w:before="156" w:beforeLines="50"/>
        <w:rPr>
          <w:rFonts w:ascii="黑体" w:eastAsia="黑体"/>
          <w:bCs/>
          <w:szCs w:val="21"/>
        </w:rPr>
      </w:pPr>
      <w:r>
        <w:rPr>
          <w:rFonts w:ascii="黑体" w:eastAsia="黑体" w:hint="eastAsia"/>
          <w:bCs/>
          <w:szCs w:val="21"/>
        </w:rPr>
        <w:t>4.2.4  环境属性指标</w:t>
      </w:r>
    </w:p>
    <w:p>
      <w:pPr>
        <w:ind w:firstLine="420" w:firstLineChars="200"/>
        <w:rPr>
          <w:rFonts w:ascii="Times New Roman" w:eastAsia="黑体" w:hAnsi="Times New Roman"/>
          <w:bCs/>
          <w:szCs w:val="21"/>
        </w:rPr>
      </w:pPr>
      <w:r>
        <w:rPr>
          <w:rFonts w:ascii="Times New Roman" w:hAnsi="宋体" w:hint="eastAsia"/>
          <w:szCs w:val="21"/>
          <w:lang w:eastAsia="zh-CN"/>
        </w:rPr>
        <w:t>生产全过程</w:t>
      </w:r>
      <w:r>
        <w:rPr>
          <w:rFonts w:ascii="Times New Roman" w:hAnsi="宋体"/>
          <w:szCs w:val="21"/>
        </w:rPr>
        <w:t>水污染物排放和大气污染物排放应达到国家或地方污染物排放标准的要求，此外还应满足表</w:t>
      </w:r>
      <w:r>
        <w:rPr>
          <w:rFonts w:ascii="Times New Roman" w:hAnsi="Times New Roman"/>
          <w:szCs w:val="21"/>
        </w:rPr>
        <w:t>3</w:t>
      </w:r>
      <w:r>
        <w:rPr>
          <w:rFonts w:ascii="Times New Roman" w:hAnsi="宋体"/>
          <w:szCs w:val="21"/>
        </w:rPr>
        <w:t>的要求。</w:t>
      </w:r>
    </w:p>
    <w:p>
      <w:pPr>
        <w:spacing w:before="156" w:beforeLines="50" w:after="156" w:afterLines="50"/>
        <w:jc w:val="center"/>
        <w:rPr>
          <w:rFonts w:ascii="黑体" w:eastAsia="黑体" w:hAnsi="黑体"/>
          <w:kern w:val="0"/>
          <w:szCs w:val="20"/>
        </w:rPr>
      </w:pPr>
      <w:r>
        <w:rPr>
          <w:rFonts w:ascii="黑体" w:eastAsia="黑体" w:hAnsi="黑体" w:hint="eastAsia"/>
          <w:kern w:val="0"/>
          <w:szCs w:val="20"/>
        </w:rPr>
        <w:t>表3  产品环境属性指标要求</w:t>
      </w:r>
    </w:p>
    <w:tbl>
      <w:tblPr>
        <w:tblStyle w:val="TableNormal"/>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03"/>
        <w:gridCol w:w="992"/>
        <w:gridCol w:w="2977"/>
        <w:gridCol w:w="992"/>
        <w:gridCol w:w="2127"/>
        <w:gridCol w:w="1559"/>
      </w:tblGrid>
      <w:tr>
        <w:tblPrEx>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703"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序号</w:t>
            </w:r>
          </w:p>
        </w:tc>
        <w:tc>
          <w:tcPr>
            <w:tcW w:w="992"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一级指标</w:t>
            </w:r>
          </w:p>
        </w:tc>
        <w:tc>
          <w:tcPr>
            <w:tcW w:w="2977"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二级指标</w:t>
            </w:r>
          </w:p>
        </w:tc>
        <w:tc>
          <w:tcPr>
            <w:tcW w:w="992"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单位</w:t>
            </w:r>
          </w:p>
        </w:tc>
        <w:tc>
          <w:tcPr>
            <w:tcW w:w="2127"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基准值</w:t>
            </w:r>
          </w:p>
        </w:tc>
        <w:tc>
          <w:tcPr>
            <w:tcW w:w="1559" w:type="dxa"/>
            <w:tcBorders>
              <w:top w:val="single" w:sz="8" w:space="0" w:color="auto"/>
              <w:bottom w:val="single" w:sz="8" w:space="0" w:color="auto"/>
            </w:tcBorders>
            <w:vAlign w:val="center"/>
          </w:tcPr>
          <w:p>
            <w:pPr>
              <w:widowControl/>
              <w:jc w:val="center"/>
              <w:rPr>
                <w:rFonts w:ascii="Times New Roman" w:hAnsi="Times New Roman"/>
                <w:sz w:val="18"/>
                <w:szCs w:val="18"/>
              </w:rPr>
            </w:pPr>
            <w:r>
              <w:rPr>
                <w:rFonts w:ascii="Times New Roman" w:hAnsi="宋体"/>
                <w:sz w:val="18"/>
                <w:szCs w:val="18"/>
              </w:rPr>
              <w:t>判定依据</w:t>
            </w:r>
          </w:p>
        </w:tc>
      </w:tr>
      <w:tr>
        <w:tblPrEx>
          <w:tblW w:w="0" w:type="auto"/>
          <w:tblInd w:w="114" w:type="dxa"/>
          <w:tblLayout w:type="fixed"/>
          <w:tblCellMar>
            <w:top w:w="0" w:type="dxa"/>
            <w:left w:w="108" w:type="dxa"/>
            <w:bottom w:w="0" w:type="dxa"/>
            <w:right w:w="108" w:type="dxa"/>
          </w:tblCellMar>
          <w:tblLook w:val="0000"/>
        </w:tblPrEx>
        <w:tc>
          <w:tcPr>
            <w:tcW w:w="703"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w:t>
            </w:r>
          </w:p>
        </w:tc>
        <w:tc>
          <w:tcPr>
            <w:tcW w:w="992" w:type="dxa"/>
            <w:vMerge w:val="restart"/>
            <w:tcBorders>
              <w:top w:val="single" w:sz="8" w:space="0" w:color="auto"/>
            </w:tcBorders>
            <w:vAlign w:val="center"/>
          </w:tcPr>
          <w:p>
            <w:pPr>
              <w:jc w:val="center"/>
              <w:rPr>
                <w:rFonts w:ascii="Times New Roman" w:hAnsi="Times New Roman"/>
                <w:color w:val="000000"/>
                <w:kern w:val="0"/>
                <w:sz w:val="18"/>
                <w:szCs w:val="18"/>
              </w:rPr>
            </w:pPr>
            <w:r>
              <w:rPr>
                <w:rFonts w:ascii="Times New Roman" w:hAnsi="宋体"/>
                <w:color w:val="000000"/>
                <w:kern w:val="0"/>
                <w:sz w:val="18"/>
                <w:szCs w:val="18"/>
              </w:rPr>
              <w:t>环境属性</w:t>
            </w:r>
          </w:p>
        </w:tc>
        <w:tc>
          <w:tcPr>
            <w:tcW w:w="2977" w:type="dxa"/>
            <w:tcBorders>
              <w:top w:val="single" w:sz="8" w:space="0" w:color="auto"/>
            </w:tcBorders>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单位产品废水产生量</w:t>
            </w:r>
          </w:p>
        </w:tc>
        <w:tc>
          <w:tcPr>
            <w:tcW w:w="992"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m/10</w:t>
            </w:r>
            <w:r>
              <w:rPr>
                <w:rFonts w:ascii="Times New Roman" w:hAnsi="Times New Roman"/>
                <w:color w:val="000000"/>
                <w:kern w:val="0"/>
                <w:sz w:val="18"/>
                <w:szCs w:val="18"/>
                <w:vertAlign w:val="superscript"/>
              </w:rPr>
              <w:t>4</w:t>
            </w:r>
            <w:r>
              <w:rPr>
                <w:rFonts w:ascii="Times New Roman" w:hAnsi="Times New Roman"/>
                <w:color w:val="000000"/>
                <w:kern w:val="0"/>
                <w:sz w:val="18"/>
                <w:szCs w:val="18"/>
              </w:rPr>
              <w:t>m</w:t>
            </w:r>
          </w:p>
        </w:tc>
        <w:tc>
          <w:tcPr>
            <w:tcW w:w="2127" w:type="dxa"/>
            <w:vMerge w:val="restart"/>
            <w:tcBorders>
              <w:top w:val="single" w:sz="8" w:space="0" w:color="auto"/>
            </w:tcBorders>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符合《合成革行业清洁生产评价指标体系》中</w:t>
            </w:r>
            <w:r>
              <w:rPr>
                <w:rFonts w:ascii="Times New Roman" w:hAnsi="Times New Roman"/>
                <w:color w:val="000000"/>
                <w:kern w:val="0"/>
                <w:sz w:val="18"/>
                <w:szCs w:val="18"/>
              </w:rPr>
              <w:t>1</w:t>
            </w:r>
            <w:r>
              <w:rPr>
                <w:rFonts w:ascii="Times New Roman" w:hAnsi="宋体"/>
                <w:color w:val="000000"/>
                <w:kern w:val="0"/>
                <w:sz w:val="18"/>
                <w:szCs w:val="18"/>
              </w:rPr>
              <w:t>级基准值要求</w:t>
            </w:r>
          </w:p>
        </w:tc>
        <w:tc>
          <w:tcPr>
            <w:tcW w:w="1559" w:type="dxa"/>
            <w:tcBorders>
              <w:top w:val="single" w:sz="8" w:space="0" w:color="auto"/>
            </w:tcBorders>
            <w:vAlign w:val="center"/>
          </w:tcPr>
          <w:p>
            <w:pPr>
              <w:jc w:val="center"/>
              <w:rPr>
                <w:rFonts w:ascii="Times New Roman" w:hAnsi="Times New Roman"/>
                <w:color w:val="000000"/>
                <w:kern w:val="0"/>
                <w:sz w:val="18"/>
                <w:szCs w:val="18"/>
              </w:rPr>
            </w:pPr>
            <w:r>
              <w:rPr>
                <w:rFonts w:ascii="Times New Roman" w:hAnsi="宋体"/>
                <w:color w:val="000000"/>
                <w:kern w:val="0"/>
                <w:sz w:val="18"/>
                <w:szCs w:val="18"/>
              </w:rPr>
              <w:t>按附录</w:t>
            </w:r>
            <w:r>
              <w:rPr>
                <w:rFonts w:ascii="Times New Roman" w:hAnsi="Times New Roman"/>
                <w:color w:val="000000"/>
                <w:kern w:val="0"/>
                <w:sz w:val="18"/>
                <w:szCs w:val="18"/>
              </w:rPr>
              <w:t>A.4</w:t>
            </w:r>
            <w:r>
              <w:rPr>
                <w:rFonts w:ascii="Times New Roman" w:hAnsi="宋体"/>
                <w:color w:val="000000"/>
                <w:kern w:val="0"/>
                <w:sz w:val="18"/>
                <w:szCs w:val="18"/>
              </w:rPr>
              <w:t>计算，并提供证明材料</w:t>
            </w:r>
          </w:p>
        </w:tc>
      </w:tr>
      <w:tr>
        <w:tblPrEx>
          <w:tblW w:w="0" w:type="auto"/>
          <w:tblInd w:w="114" w:type="dxa"/>
          <w:tblLayout w:type="fixed"/>
          <w:tblCellMar>
            <w:top w:w="0" w:type="dxa"/>
            <w:left w:w="108" w:type="dxa"/>
            <w:bottom w:w="0" w:type="dxa"/>
            <w:right w:w="108" w:type="dxa"/>
          </w:tblCellMar>
          <w:tblLook w:val="0000"/>
        </w:tblPrEx>
        <w:tc>
          <w:tcPr>
            <w:tcW w:w="703"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2</w:t>
            </w:r>
          </w:p>
        </w:tc>
        <w:tc>
          <w:tcPr>
            <w:tcW w:w="992" w:type="dxa"/>
            <w:vMerge/>
            <w:vAlign w:val="center"/>
          </w:tcPr>
          <w:p>
            <w:pPr>
              <w:jc w:val="left"/>
              <w:rPr>
                <w:rFonts w:ascii="Times New Roman" w:hAnsi="Times New Roman"/>
                <w:color w:val="000000"/>
                <w:kern w:val="0"/>
                <w:sz w:val="18"/>
                <w:szCs w:val="18"/>
              </w:rPr>
            </w:pPr>
          </w:p>
        </w:tc>
        <w:tc>
          <w:tcPr>
            <w:tcW w:w="2977" w:type="dxa"/>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单位产品化学需氧量产生量</w:t>
            </w:r>
          </w:p>
        </w:tc>
        <w:tc>
          <w:tcPr>
            <w:tcW w:w="992" w:type="dxa"/>
            <w:vAlign w:val="center"/>
          </w:tcPr>
          <w:p>
            <w:pPr>
              <w:jc w:val="center"/>
              <w:rPr>
                <w:rFonts w:ascii="Times New Roman" w:hAnsi="Times New Roman"/>
                <w:color w:val="000000"/>
                <w:kern w:val="0"/>
                <w:sz w:val="18"/>
                <w:szCs w:val="18"/>
              </w:rPr>
            </w:pPr>
            <w:r>
              <w:rPr>
                <w:rFonts w:ascii="Times New Roman" w:hAnsi="Times New Roman"/>
                <w:color w:val="000000"/>
                <w:kern w:val="0"/>
                <w:sz w:val="18"/>
                <w:szCs w:val="18"/>
              </w:rPr>
              <w:t>kg/10</w:t>
            </w:r>
            <w:r>
              <w:rPr>
                <w:rFonts w:ascii="Times New Roman" w:hAnsi="Times New Roman"/>
                <w:color w:val="000000"/>
                <w:kern w:val="0"/>
                <w:sz w:val="18"/>
                <w:szCs w:val="18"/>
                <w:vertAlign w:val="superscript"/>
              </w:rPr>
              <w:t>4</w:t>
            </w:r>
            <w:r>
              <w:rPr>
                <w:rFonts w:ascii="Times New Roman" w:hAnsi="Times New Roman"/>
                <w:color w:val="000000"/>
                <w:kern w:val="0"/>
                <w:sz w:val="18"/>
                <w:szCs w:val="18"/>
              </w:rPr>
              <w:t>m</w:t>
            </w:r>
          </w:p>
        </w:tc>
        <w:tc>
          <w:tcPr>
            <w:tcW w:w="2127" w:type="dxa"/>
            <w:vMerge/>
            <w:vAlign w:val="center"/>
          </w:tcPr>
          <w:p>
            <w:pPr>
              <w:jc w:val="left"/>
              <w:rPr>
                <w:rFonts w:ascii="Times New Roman" w:hAnsi="Times New Roman"/>
                <w:color w:val="000000"/>
                <w:kern w:val="0"/>
                <w:sz w:val="18"/>
                <w:szCs w:val="18"/>
              </w:rPr>
            </w:pPr>
          </w:p>
        </w:tc>
        <w:tc>
          <w:tcPr>
            <w:tcW w:w="1559" w:type="dxa"/>
            <w:vAlign w:val="center"/>
          </w:tcPr>
          <w:p>
            <w:pPr>
              <w:jc w:val="center"/>
              <w:rPr>
                <w:rFonts w:ascii="Times New Roman" w:hAnsi="Times New Roman"/>
                <w:sz w:val="18"/>
                <w:szCs w:val="18"/>
              </w:rPr>
            </w:pPr>
            <w:r>
              <w:rPr>
                <w:rFonts w:ascii="Times New Roman" w:hAnsi="宋体"/>
                <w:color w:val="000000"/>
                <w:kern w:val="0"/>
                <w:sz w:val="18"/>
                <w:szCs w:val="18"/>
              </w:rPr>
              <w:t>按附录</w:t>
            </w:r>
            <w:r>
              <w:rPr>
                <w:rFonts w:ascii="Times New Roman" w:hAnsi="Times New Roman"/>
                <w:color w:val="000000"/>
                <w:kern w:val="0"/>
                <w:sz w:val="18"/>
                <w:szCs w:val="18"/>
              </w:rPr>
              <w:t>A.5</w:t>
            </w:r>
            <w:r>
              <w:rPr>
                <w:rFonts w:ascii="Times New Roman" w:hAnsi="宋体"/>
                <w:color w:val="000000"/>
                <w:kern w:val="0"/>
                <w:sz w:val="18"/>
                <w:szCs w:val="18"/>
              </w:rPr>
              <w:t>计算，并提供证明材料</w:t>
            </w:r>
          </w:p>
        </w:tc>
      </w:tr>
      <w:tr>
        <w:tblPrEx>
          <w:tblW w:w="0" w:type="auto"/>
          <w:tblInd w:w="114" w:type="dxa"/>
          <w:tblLayout w:type="fixed"/>
          <w:tblCellMar>
            <w:top w:w="0" w:type="dxa"/>
            <w:left w:w="108" w:type="dxa"/>
            <w:bottom w:w="0" w:type="dxa"/>
            <w:right w:w="108" w:type="dxa"/>
          </w:tblCellMar>
          <w:tblLook w:val="0000"/>
        </w:tblPrEx>
        <w:tc>
          <w:tcPr>
            <w:tcW w:w="703" w:type="dxa"/>
            <w:vAlign w:val="center"/>
          </w:tcPr>
          <w:p>
            <w:pPr>
              <w:jc w:val="center"/>
              <w:rPr>
                <w:rFonts w:ascii="Times New Roman" w:hAnsi="Times New Roman"/>
                <w:color w:val="000000"/>
                <w:kern w:val="0"/>
                <w:sz w:val="18"/>
                <w:szCs w:val="18"/>
              </w:rPr>
            </w:pPr>
            <w:r>
              <w:rPr>
                <w:rFonts w:ascii="Times New Roman" w:hAnsi="Times New Roman"/>
                <w:color w:val="000000"/>
                <w:kern w:val="0"/>
                <w:sz w:val="18"/>
                <w:szCs w:val="18"/>
              </w:rPr>
              <w:t>3</w:t>
            </w:r>
          </w:p>
        </w:tc>
        <w:tc>
          <w:tcPr>
            <w:tcW w:w="992" w:type="dxa"/>
            <w:vMerge/>
            <w:vAlign w:val="center"/>
          </w:tcPr>
          <w:p>
            <w:pPr>
              <w:jc w:val="left"/>
              <w:rPr>
                <w:rFonts w:ascii="Times New Roman" w:hAnsi="Times New Roman"/>
                <w:color w:val="000000"/>
                <w:kern w:val="0"/>
                <w:sz w:val="18"/>
                <w:szCs w:val="18"/>
              </w:rPr>
            </w:pPr>
          </w:p>
        </w:tc>
        <w:tc>
          <w:tcPr>
            <w:tcW w:w="2977" w:type="dxa"/>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单位产品挥发性有机物产生量</w:t>
            </w:r>
          </w:p>
        </w:tc>
        <w:tc>
          <w:tcPr>
            <w:tcW w:w="992" w:type="dxa"/>
            <w:vAlign w:val="center"/>
          </w:tcPr>
          <w:p>
            <w:pPr>
              <w:jc w:val="center"/>
              <w:rPr>
                <w:rFonts w:ascii="Times New Roman" w:hAnsi="Times New Roman"/>
                <w:color w:val="000000"/>
                <w:kern w:val="0"/>
                <w:sz w:val="18"/>
                <w:szCs w:val="18"/>
              </w:rPr>
            </w:pPr>
            <w:r>
              <w:rPr>
                <w:rFonts w:ascii="Times New Roman" w:hAnsi="Times New Roman"/>
                <w:color w:val="000000"/>
                <w:kern w:val="0"/>
                <w:sz w:val="18"/>
                <w:szCs w:val="18"/>
              </w:rPr>
              <w:t>kg/10</w:t>
            </w:r>
            <w:r>
              <w:rPr>
                <w:rFonts w:ascii="Times New Roman" w:hAnsi="Times New Roman"/>
                <w:color w:val="000000"/>
                <w:kern w:val="0"/>
                <w:sz w:val="18"/>
                <w:szCs w:val="18"/>
                <w:vertAlign w:val="superscript"/>
              </w:rPr>
              <w:t>4</w:t>
            </w:r>
            <w:r>
              <w:rPr>
                <w:rFonts w:ascii="Times New Roman" w:hAnsi="Times New Roman"/>
                <w:color w:val="000000"/>
                <w:kern w:val="0"/>
                <w:sz w:val="18"/>
                <w:szCs w:val="18"/>
              </w:rPr>
              <w:t>m</w:t>
            </w:r>
          </w:p>
        </w:tc>
        <w:tc>
          <w:tcPr>
            <w:tcW w:w="2127" w:type="dxa"/>
            <w:vMerge/>
            <w:vAlign w:val="center"/>
          </w:tcPr>
          <w:p>
            <w:pPr>
              <w:jc w:val="left"/>
              <w:rPr>
                <w:rFonts w:ascii="Times New Roman" w:hAnsi="Times New Roman"/>
                <w:color w:val="000000"/>
                <w:kern w:val="0"/>
                <w:sz w:val="18"/>
                <w:szCs w:val="18"/>
              </w:rPr>
            </w:pPr>
          </w:p>
        </w:tc>
        <w:tc>
          <w:tcPr>
            <w:tcW w:w="1559" w:type="dxa"/>
            <w:vAlign w:val="center"/>
          </w:tcPr>
          <w:p>
            <w:pPr>
              <w:jc w:val="center"/>
              <w:rPr>
                <w:rFonts w:ascii="Times New Roman" w:hAnsi="Times New Roman"/>
                <w:sz w:val="18"/>
                <w:szCs w:val="18"/>
              </w:rPr>
            </w:pPr>
            <w:r>
              <w:rPr>
                <w:rFonts w:ascii="Times New Roman" w:hAnsi="宋体"/>
                <w:color w:val="000000"/>
                <w:kern w:val="0"/>
                <w:sz w:val="18"/>
                <w:szCs w:val="18"/>
              </w:rPr>
              <w:t>按附录</w:t>
            </w:r>
            <w:r>
              <w:rPr>
                <w:rFonts w:ascii="Times New Roman" w:hAnsi="Times New Roman"/>
                <w:color w:val="000000"/>
                <w:kern w:val="0"/>
                <w:sz w:val="18"/>
                <w:szCs w:val="18"/>
              </w:rPr>
              <w:t>A.6</w:t>
            </w:r>
            <w:r>
              <w:rPr>
                <w:rFonts w:ascii="Times New Roman" w:hAnsi="宋体"/>
                <w:color w:val="000000"/>
                <w:kern w:val="0"/>
                <w:sz w:val="18"/>
                <w:szCs w:val="18"/>
              </w:rPr>
              <w:t>计算，并提供证明材料</w:t>
            </w:r>
          </w:p>
        </w:tc>
      </w:tr>
    </w:tbl>
    <w:p>
      <w:pPr>
        <w:rPr>
          <w:rFonts w:ascii="黑体" w:eastAsia="黑体"/>
          <w:bCs/>
          <w:szCs w:val="21"/>
        </w:rPr>
      </w:pPr>
    </w:p>
    <w:p>
      <w:pPr>
        <w:rPr>
          <w:rFonts w:ascii="黑体" w:eastAsia="黑体"/>
          <w:bCs/>
          <w:szCs w:val="21"/>
        </w:rPr>
      </w:pPr>
      <w:r>
        <w:rPr>
          <w:rFonts w:ascii="黑体" w:eastAsia="黑体" w:hint="eastAsia"/>
          <w:bCs/>
          <w:szCs w:val="21"/>
        </w:rPr>
        <w:t>4.2.5  品质属性指标</w:t>
      </w:r>
    </w:p>
    <w:p>
      <w:pPr>
        <w:ind w:firstLine="420"/>
        <w:rPr>
          <w:szCs w:val="21"/>
        </w:rPr>
      </w:pPr>
      <w:r>
        <w:rPr>
          <w:rFonts w:ascii="宋体" w:eastAsia="宋体" w:hAnsi="宋体" w:cs="宋体" w:hint="eastAsia"/>
          <w:szCs w:val="21"/>
          <w:lang w:val="en-US" w:eastAsia="zh-CN"/>
        </w:rPr>
        <w:t>水性超细纤维聚氨酯合成革</w:t>
      </w:r>
      <w:r>
        <w:rPr>
          <w:rFonts w:hint="eastAsia"/>
          <w:szCs w:val="21"/>
        </w:rPr>
        <w:t>的品质属性指标要求见表</w:t>
      </w:r>
      <w:r>
        <w:rPr>
          <w:rFonts w:ascii="Times New Roman" w:hAnsi="Times New Roman"/>
          <w:szCs w:val="21"/>
        </w:rPr>
        <w:t>4</w:t>
      </w:r>
      <w:r>
        <w:rPr>
          <w:rFonts w:hint="eastAsia"/>
          <w:szCs w:val="21"/>
        </w:rPr>
        <w:t>。</w:t>
      </w:r>
    </w:p>
    <w:p>
      <w:pPr>
        <w:spacing w:before="156" w:beforeLines="50" w:after="156" w:afterLines="50"/>
        <w:jc w:val="center"/>
        <w:rPr>
          <w:rFonts w:ascii="黑体" w:eastAsia="黑体" w:hAnsi="黑体"/>
          <w:kern w:val="0"/>
          <w:szCs w:val="20"/>
        </w:rPr>
      </w:pPr>
      <w:r>
        <w:rPr>
          <w:rFonts w:ascii="黑体" w:eastAsia="黑体" w:hAnsi="黑体" w:hint="eastAsia"/>
          <w:kern w:val="0"/>
          <w:szCs w:val="20"/>
        </w:rPr>
        <w:t>表4  品质属性</w:t>
      </w:r>
    </w:p>
    <w:tbl>
      <w:tblPr>
        <w:tblStyle w:val="TableNormal"/>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11"/>
        <w:gridCol w:w="710"/>
        <w:gridCol w:w="4260"/>
        <w:gridCol w:w="992"/>
        <w:gridCol w:w="992"/>
        <w:gridCol w:w="1985"/>
      </w:tblGrid>
      <w:tr>
        <w:tblPrEx>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trPr>
        <w:tc>
          <w:tcPr>
            <w:tcW w:w="411"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序号</w:t>
            </w:r>
          </w:p>
        </w:tc>
        <w:tc>
          <w:tcPr>
            <w:tcW w:w="710"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一级指标</w:t>
            </w:r>
          </w:p>
        </w:tc>
        <w:tc>
          <w:tcPr>
            <w:tcW w:w="4260"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二级指标</w:t>
            </w:r>
          </w:p>
        </w:tc>
        <w:tc>
          <w:tcPr>
            <w:tcW w:w="992"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单位</w:t>
            </w:r>
          </w:p>
        </w:tc>
        <w:tc>
          <w:tcPr>
            <w:tcW w:w="992"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基准值</w:t>
            </w:r>
          </w:p>
        </w:tc>
        <w:tc>
          <w:tcPr>
            <w:tcW w:w="1985" w:type="dxa"/>
            <w:tcBorders>
              <w:top w:val="single" w:sz="8" w:space="0" w:color="auto"/>
              <w:bottom w:val="single" w:sz="8" w:space="0" w:color="auto"/>
            </w:tcBorders>
            <w:vAlign w:val="center"/>
          </w:tcPr>
          <w:p>
            <w:pPr>
              <w:widowControl/>
              <w:jc w:val="center"/>
              <w:rPr>
                <w:rFonts w:ascii="Times New Roman" w:hAnsi="Times New Roman"/>
                <w:color w:val="000000"/>
                <w:kern w:val="0"/>
                <w:sz w:val="18"/>
                <w:szCs w:val="18"/>
              </w:rPr>
            </w:pPr>
            <w:r>
              <w:rPr>
                <w:rFonts w:ascii="Times New Roman" w:hAnsi="宋体"/>
                <w:color w:val="000000"/>
                <w:kern w:val="0"/>
                <w:sz w:val="18"/>
                <w:szCs w:val="18"/>
              </w:rPr>
              <w:t>判定依据</w:t>
            </w: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1</w:t>
            </w:r>
          </w:p>
        </w:tc>
        <w:tc>
          <w:tcPr>
            <w:tcW w:w="710" w:type="dxa"/>
            <w:tcBorders>
              <w:top w:val="single" w:sz="8" w:space="0" w:color="auto"/>
            </w:tcBorders>
            <w:vAlign w:val="center"/>
          </w:tcPr>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tc>
        <w:tc>
          <w:tcPr>
            <w:tcW w:w="4260" w:type="dxa"/>
            <w:tcBorders>
              <w:top w:val="single" w:sz="8" w:space="0" w:color="auto"/>
            </w:tcBorders>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pH</w:t>
            </w:r>
          </w:p>
        </w:tc>
        <w:tc>
          <w:tcPr>
            <w:tcW w:w="992"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w:t>
            </w:r>
          </w:p>
        </w:tc>
        <w:tc>
          <w:tcPr>
            <w:tcW w:w="992" w:type="dxa"/>
            <w:tcBorders>
              <w:top w:val="single" w:sz="8" w:space="0" w:color="auto"/>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3.5</w:t>
            </w:r>
            <w:r>
              <w:rPr>
                <w:rFonts w:ascii="Times New Roman" w:hAnsi="宋体"/>
                <w:color w:val="000000"/>
                <w:kern w:val="0"/>
                <w:sz w:val="18"/>
                <w:szCs w:val="18"/>
              </w:rPr>
              <w:t>～</w:t>
            </w:r>
            <w:r>
              <w:rPr>
                <w:rFonts w:ascii="Times New Roman" w:hAnsi="Times New Roman"/>
                <w:color w:val="000000"/>
                <w:kern w:val="0"/>
                <w:sz w:val="18"/>
                <w:szCs w:val="18"/>
              </w:rPr>
              <w:t>7.0</w:t>
            </w:r>
          </w:p>
        </w:tc>
        <w:tc>
          <w:tcPr>
            <w:tcW w:w="1985" w:type="dxa"/>
            <w:tcBorders>
              <w:top w:val="single" w:sz="8" w:space="0" w:color="auto"/>
            </w:tcBorders>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GB/T 7573</w:t>
            </w:r>
            <w:r>
              <w:rPr>
                <w:rFonts w:ascii="Times New Roman" w:hAnsi="宋体"/>
                <w:color w:val="000000"/>
                <w:kern w:val="0"/>
                <w:sz w:val="18"/>
                <w:szCs w:val="18"/>
              </w:rPr>
              <w:t>检测并提供检测报告。</w:t>
            </w:r>
          </w:p>
        </w:tc>
      </w:tr>
    </w:tbl>
    <w:p>
      <w:p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218" w:right="1134" w:bottom="1134" w:left="1418" w:header="851" w:footer="992" w:gutter="0"/>
          <w:pgNumType w:fmt="numberInDash" w:start="5"/>
          <w:cols w:space="708"/>
          <w:titlePg w:val="0"/>
          <w:docGrid w:type="lines" w:linePitch="312"/>
        </w:sectPr>
      </w:pPr>
    </w:p>
    <w:tbl>
      <w:tblPr>
        <w:tblStyle w:val="TableNormal"/>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11"/>
        <w:gridCol w:w="710"/>
        <w:gridCol w:w="1088"/>
        <w:gridCol w:w="52"/>
        <w:gridCol w:w="3120"/>
        <w:gridCol w:w="992"/>
        <w:gridCol w:w="992"/>
        <w:gridCol w:w="1985"/>
      </w:tblGrid>
      <w:tr>
        <w:tblPrEx>
          <w:tblW w:w="0" w:type="auto"/>
          <w:tblInd w:w="11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trPr>
        <w:tc>
          <w:tcPr>
            <w:tcW w:w="411" w:type="dxa"/>
            <w:tcBorders>
              <w:top w:val="single" w:sz="8" w:space="0" w:color="auto"/>
            </w:tcBorders>
            <w:vAlign w:val="center"/>
          </w:tcPr>
          <w:p/>
        </w:tc>
        <w:tc>
          <w:tcPr>
            <w:tcW w:w="710" w:type="dxa"/>
            <w:vMerge w:val="restart"/>
            <w:tcBorders>
              <w:top w:val="single" w:sz="8" w:space="0" w:color="auto"/>
            </w:tcBorders>
            <w:vAlign w:val="center"/>
          </w:tcPr>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宋体"/>
                <w:color w:val="000000"/>
                <w:kern w:val="0"/>
                <w:sz w:val="18"/>
                <w:szCs w:val="18"/>
              </w:rPr>
            </w:pPr>
          </w:p>
          <w:p>
            <w:pPr>
              <w:jc w:val="left"/>
              <w:rPr>
                <w:rFonts w:ascii="Times New Roman" w:hAnsi="Times New Roman"/>
                <w:color w:val="000000"/>
                <w:kern w:val="0"/>
                <w:sz w:val="18"/>
                <w:szCs w:val="18"/>
              </w:rPr>
            </w:pPr>
            <w:r>
              <w:rPr>
                <w:rFonts w:ascii="Times New Roman" w:hAnsi="宋体"/>
                <w:color w:val="000000"/>
                <w:kern w:val="0"/>
                <w:sz w:val="18"/>
                <w:szCs w:val="18"/>
              </w:rPr>
              <w:t>品质</w:t>
            </w:r>
          </w:p>
          <w:p>
            <w:pPr>
              <w:jc w:val="left"/>
              <w:rPr>
                <w:rFonts w:ascii="Times New Roman" w:hAnsi="Times New Roman"/>
                <w:color w:val="000000"/>
                <w:kern w:val="0"/>
                <w:sz w:val="18"/>
                <w:szCs w:val="18"/>
              </w:rPr>
            </w:pPr>
            <w:r>
              <w:rPr>
                <w:rFonts w:ascii="Times New Roman" w:hAnsi="宋体"/>
                <w:color w:val="000000"/>
                <w:kern w:val="0"/>
                <w:sz w:val="18"/>
                <w:szCs w:val="18"/>
              </w:rPr>
              <w:t>属性</w:t>
            </w:r>
          </w:p>
        </w:tc>
        <w:tc>
          <w:tcPr>
            <w:tcW w:w="4260" w:type="dxa"/>
            <w:gridSpan w:val="3"/>
            <w:tcBorders>
              <w:top w:val="single" w:sz="8" w:space="0" w:color="auto"/>
            </w:tcBorders>
            <w:vAlign w:val="center"/>
          </w:tcPr>
          <w:p/>
        </w:tc>
        <w:tc>
          <w:tcPr>
            <w:tcW w:w="992" w:type="dxa"/>
            <w:tcBorders>
              <w:top w:val="single" w:sz="8" w:space="0" w:color="auto"/>
            </w:tcBorders>
            <w:vAlign w:val="center"/>
          </w:tcPr>
          <w:p/>
        </w:tc>
        <w:tc>
          <w:tcPr>
            <w:tcW w:w="992" w:type="dxa"/>
            <w:tcBorders>
              <w:top w:val="single" w:sz="8" w:space="0" w:color="auto"/>
            </w:tcBorders>
            <w:vAlign w:val="center"/>
          </w:tcPr>
          <w:p/>
        </w:tc>
        <w:tc>
          <w:tcPr>
            <w:tcW w:w="1985" w:type="dxa"/>
            <w:tcBorders>
              <w:top w:val="single" w:sz="8" w:space="0" w:color="auto"/>
            </w:tcBorders>
            <w:vAlign w:val="center"/>
          </w:tcP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2</w:t>
            </w:r>
          </w:p>
        </w:tc>
        <w:tc>
          <w:tcPr>
            <w:tcW w:w="710" w:type="dxa"/>
            <w:vMerge/>
            <w:vAlign w:val="center"/>
          </w:tcPr>
          <w:p>
            <w:pPr>
              <w:jc w:val="left"/>
              <w:rPr>
                <w:rFonts w:ascii="Times New Roman" w:hAnsi="Times New Roman"/>
                <w:color w:val="000000"/>
                <w:kern w:val="0"/>
                <w:sz w:val="18"/>
                <w:szCs w:val="18"/>
              </w:rPr>
            </w:pPr>
          </w:p>
        </w:tc>
        <w:tc>
          <w:tcPr>
            <w:tcW w:w="1088"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甲醛</w:t>
            </w:r>
          </w:p>
        </w:tc>
        <w:tc>
          <w:tcPr>
            <w:tcW w:w="3172" w:type="dxa"/>
            <w:gridSpan w:val="2"/>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成年人和儿童</w:t>
            </w:r>
          </w:p>
        </w:tc>
        <w:tc>
          <w:tcPr>
            <w:tcW w:w="992"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75</w:t>
            </w:r>
          </w:p>
        </w:tc>
        <w:tc>
          <w:tcPr>
            <w:tcW w:w="1985" w:type="dxa"/>
            <w:vMerge w:val="restart"/>
            <w:vAlign w:val="center"/>
          </w:tcPr>
          <w:p>
            <w:pPr>
              <w:jc w:val="left"/>
              <w:rPr>
                <w:rFonts w:ascii="Times New Roman" w:hAnsi="Times New Roman"/>
                <w:color w:val="000000"/>
                <w:kern w:val="0"/>
                <w:sz w:val="18"/>
                <w:szCs w:val="18"/>
              </w:rPr>
            </w:pPr>
            <w:r>
              <w:rPr>
                <w:rFonts w:ascii="Times New Roman" w:hAnsi="Times New Roman"/>
                <w:color w:val="000000"/>
                <w:kern w:val="0"/>
                <w:sz w:val="18"/>
                <w:szCs w:val="18"/>
              </w:rPr>
              <w:t>GB/T 2912.1</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jc w:val="left"/>
              <w:rPr>
                <w:rFonts w:ascii="Times New Roman" w:hAnsi="Times New Roman"/>
                <w:color w:val="000000"/>
                <w:kern w:val="0"/>
                <w:sz w:val="18"/>
                <w:szCs w:val="18"/>
              </w:rPr>
            </w:pPr>
          </w:p>
        </w:tc>
        <w:tc>
          <w:tcPr>
            <w:tcW w:w="1088" w:type="dxa"/>
            <w:vMerge/>
            <w:vAlign w:val="center"/>
          </w:tcPr>
          <w:p>
            <w:pPr>
              <w:widowControl/>
              <w:jc w:val="left"/>
              <w:rPr>
                <w:rFonts w:ascii="Times New Roman" w:hAnsi="Times New Roman"/>
                <w:color w:val="000000"/>
                <w:kern w:val="0"/>
                <w:sz w:val="18"/>
                <w:szCs w:val="18"/>
              </w:rPr>
            </w:pPr>
          </w:p>
        </w:tc>
        <w:tc>
          <w:tcPr>
            <w:tcW w:w="3172" w:type="dxa"/>
            <w:gridSpan w:val="2"/>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婴幼儿</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16</w:t>
            </w:r>
          </w:p>
        </w:tc>
        <w:tc>
          <w:tcPr>
            <w:tcW w:w="1985" w:type="dxa"/>
            <w:vMerge/>
            <w:vAlign w:val="center"/>
          </w:tcPr>
          <w:p>
            <w:pPr>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restart"/>
            <w:vAlign w:val="center"/>
          </w:tcPr>
          <w:p>
            <w:pPr>
              <w:jc w:val="center"/>
              <w:rPr>
                <w:rFonts w:ascii="Times New Roman" w:eastAsia="宋体" w:hAnsi="Times New Roman" w:hint="eastAsia"/>
                <w:color w:val="000000"/>
                <w:kern w:val="0"/>
                <w:sz w:val="18"/>
                <w:szCs w:val="18"/>
              </w:rPr>
            </w:pPr>
            <w:r>
              <w:rPr>
                <w:rFonts w:ascii="Times New Roman" w:hAnsi="Times New Roman" w:hint="eastAsia"/>
                <w:color w:val="000000"/>
                <w:kern w:val="0"/>
                <w:sz w:val="18"/>
                <w:szCs w:val="18"/>
                <w:lang w:val="en-US" w:eastAsia="zh-CN"/>
              </w:rPr>
              <w:t>3</w:t>
            </w: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restart"/>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烷基酚（</w:t>
            </w:r>
            <w:r>
              <w:rPr>
                <w:rFonts w:ascii="Times New Roman" w:hAnsi="Times New Roman"/>
                <w:color w:val="000000"/>
                <w:kern w:val="0"/>
                <w:sz w:val="18"/>
                <w:szCs w:val="18"/>
              </w:rPr>
              <w:t>AP</w:t>
            </w:r>
            <w:r>
              <w:rPr>
                <w:rFonts w:ascii="Times New Roman" w:hAnsi="宋体"/>
                <w:color w:val="000000"/>
                <w:kern w:val="0"/>
                <w:sz w:val="18"/>
                <w:szCs w:val="18"/>
              </w:rPr>
              <w:t>）和烷基酚聚氧乙烯醚（</w:t>
            </w:r>
            <w:r>
              <w:rPr>
                <w:rFonts w:ascii="Times New Roman" w:hAnsi="Times New Roman"/>
                <w:color w:val="000000"/>
                <w:kern w:val="0"/>
                <w:sz w:val="18"/>
                <w:szCs w:val="18"/>
              </w:rPr>
              <w:t>APEO</w:t>
            </w:r>
            <w:r>
              <w:rPr>
                <w:rFonts w:ascii="Times New Roman" w:hAnsi="宋体"/>
                <w:color w:val="000000"/>
                <w:kern w:val="0"/>
                <w:sz w:val="18"/>
                <w:szCs w:val="18"/>
              </w:rPr>
              <w:t>）类</w:t>
            </w: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壬基苯酚（</w:t>
            </w:r>
            <w:r>
              <w:rPr>
                <w:rFonts w:ascii="Times New Roman" w:hAnsi="Times New Roman"/>
                <w:color w:val="000000"/>
                <w:kern w:val="0"/>
                <w:sz w:val="18"/>
                <w:szCs w:val="18"/>
              </w:rPr>
              <w:t>NP</w:t>
            </w:r>
            <w:r>
              <w:rPr>
                <w:rFonts w:ascii="Times New Roman" w:hAnsi="宋体"/>
                <w:color w:val="000000"/>
                <w:kern w:val="0"/>
                <w:sz w:val="18"/>
                <w:szCs w:val="18"/>
              </w:rPr>
              <w:t>），辛基苯酚（</w:t>
            </w:r>
            <w:r>
              <w:rPr>
                <w:rFonts w:ascii="Times New Roman" w:hAnsi="Times New Roman"/>
                <w:color w:val="000000"/>
                <w:kern w:val="0"/>
                <w:sz w:val="18"/>
                <w:szCs w:val="18"/>
              </w:rPr>
              <w:t>OP</w:t>
            </w:r>
            <w:r>
              <w:rPr>
                <w:rFonts w:ascii="Times New Roman" w:hAnsi="宋体"/>
                <w:color w:val="000000"/>
                <w:kern w:val="0"/>
                <w:sz w:val="18"/>
                <w:szCs w:val="18"/>
              </w:rPr>
              <w:t>）（总量）</w:t>
            </w:r>
          </w:p>
        </w:tc>
        <w:tc>
          <w:tcPr>
            <w:tcW w:w="992" w:type="dxa"/>
            <w:vMerge w:val="restart"/>
            <w:vAlign w:val="center"/>
          </w:tcPr>
          <w:p>
            <w:pPr>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Merge w:val="restart"/>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100</w:t>
            </w:r>
          </w:p>
        </w:tc>
        <w:tc>
          <w:tcPr>
            <w:tcW w:w="1985" w:type="dxa"/>
            <w:vMerge w:val="restart"/>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 xml:space="preserve"> QB/T 4046</w:t>
            </w:r>
            <w:r>
              <w:rPr>
                <w:rFonts w:ascii="Times New Roman" w:hAnsi="宋体"/>
                <w:color w:val="000000"/>
                <w:kern w:val="0"/>
                <w:sz w:val="18"/>
                <w:szCs w:val="18"/>
              </w:rPr>
              <w:t>－</w:t>
            </w:r>
            <w:r>
              <w:rPr>
                <w:rFonts w:ascii="Times New Roman" w:hAnsi="Times New Roman"/>
                <w:color w:val="000000"/>
                <w:kern w:val="0"/>
                <w:sz w:val="18"/>
                <w:szCs w:val="18"/>
              </w:rPr>
              <w:t>2010</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9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ign w:val="center"/>
          </w:tcPr>
          <w:p>
            <w:pPr>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壬基苯酚聚氧乙烯醚（</w:t>
            </w:r>
            <w:r>
              <w:rPr>
                <w:rFonts w:ascii="Times New Roman" w:hAnsi="Times New Roman"/>
                <w:color w:val="000000"/>
                <w:kern w:val="0"/>
                <w:sz w:val="18"/>
                <w:szCs w:val="18"/>
              </w:rPr>
              <w:t>NPEO</w:t>
            </w:r>
            <w:r>
              <w:rPr>
                <w:rFonts w:ascii="Times New Roman" w:hAnsi="宋体"/>
                <w:color w:val="000000"/>
                <w:kern w:val="0"/>
                <w:sz w:val="18"/>
                <w:szCs w:val="18"/>
              </w:rPr>
              <w:t>），辛基苯酚聚氧乙烯醚（</w:t>
            </w:r>
            <w:r>
              <w:rPr>
                <w:rFonts w:ascii="Times New Roman" w:hAnsi="Times New Roman"/>
                <w:color w:val="000000"/>
                <w:kern w:val="0"/>
                <w:sz w:val="18"/>
                <w:szCs w:val="18"/>
              </w:rPr>
              <w:t>OPEO</w:t>
            </w:r>
            <w:r>
              <w:rPr>
                <w:rFonts w:ascii="Times New Roman" w:hAnsi="宋体"/>
                <w:color w:val="000000"/>
                <w:kern w:val="0"/>
                <w:sz w:val="18"/>
                <w:szCs w:val="18"/>
              </w:rPr>
              <w:t>）（总量）</w:t>
            </w:r>
          </w:p>
        </w:tc>
        <w:tc>
          <w:tcPr>
            <w:tcW w:w="992" w:type="dxa"/>
            <w:vMerge/>
            <w:vAlign w:val="center"/>
          </w:tcPr>
          <w:p>
            <w:pPr>
              <w:widowControl/>
              <w:jc w:val="center"/>
              <w:rPr>
                <w:rFonts w:ascii="Times New Roman" w:hAnsi="Times New Roman"/>
                <w:color w:val="000000"/>
                <w:kern w:val="0"/>
                <w:sz w:val="18"/>
                <w:szCs w:val="18"/>
              </w:rPr>
            </w:pPr>
          </w:p>
        </w:tc>
        <w:tc>
          <w:tcPr>
            <w:tcW w:w="992" w:type="dxa"/>
            <w:vMerge/>
            <w:vAlign w:val="center"/>
          </w:tcPr>
          <w:p>
            <w:pPr>
              <w:widowControl/>
              <w:jc w:val="center"/>
              <w:rPr>
                <w:rFonts w:ascii="Times New Roman" w:hAnsi="Times New Roman"/>
                <w:color w:val="000000"/>
                <w:kern w:val="0"/>
                <w:sz w:val="18"/>
                <w:szCs w:val="18"/>
              </w:rPr>
            </w:pPr>
          </w:p>
        </w:tc>
        <w:tc>
          <w:tcPr>
            <w:tcW w:w="1985" w:type="dxa"/>
            <w:vMerge/>
            <w:vAlign w:val="center"/>
          </w:tcPr>
          <w:p>
            <w:pPr>
              <w:widowControl/>
              <w:jc w:val="center"/>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restart"/>
            <w:vAlign w:val="center"/>
          </w:tcPr>
          <w:p>
            <w:pPr>
              <w:widowControl/>
              <w:jc w:val="center"/>
              <w:rPr>
                <w:rFonts w:ascii="Times New Roman" w:eastAsia="宋体" w:hAnsi="Times New Roman" w:hint="eastAsia"/>
                <w:color w:val="000000"/>
                <w:kern w:val="0"/>
                <w:sz w:val="18"/>
                <w:szCs w:val="18"/>
              </w:rPr>
            </w:pPr>
            <w:r>
              <w:rPr>
                <w:rFonts w:ascii="Times New Roman" w:hAnsi="Times New Roman" w:hint="eastAsia"/>
                <w:color w:val="000000"/>
                <w:kern w:val="0"/>
                <w:sz w:val="18"/>
                <w:szCs w:val="18"/>
                <w:lang w:val="en-US" w:eastAsia="zh-CN"/>
              </w:rPr>
              <w:t>4</w:t>
            </w: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restart"/>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氯化苯酚（见附录</w:t>
            </w:r>
            <w:r>
              <w:rPr>
                <w:rFonts w:ascii="Times New Roman" w:hAnsi="Times New Roman"/>
                <w:color w:val="000000"/>
                <w:kern w:val="0"/>
                <w:sz w:val="18"/>
                <w:szCs w:val="18"/>
              </w:rPr>
              <w:t>J</w:t>
            </w:r>
            <w:r>
              <w:rPr>
                <w:rFonts w:ascii="Times New Roman" w:hAnsi="宋体"/>
                <w:color w:val="000000"/>
                <w:kern w:val="0"/>
                <w:sz w:val="18"/>
                <w:szCs w:val="18"/>
              </w:rPr>
              <w:t>）</w:t>
            </w: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三氯苯酚（</w:t>
            </w:r>
            <w:r>
              <w:rPr>
                <w:rFonts w:ascii="Times New Roman" w:hAnsi="Times New Roman"/>
                <w:color w:val="000000"/>
                <w:kern w:val="0"/>
                <w:sz w:val="18"/>
                <w:szCs w:val="18"/>
              </w:rPr>
              <w:t>TrCP</w:t>
            </w:r>
            <w:r>
              <w:rPr>
                <w:rFonts w:ascii="Times New Roman" w:hAnsi="宋体"/>
                <w:color w:val="000000"/>
                <w:kern w:val="0"/>
                <w:sz w:val="18"/>
                <w:szCs w:val="18"/>
              </w:rPr>
              <w:t>）</w:t>
            </w:r>
          </w:p>
        </w:tc>
        <w:tc>
          <w:tcPr>
            <w:tcW w:w="992"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Merge w:val="restart"/>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0.5</w:t>
            </w:r>
          </w:p>
        </w:tc>
        <w:tc>
          <w:tcPr>
            <w:tcW w:w="1985"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GB/T 18414.1</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ign w:val="center"/>
          </w:tcPr>
          <w:p>
            <w:pPr>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四氯苯酚（</w:t>
            </w:r>
            <w:r>
              <w:rPr>
                <w:rFonts w:ascii="Times New Roman" w:hAnsi="Times New Roman"/>
                <w:color w:val="000000"/>
                <w:kern w:val="0"/>
                <w:sz w:val="18"/>
                <w:szCs w:val="18"/>
              </w:rPr>
              <w:t>TeCP</w:t>
            </w:r>
            <w:r>
              <w:rPr>
                <w:rFonts w:ascii="Times New Roman" w:hAnsi="宋体"/>
                <w:color w:val="000000"/>
                <w:kern w:val="0"/>
                <w:sz w:val="18"/>
                <w:szCs w:val="18"/>
              </w:rPr>
              <w:t>）</w:t>
            </w:r>
          </w:p>
        </w:tc>
        <w:tc>
          <w:tcPr>
            <w:tcW w:w="992" w:type="dxa"/>
            <w:vMerge/>
            <w:vAlign w:val="center"/>
          </w:tcPr>
          <w:p>
            <w:pPr>
              <w:widowControl/>
              <w:jc w:val="center"/>
              <w:rPr>
                <w:rFonts w:ascii="Times New Roman" w:hAnsi="Times New Roman"/>
                <w:color w:val="000000"/>
                <w:kern w:val="0"/>
                <w:sz w:val="18"/>
                <w:szCs w:val="18"/>
              </w:rPr>
            </w:pPr>
          </w:p>
        </w:tc>
        <w:tc>
          <w:tcPr>
            <w:tcW w:w="992" w:type="dxa"/>
            <w:vMerge/>
            <w:vAlign w:val="center"/>
          </w:tcPr>
          <w:p>
            <w:pPr>
              <w:rPr>
                <w:rFonts w:ascii="Times New Roman" w:hAnsi="Times New Roman"/>
                <w:color w:val="000000"/>
                <w:kern w:val="0"/>
                <w:sz w:val="18"/>
                <w:szCs w:val="18"/>
              </w:rPr>
            </w:pP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ign w:val="center"/>
          </w:tcPr>
          <w:p>
            <w:pPr>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五氯苯酚（</w:t>
            </w:r>
            <w:r>
              <w:rPr>
                <w:rFonts w:ascii="Times New Roman" w:hAnsi="Times New Roman"/>
                <w:color w:val="000000"/>
                <w:kern w:val="0"/>
                <w:sz w:val="18"/>
                <w:szCs w:val="18"/>
              </w:rPr>
              <w:t>PCP</w:t>
            </w:r>
            <w:r>
              <w:rPr>
                <w:rFonts w:ascii="Times New Roman" w:hAnsi="宋体"/>
                <w:color w:val="000000"/>
                <w:kern w:val="0"/>
                <w:sz w:val="18"/>
                <w:szCs w:val="18"/>
              </w:rPr>
              <w:t>）</w:t>
            </w:r>
          </w:p>
        </w:tc>
        <w:tc>
          <w:tcPr>
            <w:tcW w:w="992" w:type="dxa"/>
            <w:vMerge/>
            <w:vAlign w:val="center"/>
          </w:tcPr>
          <w:p>
            <w:pPr>
              <w:widowControl/>
              <w:jc w:val="center"/>
              <w:rPr>
                <w:rFonts w:ascii="Times New Roman" w:hAnsi="Times New Roman"/>
                <w:color w:val="000000"/>
                <w:kern w:val="0"/>
                <w:sz w:val="18"/>
                <w:szCs w:val="18"/>
              </w:rPr>
            </w:pPr>
          </w:p>
        </w:tc>
        <w:tc>
          <w:tcPr>
            <w:tcW w:w="992" w:type="dxa"/>
            <w:vMerge/>
            <w:vAlign w:val="center"/>
          </w:tcPr>
          <w:p>
            <w:pPr>
              <w:jc w:val="center"/>
              <w:rPr>
                <w:rFonts w:ascii="Times New Roman" w:hAnsi="Times New Roman"/>
                <w:color w:val="000000"/>
                <w:kern w:val="0"/>
                <w:sz w:val="18"/>
                <w:szCs w:val="18"/>
              </w:rPr>
            </w:pP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restart"/>
            <w:vAlign w:val="center"/>
          </w:tcPr>
          <w:p>
            <w:pPr>
              <w:widowControl/>
              <w:jc w:val="center"/>
              <w:rPr>
                <w:rFonts w:ascii="Times New Roman" w:eastAsia="宋体" w:hAnsi="Times New Roman" w:hint="eastAsia"/>
                <w:color w:val="000000"/>
                <w:kern w:val="0"/>
                <w:sz w:val="18"/>
                <w:szCs w:val="18"/>
              </w:rPr>
            </w:pPr>
            <w:r>
              <w:rPr>
                <w:rFonts w:ascii="Times New Roman" w:hAnsi="Times New Roman" w:hint="eastAsia"/>
                <w:color w:val="000000"/>
                <w:kern w:val="0"/>
                <w:sz w:val="18"/>
                <w:szCs w:val="18"/>
                <w:lang w:val="en-US" w:eastAsia="zh-CN"/>
              </w:rPr>
              <w:t>5</w:t>
            </w: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restart"/>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氯化苯和氯化甲苯（见附录</w:t>
            </w:r>
            <w:r>
              <w:rPr>
                <w:rFonts w:ascii="Times New Roman" w:hAnsi="Times New Roman"/>
                <w:color w:val="000000"/>
                <w:kern w:val="0"/>
                <w:sz w:val="18"/>
                <w:szCs w:val="18"/>
              </w:rPr>
              <w:t>K</w:t>
            </w:r>
            <w:r>
              <w:rPr>
                <w:rFonts w:ascii="Times New Roman" w:hAnsi="宋体"/>
                <w:color w:val="000000"/>
                <w:kern w:val="0"/>
                <w:sz w:val="18"/>
                <w:szCs w:val="18"/>
              </w:rPr>
              <w:t>）</w:t>
            </w:r>
          </w:p>
        </w:tc>
        <w:tc>
          <w:tcPr>
            <w:tcW w:w="3120" w:type="dxa"/>
            <w:vAlign w:val="center"/>
          </w:tcPr>
          <w:p>
            <w:pPr>
              <w:jc w:val="left"/>
              <w:rPr>
                <w:rFonts w:ascii="Times New Roman" w:hAnsi="Times New Roman"/>
                <w:color w:val="000000"/>
                <w:kern w:val="0"/>
                <w:sz w:val="18"/>
                <w:szCs w:val="18"/>
              </w:rPr>
            </w:pPr>
            <w:r>
              <w:rPr>
                <w:rFonts w:ascii="Times New Roman" w:hAnsi="Times New Roman"/>
                <w:color w:val="000000"/>
                <w:kern w:val="0"/>
                <w:sz w:val="18"/>
                <w:szCs w:val="18"/>
              </w:rPr>
              <w:t>1,2-</w:t>
            </w:r>
            <w:r>
              <w:rPr>
                <w:rFonts w:ascii="Times New Roman" w:hAnsi="宋体"/>
                <w:color w:val="000000"/>
                <w:kern w:val="0"/>
                <w:sz w:val="18"/>
                <w:szCs w:val="18"/>
              </w:rPr>
              <w:t>二氯苯</w:t>
            </w:r>
          </w:p>
        </w:tc>
        <w:tc>
          <w:tcPr>
            <w:tcW w:w="992"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Align w:val="center"/>
          </w:tcPr>
          <w:p>
            <w:pPr>
              <w:jc w:val="center"/>
              <w:rPr>
                <w:rFonts w:ascii="Times New Roman" w:hAnsi="Times New Roman"/>
                <w:color w:val="000000"/>
                <w:kern w:val="0"/>
                <w:sz w:val="18"/>
                <w:szCs w:val="18"/>
                <w:highlight w:val="yellow"/>
              </w:rPr>
            </w:pPr>
            <w:r>
              <w:rPr>
                <w:rFonts w:ascii="宋体" w:hAnsi="宋体"/>
                <w:color w:val="000000"/>
                <w:kern w:val="0"/>
                <w:sz w:val="18"/>
                <w:szCs w:val="18"/>
              </w:rPr>
              <w:t>≤</w:t>
            </w:r>
            <w:r>
              <w:rPr>
                <w:rFonts w:ascii="Times New Roman" w:hAnsi="Times New Roman"/>
                <w:color w:val="000000"/>
                <w:kern w:val="0"/>
                <w:sz w:val="18"/>
                <w:szCs w:val="18"/>
              </w:rPr>
              <w:t>10</w:t>
            </w:r>
          </w:p>
        </w:tc>
        <w:tc>
          <w:tcPr>
            <w:tcW w:w="1985"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GB/T 20384</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ign w:val="center"/>
          </w:tcPr>
          <w:p>
            <w:pPr>
              <w:jc w:val="left"/>
              <w:rPr>
                <w:rFonts w:ascii="Times New Roman" w:hAnsi="Times New Roman"/>
                <w:color w:val="000000"/>
                <w:kern w:val="0"/>
                <w:sz w:val="18"/>
                <w:szCs w:val="18"/>
              </w:rPr>
            </w:pPr>
          </w:p>
        </w:tc>
        <w:tc>
          <w:tcPr>
            <w:tcW w:w="3120" w:type="dxa"/>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其他一氯苯、二氯苯、三氯苯、四氯苯、五氯苯和六氯苯同分异构体以及一氯甲苯、二氯甲苯、三氯甲苯、四氯甲苯和五氯甲苯同分异构体（总量）</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1</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restart"/>
            <w:vAlign w:val="center"/>
          </w:tcPr>
          <w:p>
            <w:pPr>
              <w:widowControl/>
              <w:jc w:val="center"/>
              <w:rPr>
                <w:rFonts w:ascii="Times New Roman" w:eastAsia="宋体" w:hAnsi="Times New Roman" w:hint="eastAsia"/>
                <w:color w:val="000000"/>
                <w:kern w:val="0"/>
                <w:sz w:val="18"/>
                <w:szCs w:val="18"/>
              </w:rPr>
            </w:pPr>
            <w:r>
              <w:rPr>
                <w:rFonts w:ascii="Times New Roman" w:hAnsi="Times New Roman" w:hint="eastAsia"/>
                <w:color w:val="000000"/>
                <w:kern w:val="0"/>
                <w:sz w:val="18"/>
                <w:szCs w:val="18"/>
                <w:lang w:val="en-US" w:eastAsia="zh-CN"/>
              </w:rPr>
              <w:t>6</w:t>
            </w: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染料（见附录</w:t>
            </w:r>
            <w:r>
              <w:rPr>
                <w:rFonts w:ascii="Times New Roman" w:hAnsi="Times New Roman"/>
                <w:color w:val="000000"/>
                <w:kern w:val="0"/>
                <w:sz w:val="18"/>
                <w:szCs w:val="18"/>
              </w:rPr>
              <w:t>L</w:t>
            </w:r>
            <w:r>
              <w:rPr>
                <w:rFonts w:ascii="Times New Roman" w:hAnsi="宋体"/>
                <w:color w:val="000000"/>
                <w:kern w:val="0"/>
                <w:sz w:val="18"/>
                <w:szCs w:val="18"/>
              </w:rPr>
              <w:t>）</w:t>
            </w: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可分解出致癌芳香胺的偶氮着色剂</w:t>
            </w:r>
          </w:p>
        </w:tc>
        <w:tc>
          <w:tcPr>
            <w:tcW w:w="992"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20</w:t>
            </w:r>
          </w:p>
        </w:tc>
        <w:tc>
          <w:tcPr>
            <w:tcW w:w="1985"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GB/T 18885</w:t>
            </w:r>
            <w:r>
              <w:rPr>
                <w:rFonts w:ascii="Times New Roman" w:hAnsi="宋体"/>
                <w:color w:val="000000"/>
                <w:kern w:val="0"/>
                <w:sz w:val="18"/>
                <w:szCs w:val="18"/>
              </w:rPr>
              <w:t>－</w:t>
            </w:r>
            <w:r>
              <w:rPr>
                <w:rFonts w:ascii="Times New Roman" w:hAnsi="Times New Roman"/>
                <w:color w:val="000000"/>
                <w:kern w:val="0"/>
                <w:sz w:val="18"/>
                <w:szCs w:val="18"/>
              </w:rPr>
              <w:t>2009</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ign w:val="center"/>
          </w:tcPr>
          <w:p>
            <w:pPr>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致敏性分散染料</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50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ign w:val="center"/>
          </w:tcPr>
          <w:p>
            <w:pPr>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海军蓝染料</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50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Align w:val="center"/>
          </w:tcPr>
          <w:p>
            <w:pPr>
              <w:widowControl/>
              <w:jc w:val="center"/>
              <w:rPr>
                <w:rFonts w:ascii="Times New Roman" w:eastAsia="宋体" w:hAnsi="Times New Roman" w:hint="eastAsia"/>
                <w:color w:val="000000"/>
                <w:kern w:val="0"/>
                <w:sz w:val="18"/>
                <w:szCs w:val="18"/>
              </w:rPr>
            </w:pPr>
            <w:r>
              <w:rPr>
                <w:rFonts w:ascii="Times New Roman" w:hAnsi="Times New Roman" w:hint="eastAsia"/>
                <w:color w:val="000000"/>
                <w:kern w:val="0"/>
                <w:sz w:val="18"/>
                <w:szCs w:val="18"/>
                <w:lang w:val="en-US" w:eastAsia="zh-CN"/>
              </w:rPr>
              <w:t>7</w:t>
            </w:r>
          </w:p>
        </w:tc>
        <w:tc>
          <w:tcPr>
            <w:tcW w:w="710" w:type="dxa"/>
            <w:vMerge/>
            <w:vAlign w:val="center"/>
          </w:tcPr>
          <w:p>
            <w:pPr>
              <w:jc w:val="left"/>
              <w:rPr>
                <w:rFonts w:ascii="Times New Roman" w:hAnsi="Times New Roman"/>
                <w:color w:val="000000"/>
                <w:kern w:val="0"/>
                <w:sz w:val="18"/>
                <w:szCs w:val="18"/>
              </w:rPr>
            </w:pPr>
          </w:p>
        </w:tc>
        <w:tc>
          <w:tcPr>
            <w:tcW w:w="4260" w:type="dxa"/>
            <w:gridSpan w:val="3"/>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二甲基甲酰胺（</w:t>
            </w:r>
            <w:r>
              <w:rPr>
                <w:rFonts w:ascii="Times New Roman" w:hAnsi="Times New Roman"/>
                <w:color w:val="000000"/>
                <w:kern w:val="0"/>
                <w:sz w:val="18"/>
                <w:szCs w:val="18"/>
              </w:rPr>
              <w:t>DMFa</w:t>
            </w:r>
            <w:r>
              <w:rPr>
                <w:rFonts w:ascii="Times New Roman" w:hAnsi="宋体"/>
                <w:color w:val="000000"/>
                <w:kern w:val="0"/>
                <w:sz w:val="18"/>
                <w:szCs w:val="18"/>
              </w:rPr>
              <w:t>）</w:t>
            </w:r>
          </w:p>
        </w:tc>
        <w:tc>
          <w:tcPr>
            <w:tcW w:w="992"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500</w:t>
            </w:r>
          </w:p>
        </w:tc>
        <w:tc>
          <w:tcPr>
            <w:tcW w:w="1985"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QB/T 5158</w:t>
            </w:r>
            <w:r>
              <w:rPr>
                <w:rFonts w:ascii="Times New Roman" w:hAnsi="宋体"/>
                <w:color w:val="000000"/>
                <w:kern w:val="0"/>
                <w:sz w:val="18"/>
                <w:szCs w:val="18"/>
              </w:rPr>
              <w:t>－</w:t>
            </w:r>
            <w:r>
              <w:rPr>
                <w:rFonts w:ascii="Times New Roman" w:hAnsi="Times New Roman"/>
                <w:color w:val="000000"/>
                <w:kern w:val="0"/>
                <w:sz w:val="18"/>
                <w:szCs w:val="18"/>
              </w:rPr>
              <w:t>2017</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Align w:val="center"/>
          </w:tcPr>
          <w:p>
            <w:pPr>
              <w:widowControl/>
              <w:jc w:val="center"/>
              <w:rPr>
                <w:rFonts w:ascii="Times New Roman" w:eastAsia="宋体" w:hAnsi="Times New Roman" w:hint="eastAsia"/>
                <w:color w:val="000000"/>
                <w:kern w:val="0"/>
                <w:sz w:val="18"/>
                <w:szCs w:val="18"/>
              </w:rPr>
            </w:pPr>
            <w:r>
              <w:rPr>
                <w:rFonts w:ascii="Times New Roman" w:hAnsi="Times New Roman" w:hint="eastAsia"/>
                <w:color w:val="000000"/>
                <w:kern w:val="0"/>
                <w:sz w:val="18"/>
                <w:szCs w:val="18"/>
                <w:lang w:val="en-US" w:eastAsia="zh-CN"/>
              </w:rPr>
              <w:t>8</w:t>
            </w:r>
          </w:p>
        </w:tc>
        <w:tc>
          <w:tcPr>
            <w:tcW w:w="710" w:type="dxa"/>
            <w:vMerge/>
            <w:vAlign w:val="center"/>
          </w:tcPr>
          <w:p>
            <w:pPr>
              <w:jc w:val="left"/>
              <w:rPr>
                <w:rFonts w:ascii="Times New Roman" w:hAnsi="Times New Roman"/>
                <w:color w:val="000000"/>
                <w:kern w:val="0"/>
                <w:sz w:val="18"/>
                <w:szCs w:val="18"/>
              </w:rPr>
            </w:pPr>
          </w:p>
        </w:tc>
        <w:tc>
          <w:tcPr>
            <w:tcW w:w="4260" w:type="dxa"/>
            <w:gridSpan w:val="3"/>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富马酸二甲酯（</w:t>
            </w:r>
            <w:r>
              <w:rPr>
                <w:rFonts w:ascii="Times New Roman" w:hAnsi="Times New Roman"/>
                <w:color w:val="000000"/>
                <w:kern w:val="0"/>
                <w:sz w:val="18"/>
                <w:szCs w:val="18"/>
              </w:rPr>
              <w:t>DMFu</w:t>
            </w:r>
            <w:r>
              <w:rPr>
                <w:rFonts w:ascii="Times New Roman" w:hAnsi="宋体"/>
                <w:color w:val="000000"/>
                <w:kern w:val="0"/>
                <w:sz w:val="18"/>
                <w:szCs w:val="18"/>
              </w:rPr>
              <w:t>）</w:t>
            </w:r>
          </w:p>
        </w:tc>
        <w:tc>
          <w:tcPr>
            <w:tcW w:w="992"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0.1</w:t>
            </w:r>
          </w:p>
        </w:tc>
        <w:tc>
          <w:tcPr>
            <w:tcW w:w="1985"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GB/T 28190</w:t>
            </w:r>
            <w:r>
              <w:rPr>
                <w:rFonts w:ascii="Times New Roman" w:hAnsi="宋体"/>
                <w:color w:val="000000"/>
                <w:kern w:val="0"/>
                <w:sz w:val="18"/>
                <w:szCs w:val="18"/>
              </w:rPr>
              <w:t>－</w:t>
            </w:r>
            <w:r>
              <w:rPr>
                <w:rFonts w:ascii="Times New Roman" w:hAnsi="Times New Roman"/>
                <w:color w:val="000000"/>
                <w:kern w:val="0"/>
                <w:sz w:val="18"/>
                <w:szCs w:val="18"/>
              </w:rPr>
              <w:t>2011</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restart"/>
            <w:vAlign w:val="center"/>
          </w:tcPr>
          <w:p>
            <w:pPr>
              <w:widowControl/>
              <w:jc w:val="center"/>
              <w:rPr>
                <w:rFonts w:ascii="Times New Roman" w:eastAsia="宋体" w:hAnsi="Times New Roman" w:hint="eastAsia"/>
                <w:color w:val="000000"/>
                <w:kern w:val="0"/>
                <w:sz w:val="18"/>
                <w:szCs w:val="18"/>
              </w:rPr>
            </w:pPr>
            <w:r>
              <w:rPr>
                <w:rFonts w:ascii="Times New Roman" w:hAnsi="Times New Roman" w:hint="eastAsia"/>
                <w:color w:val="000000"/>
                <w:kern w:val="0"/>
                <w:sz w:val="18"/>
                <w:szCs w:val="18"/>
                <w:lang w:val="en-US" w:eastAsia="zh-CN"/>
              </w:rPr>
              <w:t>9</w:t>
            </w: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restart"/>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氯化石蜡</w:t>
            </w: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短链氯化石蜡</w:t>
            </w:r>
            <w:r>
              <w:rPr>
                <w:rFonts w:ascii="Times New Roman" w:hAnsi="Times New Roman"/>
                <w:color w:val="000000"/>
                <w:kern w:val="0"/>
                <w:sz w:val="18"/>
                <w:szCs w:val="18"/>
              </w:rPr>
              <w:t>(SCCP)(C10-C13)</w:t>
            </w:r>
          </w:p>
        </w:tc>
        <w:tc>
          <w:tcPr>
            <w:tcW w:w="992"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Merge w:val="restart"/>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1</w:t>
            </w:r>
            <w:r>
              <w:rPr>
                <w:rFonts w:ascii="Times New Roman" w:hAnsi="Times New Roman" w:hint="eastAsia"/>
                <w:color w:val="000000"/>
                <w:kern w:val="0"/>
                <w:sz w:val="18"/>
                <w:szCs w:val="18"/>
              </w:rPr>
              <w:t xml:space="preserve"> </w:t>
            </w:r>
            <w:r>
              <w:rPr>
                <w:rFonts w:ascii="Times New Roman" w:hAnsi="Times New Roman"/>
                <w:color w:val="000000"/>
                <w:kern w:val="0"/>
                <w:sz w:val="18"/>
                <w:szCs w:val="18"/>
              </w:rPr>
              <w:t>000</w:t>
            </w:r>
          </w:p>
        </w:tc>
        <w:tc>
          <w:tcPr>
            <w:tcW w:w="1985"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GB/T 33345</w:t>
            </w:r>
            <w:r>
              <w:rPr>
                <w:rFonts w:ascii="Times New Roman" w:hAnsi="宋体"/>
                <w:color w:val="000000"/>
                <w:kern w:val="0"/>
                <w:sz w:val="18"/>
                <w:szCs w:val="18"/>
              </w:rPr>
              <w:t>－</w:t>
            </w:r>
            <w:r>
              <w:rPr>
                <w:rFonts w:ascii="Times New Roman" w:hAnsi="Times New Roman"/>
                <w:color w:val="000000"/>
                <w:kern w:val="0"/>
                <w:sz w:val="18"/>
                <w:szCs w:val="18"/>
              </w:rPr>
              <w:t>2016</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jc w:val="left"/>
              <w:rPr>
                <w:rFonts w:ascii="Times New Roman" w:hAnsi="Times New Roman"/>
                <w:color w:val="000000"/>
                <w:kern w:val="0"/>
                <w:sz w:val="18"/>
                <w:szCs w:val="18"/>
              </w:rPr>
            </w:pPr>
          </w:p>
        </w:tc>
        <w:tc>
          <w:tcPr>
            <w:tcW w:w="1140" w:type="dxa"/>
            <w:gridSpan w:val="2"/>
            <w:vMerge/>
            <w:vAlign w:val="center"/>
          </w:tcPr>
          <w:p>
            <w:pPr>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中链氯化石蜡</w:t>
            </w:r>
            <w:r>
              <w:rPr>
                <w:rFonts w:ascii="Times New Roman" w:hAnsi="Times New Roman"/>
                <w:color w:val="000000"/>
                <w:kern w:val="0"/>
                <w:sz w:val="18"/>
                <w:szCs w:val="18"/>
              </w:rPr>
              <w:t>(MCCP)(C14-C17)</w:t>
            </w:r>
          </w:p>
        </w:tc>
        <w:tc>
          <w:tcPr>
            <w:tcW w:w="992" w:type="dxa"/>
            <w:vMerge/>
            <w:vAlign w:val="center"/>
          </w:tcPr>
          <w:p>
            <w:pPr>
              <w:widowControl/>
              <w:jc w:val="center"/>
              <w:rPr>
                <w:rFonts w:ascii="Times New Roman" w:hAnsi="Times New Roman"/>
                <w:color w:val="000000"/>
                <w:kern w:val="0"/>
                <w:sz w:val="18"/>
                <w:szCs w:val="18"/>
              </w:rPr>
            </w:pPr>
          </w:p>
        </w:tc>
        <w:tc>
          <w:tcPr>
            <w:tcW w:w="992" w:type="dxa"/>
            <w:vMerge/>
            <w:vAlign w:val="center"/>
          </w:tcPr>
          <w:p>
            <w:pPr>
              <w:widowControl/>
              <w:jc w:val="center"/>
              <w:rPr>
                <w:rFonts w:ascii="Times New Roman" w:hAnsi="Times New Roman"/>
                <w:color w:val="000000"/>
                <w:kern w:val="0"/>
                <w:sz w:val="18"/>
                <w:szCs w:val="18"/>
              </w:rPr>
            </w:pP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340"/>
        </w:trPr>
        <w:tc>
          <w:tcPr>
            <w:tcW w:w="411" w:type="dxa"/>
            <w:vAlign w:val="center"/>
          </w:tcPr>
          <w:p>
            <w:pPr>
              <w:widowControl/>
              <w:jc w:val="center"/>
              <w:rPr>
                <w:rFonts w:ascii="Times New Roman" w:eastAsia="宋体" w:hAnsi="Times New Roman" w:hint="eastAsia"/>
                <w:color w:val="000000"/>
                <w:kern w:val="0"/>
                <w:sz w:val="18"/>
                <w:szCs w:val="18"/>
              </w:rPr>
            </w:pPr>
            <w:r>
              <w:rPr>
                <w:rFonts w:ascii="Times New Roman" w:hAnsi="Times New Roman"/>
                <w:color w:val="000000"/>
                <w:kern w:val="0"/>
                <w:sz w:val="18"/>
                <w:szCs w:val="18"/>
              </w:rPr>
              <w:t>1</w:t>
            </w:r>
            <w:r>
              <w:rPr>
                <w:rFonts w:ascii="Times New Roman" w:hAnsi="Times New Roman" w:hint="eastAsia"/>
                <w:color w:val="000000"/>
                <w:kern w:val="0"/>
                <w:sz w:val="18"/>
                <w:szCs w:val="18"/>
                <w:lang w:val="en-US" w:eastAsia="zh-CN"/>
              </w:rPr>
              <w:t>0</w:t>
            </w:r>
          </w:p>
        </w:tc>
        <w:tc>
          <w:tcPr>
            <w:tcW w:w="710" w:type="dxa"/>
            <w:vMerge/>
            <w:vAlign w:val="center"/>
          </w:tcPr>
          <w:p>
            <w:pPr>
              <w:jc w:val="left"/>
              <w:rPr>
                <w:rFonts w:ascii="Times New Roman" w:hAnsi="Times New Roman"/>
                <w:color w:val="000000"/>
                <w:kern w:val="0"/>
                <w:sz w:val="18"/>
                <w:szCs w:val="18"/>
              </w:rPr>
            </w:pPr>
          </w:p>
        </w:tc>
        <w:tc>
          <w:tcPr>
            <w:tcW w:w="1140" w:type="dxa"/>
            <w:gridSpan w:val="2"/>
            <w:vAlign w:val="center"/>
          </w:tcPr>
          <w:p>
            <w:pPr>
              <w:jc w:val="left"/>
              <w:rPr>
                <w:rFonts w:ascii="Times New Roman" w:hAnsi="Times New Roman"/>
                <w:color w:val="000000"/>
                <w:kern w:val="0"/>
                <w:sz w:val="18"/>
                <w:szCs w:val="18"/>
              </w:rPr>
            </w:pPr>
            <w:r>
              <w:rPr>
                <w:rFonts w:ascii="Times New Roman" w:hAnsi="宋体"/>
                <w:color w:val="000000"/>
                <w:kern w:val="0"/>
                <w:sz w:val="18"/>
                <w:szCs w:val="18"/>
              </w:rPr>
              <w:t>阻燃剂（见附录</w:t>
            </w:r>
            <w:r>
              <w:rPr>
                <w:rFonts w:ascii="Times New Roman" w:hAnsi="Times New Roman"/>
                <w:color w:val="000000"/>
                <w:kern w:val="0"/>
                <w:sz w:val="18"/>
                <w:szCs w:val="18"/>
              </w:rPr>
              <w:t>M</w:t>
            </w:r>
            <w:r>
              <w:rPr>
                <w:rFonts w:ascii="Times New Roman" w:hAnsi="宋体"/>
                <w:color w:val="000000"/>
                <w:kern w:val="0"/>
                <w:sz w:val="18"/>
                <w:szCs w:val="18"/>
              </w:rPr>
              <w:t>）</w:t>
            </w:r>
          </w:p>
        </w:tc>
        <w:tc>
          <w:tcPr>
            <w:tcW w:w="3120"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PentaBDE</w:t>
            </w:r>
            <w:r>
              <w:rPr>
                <w:rFonts w:ascii="Times New Roman" w:hAnsi="宋体"/>
                <w:color w:val="000000"/>
                <w:kern w:val="0"/>
                <w:sz w:val="18"/>
                <w:szCs w:val="18"/>
              </w:rPr>
              <w:t>，</w:t>
            </w:r>
            <w:r>
              <w:rPr>
                <w:rFonts w:ascii="Times New Roman" w:hAnsi="Times New Roman"/>
                <w:color w:val="000000"/>
                <w:kern w:val="0"/>
                <w:sz w:val="18"/>
                <w:szCs w:val="18"/>
              </w:rPr>
              <w:t>OctaBDE</w:t>
            </w:r>
            <w:r>
              <w:rPr>
                <w:rFonts w:ascii="Times New Roman" w:hAnsi="宋体"/>
                <w:color w:val="000000"/>
                <w:kern w:val="0"/>
                <w:sz w:val="18"/>
                <w:szCs w:val="18"/>
              </w:rPr>
              <w:t>，</w:t>
            </w:r>
            <w:r>
              <w:rPr>
                <w:rFonts w:ascii="Times New Roman" w:hAnsi="Times New Roman"/>
                <w:color w:val="000000"/>
                <w:kern w:val="0"/>
                <w:sz w:val="18"/>
                <w:szCs w:val="18"/>
              </w:rPr>
              <w:t>DecaBDE</w:t>
            </w:r>
            <w:r>
              <w:rPr>
                <w:rFonts w:ascii="Times New Roman" w:hAnsi="宋体"/>
                <w:color w:val="000000"/>
                <w:kern w:val="0"/>
                <w:sz w:val="18"/>
                <w:szCs w:val="18"/>
              </w:rPr>
              <w:t>，</w:t>
            </w:r>
            <w:r>
              <w:rPr>
                <w:rFonts w:ascii="Times New Roman" w:hAnsi="Times New Roman"/>
                <w:color w:val="000000"/>
                <w:kern w:val="0"/>
                <w:sz w:val="18"/>
                <w:szCs w:val="18"/>
              </w:rPr>
              <w:t>PBDE</w:t>
            </w:r>
            <w:r>
              <w:rPr>
                <w:rFonts w:ascii="Times New Roman" w:hAnsi="宋体"/>
                <w:color w:val="000000"/>
                <w:kern w:val="0"/>
                <w:sz w:val="18"/>
                <w:szCs w:val="18"/>
              </w:rPr>
              <w:t>，</w:t>
            </w:r>
            <w:r>
              <w:rPr>
                <w:rFonts w:ascii="Times New Roman" w:hAnsi="Times New Roman"/>
                <w:color w:val="000000"/>
                <w:kern w:val="0"/>
                <w:sz w:val="18"/>
                <w:szCs w:val="18"/>
              </w:rPr>
              <w:t>TBBP A</w:t>
            </w:r>
            <w:r>
              <w:rPr>
                <w:rFonts w:ascii="Times New Roman" w:hAnsi="宋体"/>
                <w:color w:val="000000"/>
                <w:kern w:val="0"/>
                <w:sz w:val="18"/>
                <w:szCs w:val="18"/>
              </w:rPr>
              <w:t>，</w:t>
            </w:r>
            <w:r>
              <w:rPr>
                <w:rFonts w:ascii="Times New Roman" w:hAnsi="Times New Roman"/>
                <w:color w:val="000000"/>
                <w:kern w:val="0"/>
                <w:sz w:val="18"/>
                <w:szCs w:val="18"/>
              </w:rPr>
              <w:t>PBB</w:t>
            </w:r>
            <w:r>
              <w:rPr>
                <w:rFonts w:ascii="Times New Roman" w:hAnsi="宋体"/>
                <w:color w:val="000000"/>
                <w:kern w:val="0"/>
                <w:sz w:val="18"/>
                <w:szCs w:val="18"/>
              </w:rPr>
              <w:t>，</w:t>
            </w:r>
            <w:r>
              <w:rPr>
                <w:rFonts w:ascii="Times New Roman" w:hAnsi="Times New Roman"/>
                <w:color w:val="000000"/>
                <w:kern w:val="0"/>
                <w:sz w:val="18"/>
                <w:szCs w:val="18"/>
              </w:rPr>
              <w:t>HBCDD</w:t>
            </w:r>
            <w:r>
              <w:rPr>
                <w:rFonts w:ascii="Times New Roman" w:hAnsi="宋体"/>
                <w:color w:val="000000"/>
                <w:kern w:val="0"/>
                <w:sz w:val="18"/>
                <w:szCs w:val="18"/>
              </w:rPr>
              <w:t>，</w:t>
            </w:r>
            <w:r>
              <w:rPr>
                <w:rFonts w:ascii="Times New Roman" w:hAnsi="Times New Roman"/>
                <w:color w:val="000000"/>
                <w:kern w:val="0"/>
                <w:sz w:val="18"/>
                <w:szCs w:val="18"/>
              </w:rPr>
              <w:t>TDCPP</w:t>
            </w:r>
            <w:r>
              <w:rPr>
                <w:rFonts w:ascii="Times New Roman" w:hAnsi="Times New Roman" w:hint="eastAsia"/>
                <w:color w:val="000000"/>
                <w:kern w:val="0"/>
                <w:sz w:val="18"/>
                <w:szCs w:val="18"/>
              </w:rPr>
              <w:t>，</w:t>
            </w:r>
            <w:r>
              <w:rPr>
                <w:rFonts w:ascii="Times New Roman" w:hAnsi="Times New Roman"/>
                <w:color w:val="000000"/>
                <w:kern w:val="0"/>
                <w:sz w:val="18"/>
                <w:szCs w:val="18"/>
              </w:rPr>
              <w:t>TXP</w:t>
            </w:r>
            <w:r>
              <w:rPr>
                <w:rFonts w:ascii="Times New Roman" w:hAnsi="宋体"/>
                <w:color w:val="000000"/>
                <w:kern w:val="0"/>
                <w:sz w:val="18"/>
                <w:szCs w:val="18"/>
              </w:rPr>
              <w:t>，</w:t>
            </w:r>
            <w:r>
              <w:rPr>
                <w:rFonts w:ascii="Times New Roman" w:hAnsi="Times New Roman"/>
                <w:color w:val="000000"/>
                <w:kern w:val="0"/>
                <w:sz w:val="18"/>
                <w:szCs w:val="18"/>
              </w:rPr>
              <w:t>TRIS</w:t>
            </w:r>
            <w:r>
              <w:rPr>
                <w:rFonts w:ascii="Times New Roman" w:hAnsi="宋体"/>
                <w:color w:val="000000"/>
                <w:kern w:val="0"/>
                <w:sz w:val="18"/>
                <w:szCs w:val="18"/>
              </w:rPr>
              <w:t>，</w:t>
            </w:r>
            <w:r>
              <w:rPr>
                <w:rFonts w:ascii="Times New Roman" w:hAnsi="Times New Roman"/>
                <w:color w:val="000000"/>
                <w:kern w:val="0"/>
                <w:sz w:val="18"/>
                <w:szCs w:val="18"/>
              </w:rPr>
              <w:t xml:space="preserve"> TEPA</w:t>
            </w:r>
            <w:r>
              <w:rPr>
                <w:rFonts w:ascii="Times New Roman" w:hAnsi="宋体"/>
                <w:color w:val="000000"/>
                <w:kern w:val="0"/>
                <w:sz w:val="18"/>
                <w:szCs w:val="18"/>
              </w:rPr>
              <w:t>，</w:t>
            </w:r>
            <w:r>
              <w:rPr>
                <w:rFonts w:ascii="Times New Roman" w:hAnsi="Times New Roman"/>
                <w:color w:val="000000"/>
                <w:kern w:val="0"/>
                <w:sz w:val="18"/>
                <w:szCs w:val="18"/>
              </w:rPr>
              <w:t>TCEP</w:t>
            </w:r>
            <w:r>
              <w:rPr>
                <w:rFonts w:ascii="Times New Roman" w:hAnsi="宋体"/>
                <w:color w:val="000000"/>
                <w:kern w:val="0"/>
                <w:sz w:val="18"/>
                <w:szCs w:val="18"/>
              </w:rPr>
              <w:t>，</w:t>
            </w:r>
            <w:r>
              <w:rPr>
                <w:rFonts w:ascii="Times New Roman" w:hAnsi="Times New Roman"/>
                <w:color w:val="000000"/>
                <w:kern w:val="0"/>
                <w:sz w:val="18"/>
                <w:szCs w:val="18"/>
              </w:rPr>
              <w:t>BDBPP</w:t>
            </w:r>
          </w:p>
        </w:tc>
        <w:tc>
          <w:tcPr>
            <w:tcW w:w="992" w:type="dxa"/>
            <w:vAlign w:val="center"/>
          </w:tcPr>
          <w:p>
            <w:pPr>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10</w:t>
            </w:r>
          </w:p>
        </w:tc>
        <w:tc>
          <w:tcPr>
            <w:tcW w:w="1985"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GB/T 24279</w:t>
            </w:r>
            <w:r>
              <w:rPr>
                <w:rFonts w:ascii="Times New Roman" w:hAnsi="宋体"/>
                <w:color w:val="000000"/>
                <w:kern w:val="0"/>
                <w:sz w:val="18"/>
                <w:szCs w:val="18"/>
              </w:rPr>
              <w:t>检测并</w:t>
            </w:r>
            <w:r>
              <w:rPr>
                <w:rFonts w:ascii="Times New Roman" w:hAnsi="Times New Roman"/>
                <w:color w:val="000000"/>
                <w:kern w:val="0"/>
                <w:sz w:val="18"/>
                <w:szCs w:val="18"/>
              </w:rPr>
              <w:t xml:space="preserve"> </w:t>
            </w:r>
            <w:r>
              <w:rPr>
                <w:rFonts w:ascii="Times New Roman" w:hAnsi="宋体"/>
                <w:color w:val="000000"/>
                <w:kern w:val="0"/>
                <w:sz w:val="18"/>
                <w:szCs w:val="18"/>
              </w:rPr>
              <w:t>提供检测报告。</w:t>
            </w: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restart"/>
            <w:vAlign w:val="center"/>
          </w:tcPr>
          <w:p>
            <w:pPr>
              <w:widowControl/>
              <w:jc w:val="center"/>
              <w:rPr>
                <w:rFonts w:ascii="Times New Roman" w:eastAsia="宋体" w:hAnsi="Times New Roman" w:hint="eastAsia"/>
                <w:color w:val="000000"/>
                <w:kern w:val="0"/>
                <w:sz w:val="18"/>
                <w:szCs w:val="18"/>
              </w:rPr>
            </w:pPr>
            <w:r>
              <w:rPr>
                <w:rFonts w:ascii="Times New Roman" w:hAnsi="Times New Roman"/>
                <w:color w:val="000000"/>
                <w:kern w:val="0"/>
                <w:sz w:val="18"/>
                <w:szCs w:val="18"/>
              </w:rPr>
              <w:t>1</w:t>
            </w:r>
            <w:r>
              <w:rPr>
                <w:rFonts w:ascii="Times New Roman" w:hAnsi="Times New Roman" w:hint="eastAsia"/>
                <w:color w:val="000000"/>
                <w:kern w:val="0"/>
                <w:sz w:val="18"/>
                <w:szCs w:val="18"/>
                <w:lang w:val="en-US" w:eastAsia="zh-CN"/>
              </w:rPr>
              <w:t>1</w:t>
            </w: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可溶性重金属</w:t>
            </w: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砷（</w:t>
            </w:r>
            <w:r>
              <w:rPr>
                <w:rFonts w:ascii="Times New Roman" w:hAnsi="Times New Roman"/>
                <w:color w:val="000000"/>
                <w:kern w:val="0"/>
                <w:sz w:val="18"/>
                <w:szCs w:val="18"/>
              </w:rPr>
              <w:t>As</w:t>
            </w:r>
            <w:r>
              <w:rPr>
                <w:rFonts w:ascii="Times New Roman" w:hAnsi="宋体"/>
                <w:color w:val="000000"/>
                <w:kern w:val="0"/>
                <w:sz w:val="18"/>
                <w:szCs w:val="18"/>
              </w:rPr>
              <w:t>）</w:t>
            </w:r>
          </w:p>
        </w:tc>
        <w:tc>
          <w:tcPr>
            <w:tcW w:w="992"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100</w:t>
            </w:r>
          </w:p>
        </w:tc>
        <w:tc>
          <w:tcPr>
            <w:tcW w:w="1985"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GB/T 22930</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镉（</w:t>
            </w:r>
            <w:r>
              <w:rPr>
                <w:rFonts w:ascii="Times New Roman" w:hAnsi="Times New Roman"/>
                <w:color w:val="000000"/>
                <w:kern w:val="0"/>
                <w:sz w:val="18"/>
                <w:szCs w:val="18"/>
              </w:rPr>
              <w:t>Cd</w:t>
            </w:r>
            <w:r>
              <w:rPr>
                <w:rFonts w:ascii="Times New Roman" w:hAnsi="宋体"/>
                <w:color w:val="000000"/>
                <w:kern w:val="0"/>
                <w:sz w:val="18"/>
                <w:szCs w:val="18"/>
              </w:rPr>
              <w:t>）</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40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铅（</w:t>
            </w:r>
            <w:r>
              <w:rPr>
                <w:rFonts w:ascii="Times New Roman" w:hAnsi="Times New Roman"/>
                <w:color w:val="000000"/>
                <w:kern w:val="0"/>
                <w:sz w:val="18"/>
                <w:szCs w:val="18"/>
              </w:rPr>
              <w:t>Pb</w:t>
            </w:r>
            <w:r>
              <w:rPr>
                <w:rFonts w:ascii="Times New Roman" w:hAnsi="宋体"/>
                <w:color w:val="000000"/>
                <w:kern w:val="0"/>
                <w:sz w:val="18"/>
                <w:szCs w:val="18"/>
              </w:rPr>
              <w:t>）</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90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汞（</w:t>
            </w:r>
            <w:r>
              <w:rPr>
                <w:rFonts w:ascii="Times New Roman" w:hAnsi="Times New Roman"/>
                <w:color w:val="000000"/>
                <w:kern w:val="0"/>
                <w:sz w:val="18"/>
                <w:szCs w:val="18"/>
              </w:rPr>
              <w:t>Hg</w:t>
            </w:r>
            <w:r>
              <w:rPr>
                <w:rFonts w:ascii="Times New Roman" w:hAnsi="宋体"/>
                <w:color w:val="000000"/>
                <w:kern w:val="0"/>
                <w:sz w:val="18"/>
                <w:szCs w:val="18"/>
              </w:rPr>
              <w:t>）</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0.5</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restart"/>
            <w:vAlign w:val="center"/>
          </w:tcPr>
          <w:p>
            <w:pPr>
              <w:widowControl/>
              <w:jc w:val="center"/>
              <w:rPr>
                <w:rFonts w:ascii="Times New Roman" w:eastAsia="宋体" w:hAnsi="Times New Roman" w:hint="eastAsia"/>
                <w:color w:val="000000"/>
                <w:kern w:val="0"/>
                <w:sz w:val="18"/>
                <w:szCs w:val="18"/>
              </w:rPr>
            </w:pPr>
            <w:r>
              <w:rPr>
                <w:rFonts w:ascii="Times New Roman" w:hAnsi="Times New Roman"/>
                <w:color w:val="000000"/>
                <w:kern w:val="0"/>
                <w:sz w:val="18"/>
                <w:szCs w:val="18"/>
              </w:rPr>
              <w:t>1</w:t>
            </w:r>
            <w:r>
              <w:rPr>
                <w:rFonts w:ascii="Times New Roman" w:hAnsi="Times New Roman" w:hint="eastAsia"/>
                <w:color w:val="000000"/>
                <w:kern w:val="0"/>
                <w:sz w:val="18"/>
                <w:szCs w:val="18"/>
                <w:lang w:val="en-US" w:eastAsia="zh-CN"/>
              </w:rPr>
              <w:t>2</w:t>
            </w: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有机锡化合物</w:t>
            </w:r>
          </w:p>
        </w:tc>
        <w:tc>
          <w:tcPr>
            <w:tcW w:w="3120"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TBT</w:t>
            </w:r>
            <w:r>
              <w:rPr>
                <w:rFonts w:ascii="Times New Roman" w:hAnsi="宋体"/>
                <w:color w:val="000000"/>
                <w:kern w:val="0"/>
                <w:sz w:val="18"/>
                <w:szCs w:val="18"/>
              </w:rPr>
              <w:t>，</w:t>
            </w:r>
            <w:r>
              <w:rPr>
                <w:rFonts w:ascii="Times New Roman" w:hAnsi="Times New Roman"/>
                <w:color w:val="000000"/>
                <w:kern w:val="0"/>
                <w:sz w:val="18"/>
                <w:szCs w:val="18"/>
              </w:rPr>
              <w:t>TPhT</w:t>
            </w:r>
          </w:p>
        </w:tc>
        <w:tc>
          <w:tcPr>
            <w:tcW w:w="992"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0.5</w:t>
            </w:r>
          </w:p>
        </w:tc>
        <w:tc>
          <w:tcPr>
            <w:tcW w:w="1985"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GB/T 22932</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DBT</w:t>
            </w:r>
            <w:r>
              <w:rPr>
                <w:rFonts w:ascii="Times New Roman" w:hAnsi="宋体"/>
                <w:color w:val="000000"/>
                <w:kern w:val="0"/>
                <w:sz w:val="18"/>
                <w:szCs w:val="18"/>
              </w:rPr>
              <w:t>，</w:t>
            </w:r>
            <w:r>
              <w:rPr>
                <w:rFonts w:ascii="Times New Roman" w:hAnsi="Times New Roman"/>
                <w:color w:val="000000"/>
                <w:kern w:val="0"/>
                <w:sz w:val="18"/>
                <w:szCs w:val="18"/>
              </w:rPr>
              <w:t>DOT</w:t>
            </w:r>
            <w:r>
              <w:rPr>
                <w:rFonts w:ascii="Times New Roman" w:hAnsi="宋体"/>
                <w:color w:val="000000"/>
                <w:kern w:val="0"/>
                <w:sz w:val="18"/>
                <w:szCs w:val="18"/>
              </w:rPr>
              <w:t>，</w:t>
            </w:r>
            <w:r>
              <w:rPr>
                <w:rFonts w:ascii="Times New Roman" w:hAnsi="Times New Roman"/>
                <w:color w:val="000000"/>
                <w:kern w:val="0"/>
                <w:sz w:val="18"/>
                <w:szCs w:val="18"/>
              </w:rPr>
              <w:t>MBT</w:t>
            </w:r>
            <w:r>
              <w:rPr>
                <w:rFonts w:ascii="Times New Roman" w:hAnsi="宋体"/>
                <w:color w:val="000000"/>
                <w:kern w:val="0"/>
                <w:sz w:val="18"/>
                <w:szCs w:val="18"/>
              </w:rPr>
              <w:t>，</w:t>
            </w:r>
            <w:r>
              <w:rPr>
                <w:rFonts w:ascii="Times New Roman" w:hAnsi="Times New Roman"/>
                <w:color w:val="000000"/>
                <w:kern w:val="0"/>
                <w:sz w:val="18"/>
                <w:szCs w:val="18"/>
              </w:rPr>
              <w:t>TCyHT</w:t>
            </w:r>
            <w:r>
              <w:rPr>
                <w:rFonts w:ascii="Times New Roman" w:hAnsi="宋体"/>
                <w:color w:val="000000"/>
                <w:kern w:val="0"/>
                <w:sz w:val="18"/>
                <w:szCs w:val="18"/>
              </w:rPr>
              <w:t>，</w:t>
            </w:r>
            <w:r>
              <w:rPr>
                <w:rFonts w:ascii="Times New Roman" w:hAnsi="Times New Roman"/>
                <w:color w:val="000000"/>
                <w:kern w:val="0"/>
                <w:sz w:val="18"/>
                <w:szCs w:val="18"/>
              </w:rPr>
              <w:t>TMT</w:t>
            </w:r>
            <w:r>
              <w:rPr>
                <w:rFonts w:ascii="Times New Roman" w:hAnsi="宋体"/>
                <w:color w:val="000000"/>
                <w:kern w:val="0"/>
                <w:sz w:val="18"/>
                <w:szCs w:val="18"/>
              </w:rPr>
              <w:t>，</w:t>
            </w:r>
            <w:r>
              <w:rPr>
                <w:rFonts w:ascii="Times New Roman" w:hAnsi="Times New Roman"/>
                <w:color w:val="000000"/>
                <w:kern w:val="0"/>
                <w:sz w:val="18"/>
                <w:szCs w:val="18"/>
              </w:rPr>
              <w:t>TOT</w:t>
            </w:r>
            <w:r>
              <w:rPr>
                <w:rFonts w:ascii="Times New Roman" w:hAnsi="宋体"/>
                <w:color w:val="000000"/>
                <w:kern w:val="0"/>
                <w:sz w:val="18"/>
                <w:szCs w:val="18"/>
              </w:rPr>
              <w:t>，</w:t>
            </w:r>
            <w:r>
              <w:rPr>
                <w:rFonts w:ascii="Times New Roman" w:hAnsi="Times New Roman"/>
                <w:color w:val="000000"/>
                <w:kern w:val="0"/>
                <w:sz w:val="18"/>
                <w:szCs w:val="18"/>
              </w:rPr>
              <w:t>TPT</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widowControl/>
              <w:jc w:val="center"/>
              <w:rPr>
                <w:rFonts w:ascii="Times New Roman" w:hAnsi="Times New Roman"/>
                <w:color w:val="000000"/>
                <w:kern w:val="0"/>
                <w:sz w:val="18"/>
                <w:szCs w:val="18"/>
              </w:rPr>
            </w:pPr>
            <w:r>
              <w:rPr>
                <w:rFonts w:ascii="宋体" w:hAnsi="宋体"/>
                <w:color w:val="000000"/>
                <w:kern w:val="0"/>
                <w:sz w:val="18"/>
                <w:szCs w:val="18"/>
              </w:rPr>
              <w:t>≤</w:t>
            </w:r>
            <w:r>
              <w:rPr>
                <w:rFonts w:ascii="Times New Roman" w:hAnsi="Times New Roman"/>
                <w:color w:val="000000"/>
                <w:kern w:val="0"/>
                <w:sz w:val="18"/>
                <w:szCs w:val="18"/>
              </w:rPr>
              <w:t>1</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restart"/>
            <w:vAlign w:val="center"/>
          </w:tcPr>
          <w:p>
            <w:pPr>
              <w:widowControl/>
              <w:jc w:val="center"/>
              <w:rPr>
                <w:rFonts w:ascii="Times New Roman" w:eastAsia="宋体" w:hAnsi="Times New Roman" w:hint="default"/>
                <w:color w:val="000000"/>
                <w:kern w:val="0"/>
                <w:sz w:val="18"/>
                <w:szCs w:val="18"/>
              </w:rPr>
            </w:pPr>
            <w:r>
              <w:rPr>
                <w:rFonts w:ascii="Times New Roman" w:hAnsi="Times New Roman" w:hint="eastAsia"/>
                <w:color w:val="000000"/>
                <w:kern w:val="0"/>
                <w:sz w:val="18"/>
                <w:szCs w:val="18"/>
                <w:lang w:val="en-US" w:eastAsia="zh-CN"/>
              </w:rPr>
              <w:t>13</w:t>
            </w: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挥发性有机化合物</w:t>
            </w:r>
          </w:p>
        </w:tc>
        <w:tc>
          <w:tcPr>
            <w:tcW w:w="3120" w:type="dxa"/>
            <w:vAlign w:val="center"/>
          </w:tcPr>
          <w:p>
            <w:pPr>
              <w:pStyle w:val="a0"/>
              <w:tabs>
                <w:tab w:val="center" w:pos="4201"/>
                <w:tab w:val="right" w:leader="dot" w:pos="9298"/>
              </w:tabs>
              <w:ind w:firstLine="0" w:firstLineChars="0"/>
              <w:jc w:val="left"/>
              <w:rPr>
                <w:rFonts w:ascii="Times New Roman"/>
                <w:color w:val="000000"/>
                <w:kern w:val="0"/>
                <w:sz w:val="18"/>
                <w:szCs w:val="18"/>
              </w:rPr>
            </w:pPr>
            <w:r>
              <w:rPr>
                <w:rFonts w:hint="eastAsia"/>
                <w:color w:val="auto"/>
                <w:sz w:val="18"/>
                <w:szCs w:val="18"/>
              </w:rPr>
              <w:t>甲醛</w:t>
            </w:r>
          </w:p>
        </w:tc>
        <w:tc>
          <w:tcPr>
            <w:tcW w:w="992" w:type="dxa"/>
            <w:vMerge w:val="restart"/>
            <w:vAlign w:val="center"/>
          </w:tcPr>
          <w:p>
            <w:pPr>
              <w:jc w:val="center"/>
              <w:rPr>
                <w:rFonts w:ascii="Times New Roman" w:hAnsi="Times New Roman"/>
                <w:color w:val="000000"/>
                <w:kern w:val="0"/>
                <w:sz w:val="18"/>
                <w:szCs w:val="18"/>
              </w:rPr>
            </w:pPr>
            <w:r>
              <w:rPr>
                <w:rFonts w:ascii="Times New Roman"/>
                <w:color w:val="auto"/>
                <w:sz w:val="18"/>
                <w:szCs w:val="18"/>
              </w:rPr>
              <w:t>μ</w:t>
            </w:r>
            <w:r>
              <w:rPr>
                <w:rFonts w:hint="eastAsia"/>
                <w:color w:val="auto"/>
                <w:sz w:val="18"/>
                <w:szCs w:val="18"/>
              </w:rPr>
              <w:t>g/m</w:t>
            </w:r>
            <w:r>
              <w:rPr>
                <w:rFonts w:hint="eastAsia"/>
                <w:color w:val="auto"/>
                <w:sz w:val="18"/>
                <w:szCs w:val="18"/>
                <w:vertAlign w:val="superscript"/>
              </w:rPr>
              <w:t>3</w:t>
            </w:r>
          </w:p>
        </w:tc>
        <w:tc>
          <w:tcPr>
            <w:tcW w:w="992" w:type="dxa"/>
            <w:vAlign w:val="center"/>
          </w:tcPr>
          <w:p>
            <w:pPr>
              <w:pStyle w:val="a0"/>
              <w:tabs>
                <w:tab w:val="center" w:pos="4201"/>
                <w:tab w:val="right" w:leader="dot" w:pos="9298"/>
              </w:tabs>
              <w:ind w:firstLine="0" w:firstLineChars="0"/>
              <w:jc w:val="center"/>
              <w:rPr>
                <w:rFonts w:ascii="Times New Roman"/>
                <w:color w:val="000000"/>
                <w:kern w:val="0"/>
                <w:sz w:val="18"/>
                <w:szCs w:val="18"/>
              </w:rPr>
            </w:pPr>
            <w:r>
              <w:rPr>
                <w:rFonts w:hAnsi="宋体" w:hint="eastAsia"/>
                <w:color w:val="auto"/>
                <w:sz w:val="18"/>
                <w:szCs w:val="18"/>
              </w:rPr>
              <w:t>≤</w:t>
            </w:r>
            <w:r>
              <w:rPr>
                <w:rFonts w:hAnsi="宋体" w:hint="eastAsia"/>
                <w:color w:val="auto"/>
                <w:sz w:val="18"/>
                <w:szCs w:val="18"/>
              </w:rPr>
              <w:t>200</w:t>
            </w:r>
          </w:p>
        </w:tc>
        <w:tc>
          <w:tcPr>
            <w:tcW w:w="1985" w:type="dxa"/>
            <w:vMerge w:val="restart"/>
            <w:vAlign w:val="center"/>
          </w:tcPr>
          <w:p>
            <w:pPr>
              <w:widowControl/>
              <w:jc w:val="left"/>
              <w:rPr>
                <w:rFonts w:ascii="Times New Roman" w:hAnsi="Times New Roman"/>
                <w:color w:val="000000"/>
                <w:kern w:val="0"/>
                <w:sz w:val="18"/>
                <w:szCs w:val="18"/>
              </w:rPr>
            </w:pPr>
            <w:r>
              <w:rPr>
                <w:rFonts w:ascii="Times New Roman" w:hAnsi="宋体"/>
                <w:color w:val="000000"/>
                <w:kern w:val="0"/>
                <w:sz w:val="18"/>
                <w:szCs w:val="18"/>
              </w:rPr>
              <w:t>按</w:t>
            </w:r>
            <w:r>
              <w:rPr>
                <w:rFonts w:ascii="Times New Roman" w:hAnsi="Times New Roman"/>
                <w:color w:val="000000"/>
                <w:kern w:val="0"/>
                <w:sz w:val="18"/>
                <w:szCs w:val="18"/>
              </w:rPr>
              <w:t xml:space="preserve"> </w:t>
            </w:r>
            <w:r>
              <w:rPr>
                <w:rFonts w:hAnsi="宋体" w:cs="宋体" w:hint="eastAsia"/>
                <w:color w:val="auto"/>
              </w:rPr>
              <w:t>QB/T 5354-2018</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pStyle w:val="a0"/>
              <w:tabs>
                <w:tab w:val="center" w:pos="4201"/>
                <w:tab w:val="right" w:leader="dot" w:pos="9298"/>
              </w:tabs>
              <w:ind w:firstLine="0" w:firstLineChars="0"/>
              <w:jc w:val="left"/>
              <w:rPr>
                <w:rFonts w:ascii="Times New Roman"/>
                <w:color w:val="000000"/>
                <w:kern w:val="0"/>
                <w:sz w:val="18"/>
                <w:szCs w:val="18"/>
              </w:rPr>
            </w:pPr>
            <w:r>
              <w:rPr>
                <w:rFonts w:hint="eastAsia"/>
                <w:color w:val="auto"/>
                <w:sz w:val="18"/>
                <w:szCs w:val="18"/>
              </w:rPr>
              <w:t>乙醛</w:t>
            </w:r>
          </w:p>
        </w:tc>
        <w:tc>
          <w:tcPr>
            <w:tcW w:w="992" w:type="dxa"/>
            <w:vMerge/>
            <w:vAlign w:val="center"/>
          </w:tcPr>
          <w:p>
            <w:pPr>
              <w:jc w:val="center"/>
              <w:rPr>
                <w:rFonts w:ascii="Times New Roman" w:hAnsi="Times New Roman"/>
                <w:color w:val="000000"/>
                <w:kern w:val="0"/>
                <w:sz w:val="18"/>
                <w:szCs w:val="18"/>
              </w:rPr>
            </w:pPr>
          </w:p>
        </w:tc>
        <w:tc>
          <w:tcPr>
            <w:tcW w:w="992" w:type="dxa"/>
            <w:vAlign w:val="center"/>
          </w:tcPr>
          <w:p>
            <w:pPr>
              <w:jc w:val="center"/>
              <w:rPr>
                <w:rFonts w:ascii="Times New Roman" w:hAnsi="Times New Roman"/>
                <w:color w:val="000000"/>
                <w:kern w:val="0"/>
                <w:sz w:val="18"/>
                <w:szCs w:val="18"/>
              </w:rPr>
            </w:pPr>
            <w:r>
              <w:rPr>
                <w:rFonts w:ascii="宋体" w:hint="eastAsia"/>
                <w:color w:val="auto"/>
                <w:sz w:val="18"/>
              </w:rPr>
              <w:t>≤</w:t>
            </w:r>
            <w:r>
              <w:rPr>
                <w:rFonts w:ascii="宋体" w:hint="eastAsia"/>
                <w:color w:val="auto"/>
                <w:sz w:val="18"/>
              </w:rPr>
              <w:t>100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pStyle w:val="a0"/>
              <w:tabs>
                <w:tab w:val="center" w:pos="4201"/>
                <w:tab w:val="right" w:leader="dot" w:pos="9298"/>
              </w:tabs>
              <w:ind w:firstLine="0" w:firstLineChars="0"/>
              <w:jc w:val="left"/>
              <w:rPr>
                <w:rFonts w:ascii="Times New Roman"/>
                <w:color w:val="000000"/>
                <w:kern w:val="0"/>
                <w:sz w:val="18"/>
                <w:szCs w:val="18"/>
              </w:rPr>
            </w:pPr>
            <w:r>
              <w:rPr>
                <w:rFonts w:hint="eastAsia"/>
                <w:color w:val="auto"/>
                <w:sz w:val="18"/>
                <w:szCs w:val="18"/>
              </w:rPr>
              <w:t>丙烯醛</w:t>
            </w:r>
          </w:p>
        </w:tc>
        <w:tc>
          <w:tcPr>
            <w:tcW w:w="992" w:type="dxa"/>
            <w:vMerge/>
            <w:vAlign w:val="center"/>
          </w:tcPr>
          <w:p>
            <w:pPr>
              <w:jc w:val="center"/>
              <w:rPr>
                <w:rFonts w:ascii="Times New Roman" w:hAnsi="Times New Roman"/>
                <w:color w:val="000000"/>
                <w:kern w:val="0"/>
                <w:sz w:val="18"/>
                <w:szCs w:val="18"/>
              </w:rPr>
            </w:pPr>
          </w:p>
        </w:tc>
        <w:tc>
          <w:tcPr>
            <w:tcW w:w="992" w:type="dxa"/>
            <w:vAlign w:val="center"/>
          </w:tcPr>
          <w:p>
            <w:pPr>
              <w:jc w:val="center"/>
              <w:rPr>
                <w:rFonts w:ascii="Times New Roman" w:hAnsi="Times New Roman"/>
                <w:color w:val="000000"/>
                <w:kern w:val="0"/>
                <w:sz w:val="18"/>
                <w:szCs w:val="18"/>
              </w:rPr>
            </w:pPr>
            <w:r>
              <w:rPr>
                <w:rFonts w:ascii="宋体" w:hint="eastAsia"/>
                <w:color w:val="auto"/>
                <w:sz w:val="18"/>
              </w:rPr>
              <w:t>≤</w:t>
            </w:r>
            <w:r>
              <w:rPr>
                <w:rFonts w:ascii="宋体" w:hint="eastAsia"/>
                <w:color w:val="auto"/>
                <w:sz w:val="18"/>
              </w:rPr>
              <w:t>50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pStyle w:val="a0"/>
              <w:tabs>
                <w:tab w:val="center" w:pos="4201"/>
                <w:tab w:val="right" w:leader="dot" w:pos="9298"/>
              </w:tabs>
              <w:ind w:firstLine="0" w:firstLineChars="0"/>
              <w:jc w:val="left"/>
              <w:rPr>
                <w:rFonts w:ascii="Times New Roman"/>
                <w:color w:val="000000"/>
                <w:kern w:val="0"/>
                <w:sz w:val="18"/>
                <w:szCs w:val="18"/>
              </w:rPr>
            </w:pPr>
            <w:r>
              <w:rPr>
                <w:rFonts w:hint="eastAsia"/>
                <w:color w:val="auto"/>
                <w:sz w:val="18"/>
                <w:szCs w:val="18"/>
              </w:rPr>
              <w:t>苯</w:t>
            </w:r>
          </w:p>
        </w:tc>
        <w:tc>
          <w:tcPr>
            <w:tcW w:w="992" w:type="dxa"/>
            <w:vMerge/>
            <w:vAlign w:val="center"/>
          </w:tcPr>
          <w:p>
            <w:pPr>
              <w:jc w:val="center"/>
              <w:rPr>
                <w:rFonts w:ascii="Times New Roman" w:hAnsi="Times New Roman"/>
                <w:color w:val="000000"/>
                <w:kern w:val="0"/>
                <w:sz w:val="18"/>
                <w:szCs w:val="18"/>
              </w:rPr>
            </w:pPr>
          </w:p>
        </w:tc>
        <w:tc>
          <w:tcPr>
            <w:tcW w:w="992" w:type="dxa"/>
            <w:vAlign w:val="center"/>
          </w:tcPr>
          <w:p>
            <w:pPr>
              <w:jc w:val="center"/>
              <w:rPr>
                <w:rFonts w:ascii="Times New Roman" w:hAnsi="Times New Roman"/>
                <w:color w:val="000000"/>
                <w:kern w:val="0"/>
                <w:sz w:val="18"/>
                <w:szCs w:val="18"/>
              </w:rPr>
            </w:pPr>
            <w:r>
              <w:rPr>
                <w:rFonts w:ascii="宋体" w:hint="eastAsia"/>
                <w:color w:val="auto"/>
                <w:sz w:val="18"/>
              </w:rPr>
              <w:t>≤</w:t>
            </w:r>
            <w:r>
              <w:rPr>
                <w:rFonts w:ascii="宋体" w:hint="eastAsia"/>
                <w:color w:val="auto"/>
                <w:sz w:val="18"/>
              </w:rPr>
              <w:t>100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pStyle w:val="a0"/>
              <w:tabs>
                <w:tab w:val="center" w:pos="4201"/>
                <w:tab w:val="right" w:leader="dot" w:pos="9298"/>
              </w:tabs>
              <w:ind w:firstLine="0" w:firstLineChars="0"/>
              <w:jc w:val="left"/>
              <w:rPr>
                <w:rFonts w:ascii="Times New Roman"/>
                <w:color w:val="000000"/>
                <w:kern w:val="0"/>
                <w:sz w:val="18"/>
                <w:szCs w:val="18"/>
              </w:rPr>
            </w:pPr>
            <w:r>
              <w:rPr>
                <w:rFonts w:hint="eastAsia"/>
                <w:color w:val="auto"/>
                <w:sz w:val="18"/>
                <w:szCs w:val="18"/>
              </w:rPr>
              <w:t>甲苯</w:t>
            </w:r>
          </w:p>
        </w:tc>
        <w:tc>
          <w:tcPr>
            <w:tcW w:w="992" w:type="dxa"/>
            <w:vMerge/>
            <w:vAlign w:val="center"/>
          </w:tcPr>
          <w:p>
            <w:pPr>
              <w:jc w:val="center"/>
              <w:rPr>
                <w:rFonts w:ascii="Times New Roman" w:hAnsi="Times New Roman"/>
                <w:color w:val="000000"/>
                <w:kern w:val="0"/>
                <w:sz w:val="18"/>
                <w:szCs w:val="18"/>
              </w:rPr>
            </w:pPr>
          </w:p>
        </w:tc>
        <w:tc>
          <w:tcPr>
            <w:tcW w:w="992" w:type="dxa"/>
            <w:vAlign w:val="center"/>
          </w:tcPr>
          <w:p>
            <w:pPr>
              <w:jc w:val="center"/>
              <w:rPr>
                <w:rFonts w:ascii="Times New Roman" w:hAnsi="Times New Roman"/>
                <w:color w:val="000000"/>
                <w:kern w:val="0"/>
                <w:sz w:val="18"/>
                <w:szCs w:val="18"/>
              </w:rPr>
            </w:pPr>
            <w:r>
              <w:rPr>
                <w:rFonts w:ascii="宋体" w:hint="eastAsia"/>
                <w:color w:val="auto"/>
                <w:sz w:val="18"/>
              </w:rPr>
              <w:t>≤</w:t>
            </w:r>
            <w:r>
              <w:rPr>
                <w:rFonts w:ascii="宋体" w:hint="eastAsia"/>
                <w:color w:val="auto"/>
                <w:sz w:val="18"/>
              </w:rPr>
              <w:t>300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pStyle w:val="a0"/>
              <w:tabs>
                <w:tab w:val="center" w:pos="4201"/>
                <w:tab w:val="right" w:leader="dot" w:pos="9298"/>
              </w:tabs>
              <w:ind w:firstLine="0" w:firstLineChars="0"/>
              <w:jc w:val="left"/>
              <w:rPr>
                <w:rFonts w:ascii="Times New Roman"/>
                <w:color w:val="000000"/>
                <w:kern w:val="0"/>
                <w:sz w:val="18"/>
                <w:szCs w:val="18"/>
              </w:rPr>
            </w:pPr>
            <w:r>
              <w:rPr>
                <w:rFonts w:hint="eastAsia"/>
                <w:color w:val="auto"/>
                <w:sz w:val="18"/>
                <w:szCs w:val="18"/>
              </w:rPr>
              <w:t>二甲苯</w:t>
            </w:r>
          </w:p>
        </w:tc>
        <w:tc>
          <w:tcPr>
            <w:tcW w:w="992" w:type="dxa"/>
            <w:vMerge/>
            <w:vAlign w:val="center"/>
          </w:tcPr>
          <w:p>
            <w:pPr>
              <w:jc w:val="center"/>
              <w:rPr>
                <w:rFonts w:ascii="Times New Roman" w:hAnsi="Times New Roman"/>
                <w:color w:val="000000"/>
                <w:kern w:val="0"/>
                <w:sz w:val="18"/>
                <w:szCs w:val="18"/>
              </w:rPr>
            </w:pPr>
          </w:p>
        </w:tc>
        <w:tc>
          <w:tcPr>
            <w:tcW w:w="992" w:type="dxa"/>
            <w:vAlign w:val="center"/>
          </w:tcPr>
          <w:p>
            <w:pPr>
              <w:jc w:val="center"/>
              <w:rPr>
                <w:rFonts w:ascii="Times New Roman" w:hAnsi="Times New Roman"/>
                <w:color w:val="000000"/>
                <w:kern w:val="0"/>
                <w:sz w:val="18"/>
                <w:szCs w:val="18"/>
              </w:rPr>
            </w:pPr>
            <w:r>
              <w:rPr>
                <w:rFonts w:ascii="宋体" w:hint="eastAsia"/>
                <w:color w:val="auto"/>
                <w:sz w:val="18"/>
              </w:rPr>
              <w:t>≤</w:t>
            </w:r>
            <w:r>
              <w:rPr>
                <w:rFonts w:ascii="宋体" w:hint="eastAsia"/>
                <w:color w:val="auto"/>
                <w:sz w:val="18"/>
              </w:rPr>
              <w:t>300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pStyle w:val="a0"/>
              <w:tabs>
                <w:tab w:val="center" w:pos="4201"/>
                <w:tab w:val="right" w:leader="dot" w:pos="9298"/>
              </w:tabs>
              <w:ind w:firstLine="0" w:firstLineChars="0"/>
              <w:jc w:val="left"/>
              <w:rPr>
                <w:rFonts w:ascii="Times New Roman"/>
                <w:color w:val="000000"/>
                <w:kern w:val="0"/>
                <w:sz w:val="18"/>
                <w:szCs w:val="18"/>
              </w:rPr>
            </w:pPr>
            <w:r>
              <w:rPr>
                <w:rFonts w:hint="eastAsia"/>
                <w:color w:val="auto"/>
                <w:sz w:val="18"/>
                <w:szCs w:val="18"/>
              </w:rPr>
              <w:t>乙苯</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jc w:val="center"/>
              <w:rPr>
                <w:rFonts w:ascii="Times New Roman" w:hAnsi="Times New Roman"/>
                <w:color w:val="000000"/>
                <w:kern w:val="0"/>
                <w:sz w:val="18"/>
                <w:szCs w:val="18"/>
              </w:rPr>
            </w:pPr>
            <w:r>
              <w:rPr>
                <w:rFonts w:ascii="宋体" w:hint="eastAsia"/>
                <w:color w:val="auto"/>
                <w:sz w:val="18"/>
              </w:rPr>
              <w:t>≤</w:t>
            </w:r>
            <w:r>
              <w:rPr>
                <w:rFonts w:ascii="宋体" w:hint="eastAsia"/>
                <w:color w:val="auto"/>
                <w:sz w:val="18"/>
              </w:rPr>
              <w:t>200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Merge/>
            <w:vAlign w:val="center"/>
          </w:tcPr>
          <w:p>
            <w:pPr>
              <w:widowControl/>
              <w:jc w:val="center"/>
              <w:rPr>
                <w:rFonts w:ascii="Times New Roman" w:hAnsi="Times New Roman"/>
                <w:color w:val="000000"/>
                <w:kern w:val="0"/>
                <w:sz w:val="18"/>
                <w:szCs w:val="18"/>
              </w:rPr>
            </w:pPr>
          </w:p>
        </w:tc>
        <w:tc>
          <w:tcPr>
            <w:tcW w:w="710" w:type="dxa"/>
            <w:vMerge/>
            <w:vAlign w:val="center"/>
          </w:tcPr>
          <w:p>
            <w:pPr>
              <w:widowControl/>
              <w:jc w:val="left"/>
              <w:rPr>
                <w:rFonts w:ascii="Times New Roman" w:hAnsi="Times New Roman"/>
                <w:color w:val="000000"/>
                <w:kern w:val="0"/>
                <w:sz w:val="18"/>
                <w:szCs w:val="18"/>
              </w:rPr>
            </w:pPr>
          </w:p>
        </w:tc>
        <w:tc>
          <w:tcPr>
            <w:tcW w:w="1140" w:type="dxa"/>
            <w:gridSpan w:val="2"/>
            <w:vMerge/>
            <w:vAlign w:val="center"/>
          </w:tcPr>
          <w:p>
            <w:pPr>
              <w:widowControl/>
              <w:jc w:val="left"/>
              <w:rPr>
                <w:rFonts w:ascii="Times New Roman" w:hAnsi="Times New Roman"/>
                <w:color w:val="000000"/>
                <w:kern w:val="0"/>
                <w:sz w:val="18"/>
                <w:szCs w:val="18"/>
              </w:rPr>
            </w:pPr>
          </w:p>
        </w:tc>
        <w:tc>
          <w:tcPr>
            <w:tcW w:w="3120" w:type="dxa"/>
            <w:vAlign w:val="center"/>
          </w:tcPr>
          <w:p>
            <w:pPr>
              <w:pStyle w:val="a0"/>
              <w:tabs>
                <w:tab w:val="center" w:pos="4201"/>
                <w:tab w:val="right" w:leader="dot" w:pos="9298"/>
              </w:tabs>
              <w:ind w:firstLine="0" w:firstLineChars="0"/>
              <w:jc w:val="left"/>
              <w:rPr>
                <w:rFonts w:ascii="Times New Roman"/>
                <w:color w:val="000000"/>
                <w:kern w:val="0"/>
                <w:sz w:val="18"/>
                <w:szCs w:val="18"/>
              </w:rPr>
            </w:pPr>
            <w:r>
              <w:rPr>
                <w:rFonts w:hint="eastAsia"/>
                <w:color w:val="auto"/>
                <w:sz w:val="18"/>
                <w:szCs w:val="18"/>
              </w:rPr>
              <w:t>苯乙烯</w:t>
            </w:r>
          </w:p>
        </w:tc>
        <w:tc>
          <w:tcPr>
            <w:tcW w:w="992" w:type="dxa"/>
            <w:vMerge/>
            <w:vAlign w:val="center"/>
          </w:tcPr>
          <w:p>
            <w:pPr>
              <w:widowControl/>
              <w:jc w:val="center"/>
              <w:rPr>
                <w:rFonts w:ascii="Times New Roman" w:hAnsi="Times New Roman"/>
                <w:color w:val="000000"/>
                <w:kern w:val="0"/>
                <w:sz w:val="18"/>
                <w:szCs w:val="18"/>
              </w:rPr>
            </w:pPr>
          </w:p>
        </w:tc>
        <w:tc>
          <w:tcPr>
            <w:tcW w:w="992" w:type="dxa"/>
            <w:vAlign w:val="center"/>
          </w:tcPr>
          <w:p>
            <w:pPr>
              <w:jc w:val="center"/>
              <w:rPr>
                <w:rFonts w:ascii="Times New Roman" w:hAnsi="Times New Roman"/>
                <w:color w:val="000000"/>
                <w:kern w:val="0"/>
                <w:sz w:val="18"/>
                <w:szCs w:val="18"/>
              </w:rPr>
            </w:pPr>
            <w:r>
              <w:rPr>
                <w:rFonts w:ascii="宋体" w:hint="eastAsia"/>
                <w:color w:val="auto"/>
                <w:sz w:val="18"/>
              </w:rPr>
              <w:t>≤</w:t>
            </w:r>
            <w:r>
              <w:rPr>
                <w:rFonts w:ascii="宋体" w:hint="eastAsia"/>
                <w:color w:val="auto"/>
                <w:sz w:val="18"/>
              </w:rPr>
              <w:t>300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Align w:val="center"/>
          </w:tcPr>
          <w:p>
            <w:pPr>
              <w:widowControl/>
              <w:jc w:val="center"/>
              <w:rPr>
                <w:rFonts w:ascii="Times New Roman" w:eastAsia="宋体" w:hAnsi="Times New Roman" w:hint="default"/>
                <w:color w:val="000000"/>
                <w:kern w:val="0"/>
                <w:sz w:val="18"/>
                <w:szCs w:val="18"/>
              </w:rPr>
            </w:pPr>
            <w:r>
              <w:rPr>
                <w:rFonts w:ascii="Times New Roman" w:hAnsi="Times New Roman" w:hint="eastAsia"/>
                <w:color w:val="000000"/>
                <w:kern w:val="0"/>
                <w:sz w:val="18"/>
                <w:szCs w:val="18"/>
                <w:lang w:val="en-US" w:eastAsia="zh-CN"/>
              </w:rPr>
              <w:t>14</w:t>
            </w:r>
          </w:p>
        </w:tc>
        <w:tc>
          <w:tcPr>
            <w:tcW w:w="710" w:type="dxa"/>
            <w:vMerge/>
            <w:vAlign w:val="center"/>
          </w:tcPr>
          <w:p>
            <w:pPr>
              <w:widowControl/>
              <w:jc w:val="left"/>
              <w:rPr>
                <w:rFonts w:ascii="Times New Roman" w:hAnsi="Times New Roman"/>
                <w:color w:val="000000"/>
                <w:kern w:val="0"/>
                <w:sz w:val="18"/>
                <w:szCs w:val="18"/>
              </w:rPr>
            </w:pPr>
          </w:p>
        </w:tc>
        <w:tc>
          <w:tcPr>
            <w:tcW w:w="4260" w:type="dxa"/>
            <w:gridSpan w:val="3"/>
            <w:vAlign w:val="center"/>
          </w:tcPr>
          <w:p>
            <w:pPr>
              <w:ind w:right="25" w:rightChars="12"/>
              <w:jc w:val="both"/>
              <w:rPr>
                <w:rFonts w:hint="eastAsia"/>
                <w:color w:val="auto"/>
                <w:sz w:val="18"/>
                <w:szCs w:val="18"/>
              </w:rPr>
            </w:pPr>
            <w:r>
              <w:rPr>
                <w:rFonts w:ascii="宋体" w:hAnsi="宋体" w:hint="eastAsia"/>
                <w:color w:val="auto"/>
                <w:sz w:val="18"/>
                <w:szCs w:val="18"/>
              </w:rPr>
              <w:t>多溴联苯</w:t>
            </w:r>
          </w:p>
        </w:tc>
        <w:tc>
          <w:tcPr>
            <w:tcW w:w="992"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tcPr>
          <w:p>
            <w:pPr>
              <w:jc w:val="center"/>
              <w:rPr>
                <w:rFonts w:ascii="宋体" w:hint="eastAsia"/>
                <w:color w:val="auto"/>
                <w:sz w:val="18"/>
              </w:rPr>
            </w:pPr>
            <w:r>
              <w:rPr>
                <w:rFonts w:ascii="宋体" w:hAnsi="宋体" w:hint="eastAsia"/>
                <w:color w:val="auto"/>
                <w:sz w:val="18"/>
                <w:szCs w:val="18"/>
              </w:rPr>
              <w:t>≤</w:t>
            </w:r>
            <w:r>
              <w:rPr>
                <w:rFonts w:ascii="宋体" w:hAnsi="宋体" w:hint="eastAsia"/>
                <w:color w:val="auto"/>
                <w:sz w:val="18"/>
                <w:szCs w:val="18"/>
              </w:rPr>
              <w:t>1000</w:t>
            </w:r>
          </w:p>
        </w:tc>
        <w:tc>
          <w:tcPr>
            <w:tcW w:w="1985" w:type="dxa"/>
            <w:vMerge w:val="restart"/>
            <w:vAlign w:val="center"/>
          </w:tcPr>
          <w:p>
            <w:pPr>
              <w:widowControl/>
              <w:jc w:val="left"/>
              <w:rPr>
                <w:rFonts w:ascii="Times New Roman" w:hAnsi="Times New Roman"/>
                <w:color w:val="000000"/>
                <w:kern w:val="0"/>
                <w:sz w:val="18"/>
                <w:szCs w:val="18"/>
              </w:rPr>
            </w:pPr>
            <w:r>
              <w:rPr>
                <w:rFonts w:hint="eastAsia"/>
                <w:color w:val="auto"/>
                <w:sz w:val="18"/>
                <w:szCs w:val="18"/>
                <w:lang w:eastAsia="zh-CN"/>
              </w:rPr>
              <w:t>按</w:t>
            </w:r>
            <w:r>
              <w:rPr>
                <w:rFonts w:hint="eastAsia"/>
                <w:color w:val="auto"/>
                <w:sz w:val="18"/>
                <w:szCs w:val="18"/>
              </w:rPr>
              <w:t>QC/T 944-2013</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Align w:val="center"/>
          </w:tcPr>
          <w:p>
            <w:pPr>
              <w:widowControl/>
              <w:jc w:val="center"/>
              <w:rPr>
                <w:rFonts w:ascii="Times New Roman" w:eastAsia="宋体" w:hAnsi="Times New Roman" w:hint="default"/>
                <w:color w:val="000000"/>
                <w:kern w:val="0"/>
                <w:sz w:val="18"/>
                <w:szCs w:val="18"/>
              </w:rPr>
            </w:pPr>
            <w:r>
              <w:rPr>
                <w:rFonts w:ascii="Times New Roman" w:hAnsi="Times New Roman" w:hint="eastAsia"/>
                <w:color w:val="000000"/>
                <w:kern w:val="0"/>
                <w:sz w:val="18"/>
                <w:szCs w:val="18"/>
                <w:lang w:val="en-US" w:eastAsia="zh-CN"/>
              </w:rPr>
              <w:t>15</w:t>
            </w:r>
          </w:p>
        </w:tc>
        <w:tc>
          <w:tcPr>
            <w:tcW w:w="710" w:type="dxa"/>
            <w:vMerge/>
            <w:vAlign w:val="center"/>
          </w:tcPr>
          <w:p>
            <w:pPr>
              <w:widowControl/>
              <w:jc w:val="left"/>
              <w:rPr>
                <w:rFonts w:ascii="Times New Roman" w:hAnsi="Times New Roman"/>
                <w:color w:val="000000"/>
                <w:kern w:val="0"/>
                <w:sz w:val="18"/>
                <w:szCs w:val="18"/>
              </w:rPr>
            </w:pPr>
          </w:p>
        </w:tc>
        <w:tc>
          <w:tcPr>
            <w:tcW w:w="4260" w:type="dxa"/>
            <w:gridSpan w:val="3"/>
            <w:vAlign w:val="center"/>
          </w:tcPr>
          <w:p>
            <w:pPr>
              <w:ind w:right="25" w:rightChars="12"/>
              <w:jc w:val="both"/>
              <w:rPr>
                <w:rFonts w:hint="eastAsia"/>
                <w:color w:val="auto"/>
                <w:sz w:val="18"/>
                <w:szCs w:val="18"/>
              </w:rPr>
            </w:pPr>
            <w:r>
              <w:rPr>
                <w:rFonts w:ascii="宋体" w:hAnsi="宋体" w:hint="eastAsia"/>
                <w:color w:val="auto"/>
                <w:sz w:val="18"/>
                <w:szCs w:val="18"/>
              </w:rPr>
              <w:t>多溴二苯醚</w:t>
            </w:r>
          </w:p>
        </w:tc>
        <w:tc>
          <w:tcPr>
            <w:tcW w:w="992"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mg/kg</w:t>
            </w:r>
          </w:p>
        </w:tc>
        <w:tc>
          <w:tcPr>
            <w:tcW w:w="992" w:type="dxa"/>
          </w:tcPr>
          <w:p>
            <w:pPr>
              <w:jc w:val="center"/>
              <w:rPr>
                <w:rFonts w:ascii="宋体" w:hint="eastAsia"/>
                <w:color w:val="auto"/>
                <w:sz w:val="18"/>
              </w:rPr>
            </w:pPr>
            <w:r>
              <w:rPr>
                <w:rFonts w:ascii="宋体" w:hAnsi="宋体" w:hint="eastAsia"/>
                <w:color w:val="auto"/>
                <w:sz w:val="18"/>
                <w:szCs w:val="18"/>
              </w:rPr>
              <w:t>≤</w:t>
            </w:r>
            <w:r>
              <w:rPr>
                <w:rFonts w:ascii="宋体" w:hAnsi="宋体" w:hint="eastAsia"/>
                <w:color w:val="auto"/>
                <w:sz w:val="18"/>
                <w:szCs w:val="18"/>
              </w:rPr>
              <w:t>1000</w:t>
            </w:r>
          </w:p>
        </w:tc>
        <w:tc>
          <w:tcPr>
            <w:tcW w:w="1985" w:type="dxa"/>
            <w:vMerge/>
            <w:vAlign w:val="center"/>
          </w:tcPr>
          <w:p>
            <w:pPr>
              <w:widowControl/>
              <w:jc w:val="left"/>
              <w:rPr>
                <w:rFonts w:ascii="Times New Roman" w:hAnsi="Times New Roman"/>
                <w:color w:val="000000"/>
                <w:kern w:val="0"/>
                <w:sz w:val="18"/>
                <w:szCs w:val="18"/>
              </w:rPr>
            </w:pP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Align w:val="center"/>
          </w:tcPr>
          <w:p>
            <w:pPr>
              <w:widowControl/>
              <w:jc w:val="center"/>
              <w:rPr>
                <w:rFonts w:ascii="Times New Roman" w:hAnsi="Times New Roman" w:hint="default"/>
                <w:color w:val="000000"/>
                <w:kern w:val="0"/>
                <w:sz w:val="18"/>
                <w:szCs w:val="18"/>
              </w:rPr>
            </w:pPr>
            <w:r>
              <w:rPr>
                <w:rFonts w:ascii="Times New Roman" w:hAnsi="Times New Roman" w:hint="eastAsia"/>
                <w:color w:val="000000"/>
                <w:kern w:val="0"/>
                <w:sz w:val="18"/>
                <w:szCs w:val="18"/>
                <w:lang w:val="en-US" w:eastAsia="zh-CN"/>
              </w:rPr>
              <w:t>16</w:t>
            </w:r>
          </w:p>
        </w:tc>
        <w:tc>
          <w:tcPr>
            <w:tcW w:w="710" w:type="dxa"/>
            <w:vAlign w:val="center"/>
          </w:tcPr>
          <w:p>
            <w:pPr>
              <w:widowControl/>
              <w:jc w:val="left"/>
              <w:rPr>
                <w:rFonts w:ascii="Times New Roman" w:hAnsi="Times New Roman"/>
                <w:color w:val="000000"/>
                <w:kern w:val="0"/>
                <w:sz w:val="18"/>
                <w:szCs w:val="18"/>
              </w:rPr>
            </w:pPr>
          </w:p>
        </w:tc>
        <w:tc>
          <w:tcPr>
            <w:tcW w:w="4260" w:type="dxa"/>
            <w:gridSpan w:val="3"/>
            <w:vAlign w:val="center"/>
          </w:tcPr>
          <w:p>
            <w:pPr>
              <w:ind w:right="25" w:rightChars="12"/>
              <w:jc w:val="both"/>
              <w:rPr>
                <w:rFonts w:ascii="宋体" w:hAnsi="宋体" w:hint="eastAsia"/>
                <w:color w:val="auto"/>
                <w:sz w:val="18"/>
                <w:szCs w:val="18"/>
              </w:rPr>
            </w:pPr>
            <w:r>
              <w:rPr>
                <w:rFonts w:ascii="宋体" w:hAnsi="宋体" w:hint="eastAsia"/>
                <w:color w:val="auto"/>
                <w:sz w:val="18"/>
              </w:rPr>
              <w:t>气味</w:t>
            </w:r>
          </w:p>
        </w:tc>
        <w:tc>
          <w:tcPr>
            <w:tcW w:w="992" w:type="dxa"/>
            <w:vAlign w:val="center"/>
          </w:tcPr>
          <w:p>
            <w:pPr>
              <w:widowControl/>
              <w:jc w:val="center"/>
              <w:rPr>
                <w:rFonts w:ascii="Times New Roman" w:eastAsia="宋体" w:hAnsi="Times New Roman" w:hint="eastAsia"/>
                <w:color w:val="000000"/>
                <w:kern w:val="0"/>
                <w:sz w:val="18"/>
                <w:szCs w:val="18"/>
              </w:rPr>
            </w:pPr>
            <w:r>
              <w:rPr>
                <w:rFonts w:ascii="Times New Roman" w:hAnsi="Times New Roman" w:hint="eastAsia"/>
                <w:color w:val="000000"/>
                <w:kern w:val="0"/>
                <w:sz w:val="18"/>
                <w:szCs w:val="18"/>
                <w:lang w:eastAsia="zh-CN"/>
              </w:rPr>
              <w:t>级</w:t>
            </w:r>
          </w:p>
        </w:tc>
        <w:tc>
          <w:tcPr>
            <w:tcW w:w="992" w:type="dxa"/>
          </w:tcPr>
          <w:p>
            <w:pPr>
              <w:jc w:val="center"/>
              <w:rPr>
                <w:rFonts w:ascii="宋体" w:eastAsia="宋体" w:hAnsi="宋体" w:hint="eastAsia"/>
                <w:color w:val="auto"/>
                <w:sz w:val="18"/>
                <w:szCs w:val="18"/>
              </w:rPr>
            </w:pPr>
            <w:r>
              <w:rPr>
                <w:rFonts w:ascii="宋体" w:hAnsi="宋体" w:hint="eastAsia"/>
                <w:color w:val="auto"/>
                <w:sz w:val="18"/>
                <w:szCs w:val="18"/>
              </w:rPr>
              <w:t>≤</w:t>
            </w:r>
            <w:r>
              <w:rPr>
                <w:rFonts w:ascii="宋体" w:hAnsi="宋体" w:hint="eastAsia"/>
                <w:color w:val="auto"/>
                <w:sz w:val="18"/>
                <w:szCs w:val="18"/>
                <w:lang w:val="en-US" w:eastAsia="zh-CN"/>
              </w:rPr>
              <w:t>3</w:t>
            </w:r>
          </w:p>
        </w:tc>
        <w:tc>
          <w:tcPr>
            <w:tcW w:w="1985" w:type="dxa"/>
            <w:vAlign w:val="center"/>
          </w:tcPr>
          <w:p>
            <w:pPr>
              <w:widowControl/>
              <w:jc w:val="left"/>
              <w:rPr>
                <w:rFonts w:ascii="Times New Roman" w:hAnsi="Times New Roman"/>
                <w:color w:val="000000"/>
                <w:kern w:val="0"/>
                <w:sz w:val="18"/>
                <w:szCs w:val="18"/>
              </w:rPr>
            </w:pPr>
            <w:r>
              <w:rPr>
                <w:rFonts w:hint="eastAsia"/>
                <w:color w:val="auto"/>
                <w:sz w:val="18"/>
                <w:szCs w:val="18"/>
                <w:lang w:eastAsia="zh-CN"/>
              </w:rPr>
              <w:t>按</w:t>
            </w:r>
            <w:r>
              <w:rPr>
                <w:rFonts w:hint="eastAsia"/>
                <w:color w:val="auto"/>
                <w:sz w:val="18"/>
                <w:szCs w:val="18"/>
                <w:lang w:val="en-US" w:eastAsia="zh-CN"/>
              </w:rPr>
              <w:t>QB/T5068-2017</w:t>
            </w:r>
            <w:r>
              <w:rPr>
                <w:rFonts w:ascii="Times New Roman" w:hAnsi="宋体"/>
                <w:color w:val="000000"/>
                <w:kern w:val="0"/>
                <w:sz w:val="18"/>
                <w:szCs w:val="18"/>
              </w:rPr>
              <w:t>检测并提供检测报告</w:t>
            </w:r>
          </w:p>
        </w:tc>
      </w:tr>
      <w:tr>
        <w:tblPrEx>
          <w:tblW w:w="0" w:type="auto"/>
          <w:tblInd w:w="114" w:type="dxa"/>
          <w:tblLayout w:type="fixed"/>
          <w:tblCellMar>
            <w:top w:w="0" w:type="dxa"/>
            <w:left w:w="108" w:type="dxa"/>
            <w:bottom w:w="0" w:type="dxa"/>
            <w:right w:w="108" w:type="dxa"/>
          </w:tblCellMar>
          <w:tblLook w:val="0000"/>
        </w:tblPrEx>
        <w:trPr>
          <w:trHeight w:val="20"/>
        </w:trPr>
        <w:tc>
          <w:tcPr>
            <w:tcW w:w="411" w:type="dxa"/>
            <w:vAlign w:val="center"/>
          </w:tcPr>
          <w:p>
            <w:pPr>
              <w:widowControl/>
              <w:jc w:val="center"/>
              <w:rPr>
                <w:rFonts w:ascii="Times New Roman" w:hAnsi="Times New Roman" w:hint="default"/>
                <w:color w:val="000000"/>
                <w:kern w:val="0"/>
                <w:sz w:val="18"/>
                <w:szCs w:val="18"/>
              </w:rPr>
            </w:pPr>
            <w:r>
              <w:rPr>
                <w:rFonts w:ascii="Times New Roman" w:hAnsi="Times New Roman" w:hint="eastAsia"/>
                <w:color w:val="000000"/>
                <w:kern w:val="0"/>
                <w:sz w:val="18"/>
                <w:szCs w:val="18"/>
                <w:lang w:val="en-US" w:eastAsia="zh-CN"/>
              </w:rPr>
              <w:t>17</w:t>
            </w:r>
          </w:p>
        </w:tc>
        <w:tc>
          <w:tcPr>
            <w:tcW w:w="710" w:type="dxa"/>
            <w:vAlign w:val="center"/>
          </w:tcPr>
          <w:p>
            <w:pPr>
              <w:widowControl/>
              <w:jc w:val="left"/>
              <w:rPr>
                <w:rFonts w:ascii="Times New Roman" w:hAnsi="Times New Roman"/>
                <w:color w:val="000000"/>
                <w:kern w:val="0"/>
                <w:sz w:val="18"/>
                <w:szCs w:val="18"/>
              </w:rPr>
            </w:pPr>
          </w:p>
        </w:tc>
        <w:tc>
          <w:tcPr>
            <w:tcW w:w="4260" w:type="dxa"/>
            <w:gridSpan w:val="3"/>
            <w:vAlign w:val="center"/>
          </w:tcPr>
          <w:p>
            <w:pPr>
              <w:ind w:right="25" w:rightChars="12"/>
              <w:jc w:val="both"/>
              <w:rPr>
                <w:rFonts w:ascii="宋体" w:hAnsi="宋体" w:hint="eastAsia"/>
                <w:color w:val="auto"/>
                <w:sz w:val="18"/>
                <w:szCs w:val="18"/>
              </w:rPr>
            </w:pPr>
            <w:r>
              <w:rPr>
                <w:rFonts w:ascii="宋体" w:hAnsi="宋体" w:hint="eastAsia"/>
                <w:color w:val="auto"/>
                <w:sz w:val="18"/>
              </w:rPr>
              <w:t>成雾性</w:t>
            </w:r>
          </w:p>
        </w:tc>
        <w:tc>
          <w:tcPr>
            <w:tcW w:w="992" w:type="dxa"/>
            <w:vAlign w:val="center"/>
          </w:tcPr>
          <w:p>
            <w:pPr>
              <w:widowControl/>
              <w:jc w:val="center"/>
              <w:rPr>
                <w:rFonts w:ascii="Times New Roman" w:eastAsia="宋体" w:hAnsi="Times New Roman" w:hint="default"/>
                <w:color w:val="000000"/>
                <w:kern w:val="0"/>
                <w:sz w:val="18"/>
                <w:szCs w:val="18"/>
              </w:rPr>
            </w:pPr>
            <w:r>
              <w:rPr>
                <w:rFonts w:ascii="Times New Roman" w:hAnsi="Times New Roman" w:hint="eastAsia"/>
                <w:color w:val="000000"/>
                <w:kern w:val="0"/>
                <w:sz w:val="18"/>
                <w:szCs w:val="18"/>
                <w:lang w:val="en-US" w:eastAsia="zh-CN"/>
              </w:rPr>
              <w:t>mg</w:t>
            </w:r>
          </w:p>
        </w:tc>
        <w:tc>
          <w:tcPr>
            <w:tcW w:w="992" w:type="dxa"/>
          </w:tcPr>
          <w:p>
            <w:pPr>
              <w:jc w:val="center"/>
              <w:rPr>
                <w:rFonts w:ascii="宋体" w:eastAsia="宋体" w:hAnsi="宋体" w:hint="eastAsia"/>
                <w:color w:val="auto"/>
                <w:sz w:val="18"/>
                <w:szCs w:val="18"/>
              </w:rPr>
            </w:pPr>
            <w:r>
              <w:rPr>
                <w:rFonts w:ascii="宋体" w:hAnsi="宋体" w:hint="eastAsia"/>
                <w:color w:val="auto"/>
                <w:sz w:val="18"/>
                <w:szCs w:val="18"/>
              </w:rPr>
              <w:t>≤</w:t>
            </w:r>
            <w:r>
              <w:rPr>
                <w:rFonts w:ascii="宋体" w:hAnsi="宋体" w:hint="eastAsia"/>
                <w:color w:val="auto"/>
                <w:sz w:val="18"/>
                <w:szCs w:val="18"/>
                <w:lang w:val="en-US" w:eastAsia="zh-CN"/>
              </w:rPr>
              <w:t>5</w:t>
            </w:r>
          </w:p>
        </w:tc>
        <w:tc>
          <w:tcPr>
            <w:tcW w:w="1985" w:type="dxa"/>
            <w:vAlign w:val="center"/>
          </w:tcPr>
          <w:p>
            <w:pPr>
              <w:widowControl/>
              <w:jc w:val="left"/>
              <w:rPr>
                <w:rFonts w:ascii="Times New Roman" w:hAnsi="Times New Roman"/>
                <w:color w:val="000000"/>
                <w:kern w:val="0"/>
                <w:sz w:val="18"/>
                <w:szCs w:val="18"/>
              </w:rPr>
            </w:pPr>
            <w:r>
              <w:rPr>
                <w:rFonts w:hint="eastAsia"/>
                <w:color w:val="auto"/>
                <w:sz w:val="18"/>
                <w:szCs w:val="18"/>
                <w:lang w:eastAsia="zh-CN"/>
              </w:rPr>
              <w:t>按</w:t>
            </w:r>
            <w:r>
              <w:rPr>
                <w:rFonts w:hint="eastAsia"/>
                <w:color w:val="auto"/>
                <w:sz w:val="18"/>
                <w:szCs w:val="18"/>
                <w:lang w:val="en-US" w:eastAsia="zh-CN"/>
              </w:rPr>
              <w:t>QB/T5447-2019</w:t>
            </w:r>
            <w:r>
              <w:rPr>
                <w:rFonts w:ascii="Times New Roman" w:hAnsi="宋体"/>
                <w:color w:val="000000"/>
                <w:kern w:val="0"/>
                <w:sz w:val="18"/>
                <w:szCs w:val="18"/>
              </w:rPr>
              <w:t>检测并提供检测报告。</w:t>
            </w:r>
          </w:p>
        </w:tc>
      </w:tr>
    </w:tbl>
    <w:p>
      <w:pPr>
        <w:spacing w:before="156" w:beforeLines="50" w:after="156" w:afterLines="50"/>
        <w:outlineLvl w:val="1"/>
        <w:rPr>
          <w:rFonts w:ascii="黑体" w:eastAsia="黑体"/>
          <w:bCs/>
          <w:szCs w:val="21"/>
        </w:rPr>
      </w:pPr>
      <w:bookmarkStart w:id="12" w:name="_Toc9416541"/>
      <w:r>
        <w:rPr>
          <w:rFonts w:ascii="黑体" w:eastAsia="黑体" w:hAnsi="Times New Roman" w:hint="eastAsia"/>
          <w:kern w:val="0"/>
          <w:szCs w:val="21"/>
        </w:rPr>
        <w:t>5  产品生命周期评价方法及评价报告编制方法</w:t>
      </w:r>
      <w:bookmarkEnd w:id="12"/>
    </w:p>
    <w:p>
      <w:pPr>
        <w:rPr>
          <w:rFonts w:ascii="黑体" w:eastAsia="黑体"/>
          <w:bCs/>
          <w:szCs w:val="21"/>
        </w:rPr>
      </w:pPr>
      <w:r>
        <w:rPr>
          <w:rFonts w:ascii="黑体" w:eastAsia="黑体" w:hint="eastAsia"/>
          <w:bCs/>
          <w:szCs w:val="21"/>
        </w:rPr>
        <w:t>5.1  评价方法</w:t>
      </w:r>
    </w:p>
    <w:p>
      <w:pPr>
        <w:ind w:firstLine="420" w:firstLineChars="200"/>
        <w:rPr>
          <w:rFonts w:ascii="Times New Roman" w:hAnsi="Times New Roman"/>
          <w:szCs w:val="21"/>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218" w:right="1134" w:bottom="1134" w:left="1418" w:header="851" w:footer="992" w:gutter="0"/>
          <w:pgNumType w:fmt="numberInDash" w:start="6"/>
          <w:cols w:space="708"/>
          <w:titlePg w:val="0"/>
          <w:docGrid w:type="lines" w:linePitch="312"/>
        </w:sectPr>
      </w:pPr>
      <w:r>
        <w:rPr>
          <w:rFonts w:ascii="Times New Roman" w:hAnsi="宋体"/>
          <w:szCs w:val="21"/>
        </w:rPr>
        <w:t>依据</w:t>
      </w:r>
      <w:r>
        <w:rPr>
          <w:rFonts w:ascii="Times New Roman" w:hAnsi="Times New Roman"/>
          <w:szCs w:val="21"/>
        </w:rPr>
        <w:t>GB/T 24040</w:t>
      </w:r>
      <w:r>
        <w:rPr>
          <w:rFonts w:ascii="Times New Roman" w:hAnsi="宋体"/>
          <w:szCs w:val="21"/>
        </w:rPr>
        <w:t>、</w:t>
      </w:r>
      <w:r>
        <w:rPr>
          <w:rFonts w:ascii="Times New Roman" w:hAnsi="Times New Roman"/>
          <w:szCs w:val="21"/>
        </w:rPr>
        <w:t>GB/T 24044</w:t>
      </w:r>
      <w:r>
        <w:rPr>
          <w:rFonts w:ascii="Times New Roman" w:hAnsi="宋体"/>
          <w:szCs w:val="21"/>
        </w:rPr>
        <w:t>、</w:t>
      </w:r>
      <w:r>
        <w:rPr>
          <w:rFonts w:ascii="Times New Roman" w:hAnsi="Times New Roman"/>
          <w:szCs w:val="21"/>
        </w:rPr>
        <w:t>GB/T 32161</w:t>
      </w:r>
      <w:r>
        <w:rPr>
          <w:rFonts w:ascii="Times New Roman" w:hAnsi="宋体"/>
          <w:szCs w:val="21"/>
        </w:rPr>
        <w:t>－</w:t>
      </w:r>
      <w:r>
        <w:rPr>
          <w:rFonts w:ascii="Times New Roman" w:hAnsi="Times New Roman"/>
          <w:szCs w:val="21"/>
        </w:rPr>
        <w:t>2015</w:t>
      </w:r>
    </w:p>
    <w:p>
      <w:pPr>
        <w:ind w:firstLine="420" w:firstLineChars="200"/>
        <w:rPr>
          <w:rFonts w:ascii="Times New Roman" w:hAnsi="Times New Roman"/>
          <w:szCs w:val="21"/>
        </w:rPr>
      </w:pPr>
      <w:r>
        <w:rPr>
          <w:rFonts w:ascii="Times New Roman" w:hAnsi="宋体"/>
          <w:szCs w:val="21"/>
        </w:rPr>
        <w:t>给出的生命周期评价方法框架、总体要求及其附录编制</w:t>
      </w:r>
      <w:r>
        <w:rPr>
          <w:rFonts w:ascii="宋体" w:eastAsia="宋体" w:hAnsi="宋体" w:cs="宋体" w:hint="eastAsia"/>
          <w:szCs w:val="21"/>
          <w:lang w:val="en-US" w:eastAsia="zh-CN"/>
        </w:rPr>
        <w:t>水性超细纤维聚氨酯合成革产品</w:t>
      </w:r>
      <w:r>
        <w:rPr>
          <w:rFonts w:ascii="Times New Roman" w:hAnsi="宋体"/>
          <w:szCs w:val="21"/>
        </w:rPr>
        <w:t>生命周期评价报告，参考本标准附录</w:t>
      </w:r>
      <w:r>
        <w:rPr>
          <w:rFonts w:ascii="Times New Roman" w:hAnsi="Times New Roman"/>
          <w:szCs w:val="21"/>
        </w:rPr>
        <w:t>B</w:t>
      </w:r>
      <w:r>
        <w:rPr>
          <w:rFonts w:ascii="Times New Roman" w:hAnsi="宋体"/>
          <w:szCs w:val="21"/>
        </w:rPr>
        <w:t>。</w:t>
      </w:r>
    </w:p>
    <w:p>
      <w:pPr>
        <w:rPr>
          <w:rFonts w:ascii="黑体" w:eastAsia="黑体"/>
          <w:bCs/>
          <w:szCs w:val="21"/>
        </w:rPr>
      </w:pPr>
      <w:r>
        <w:rPr>
          <w:rFonts w:ascii="黑体" w:eastAsia="黑体" w:hint="eastAsia"/>
          <w:bCs/>
          <w:szCs w:val="21"/>
        </w:rPr>
        <w:t>5.2  评价报告编制方法</w:t>
      </w:r>
    </w:p>
    <w:p>
      <w:pPr>
        <w:rPr>
          <w:rFonts w:ascii="黑体" w:eastAsia="黑体"/>
          <w:bCs/>
          <w:szCs w:val="21"/>
        </w:rPr>
      </w:pPr>
      <w:r>
        <w:rPr>
          <w:rFonts w:ascii="黑体" w:eastAsia="黑体" w:hint="eastAsia"/>
          <w:bCs/>
          <w:szCs w:val="21"/>
        </w:rPr>
        <w:t>5.2.1  基本信息</w:t>
      </w:r>
    </w:p>
    <w:p>
      <w:pPr>
        <w:ind w:firstLine="420" w:firstLineChars="200"/>
        <w:rPr>
          <w:rFonts w:ascii="宋体" w:hAnsi="宋体"/>
          <w:color w:val="000000"/>
          <w:szCs w:val="21"/>
        </w:rPr>
      </w:pPr>
      <w:r>
        <w:rPr>
          <w:rFonts w:ascii="宋体" w:hAnsi="宋体" w:hint="eastAsia"/>
          <w:color w:val="000000"/>
          <w:szCs w:val="21"/>
        </w:rPr>
        <w:t>报告应提供报告信息、申请者信息、评估对象信息、采用的标准信息、包装材料等基本信息。其中：</w:t>
      </w:r>
    </w:p>
    <w:p>
      <w:pPr>
        <w:ind w:firstLine="420" w:firstLineChars="200"/>
        <w:rPr>
          <w:rFonts w:ascii="Times New Roman" w:hAnsi="Times New Roman"/>
          <w:color w:val="000000"/>
          <w:szCs w:val="21"/>
        </w:rPr>
      </w:pPr>
      <w:r>
        <w:rPr>
          <w:rFonts w:ascii="Times New Roman" w:hAnsi="Times New Roman"/>
          <w:color w:val="000000"/>
          <w:szCs w:val="21"/>
        </w:rPr>
        <w:t>——</w:t>
      </w:r>
      <w:r>
        <w:rPr>
          <w:rFonts w:ascii="Times New Roman" w:hAnsi="宋体"/>
          <w:color w:val="000000"/>
          <w:szCs w:val="21"/>
        </w:rPr>
        <w:t>报告信息：包括报告编号、编制人员、审核人员、发布日期等；</w:t>
      </w:r>
    </w:p>
    <w:p>
      <w:pPr>
        <w:ind w:firstLine="420" w:firstLineChars="200"/>
        <w:rPr>
          <w:rFonts w:ascii="Times New Roman" w:hAnsi="Times New Roman"/>
          <w:color w:val="000000"/>
          <w:szCs w:val="21"/>
        </w:rPr>
      </w:pPr>
      <w:r>
        <w:rPr>
          <w:rFonts w:ascii="Times New Roman" w:hAnsi="Times New Roman"/>
          <w:color w:val="000000"/>
          <w:szCs w:val="21"/>
        </w:rPr>
        <w:t>——</w:t>
      </w:r>
      <w:r>
        <w:rPr>
          <w:rFonts w:ascii="Times New Roman" w:hAnsi="宋体"/>
          <w:color w:val="000000"/>
          <w:szCs w:val="21"/>
        </w:rPr>
        <w:t>申请者信息</w:t>
      </w:r>
      <w:r>
        <w:rPr>
          <w:rFonts w:ascii="Times New Roman" w:hAnsi="Times New Roman"/>
          <w:color w:val="000000"/>
          <w:szCs w:val="21"/>
        </w:rPr>
        <w:t>:</w:t>
      </w:r>
      <w:r>
        <w:rPr>
          <w:rFonts w:ascii="Times New Roman" w:hAnsi="宋体"/>
          <w:color w:val="000000"/>
          <w:szCs w:val="21"/>
        </w:rPr>
        <w:t>包括公司全称、组织机构代码、地址、联系人、联系方式等；</w:t>
      </w:r>
    </w:p>
    <w:p>
      <w:pPr>
        <w:ind w:firstLine="420" w:firstLineChars="200"/>
        <w:rPr>
          <w:rFonts w:ascii="Times New Roman" w:hAnsi="Times New Roman"/>
          <w:color w:val="000000"/>
          <w:szCs w:val="21"/>
        </w:rPr>
      </w:pPr>
      <w:r>
        <w:rPr>
          <w:rFonts w:ascii="Times New Roman" w:hAnsi="Times New Roman"/>
          <w:color w:val="000000"/>
          <w:szCs w:val="21"/>
        </w:rPr>
        <w:t>——</w:t>
      </w:r>
      <w:r>
        <w:rPr>
          <w:rFonts w:ascii="Times New Roman" w:hAnsi="宋体"/>
          <w:color w:val="000000"/>
          <w:szCs w:val="21"/>
        </w:rPr>
        <w:t>评估对象信息</w:t>
      </w:r>
      <w:r>
        <w:rPr>
          <w:rFonts w:ascii="Times New Roman" w:hAnsi="Times New Roman"/>
          <w:color w:val="000000"/>
          <w:szCs w:val="21"/>
        </w:rPr>
        <w:t>:</w:t>
      </w:r>
      <w:r>
        <w:rPr>
          <w:rFonts w:ascii="Times New Roman" w:hAnsi="宋体"/>
          <w:color w:val="000000"/>
          <w:szCs w:val="21"/>
        </w:rPr>
        <w:t>包括产品型号</w:t>
      </w:r>
      <w:r>
        <w:rPr>
          <w:rFonts w:ascii="Times New Roman" w:hAnsi="Times New Roman"/>
          <w:color w:val="000000"/>
          <w:szCs w:val="21"/>
        </w:rPr>
        <w:t>/</w:t>
      </w:r>
      <w:r>
        <w:rPr>
          <w:rFonts w:ascii="Times New Roman" w:hAnsi="宋体"/>
          <w:color w:val="000000"/>
          <w:szCs w:val="21"/>
        </w:rPr>
        <w:t>类型、主要技术参数、制造商及厂址等；</w:t>
      </w:r>
    </w:p>
    <w:p>
      <w:pPr>
        <w:ind w:firstLine="420" w:firstLineChars="200"/>
        <w:rPr>
          <w:rFonts w:ascii="Times New Roman" w:hAnsi="Times New Roman"/>
          <w:color w:val="000000"/>
          <w:szCs w:val="21"/>
        </w:rPr>
      </w:pPr>
      <w:r>
        <w:rPr>
          <w:rFonts w:ascii="Times New Roman" w:hAnsi="Times New Roman"/>
          <w:color w:val="000000"/>
          <w:szCs w:val="21"/>
        </w:rPr>
        <w:t>——</w:t>
      </w:r>
      <w:r>
        <w:rPr>
          <w:rFonts w:ascii="Times New Roman" w:hAnsi="宋体"/>
          <w:color w:val="000000"/>
          <w:szCs w:val="21"/>
        </w:rPr>
        <w:t>采用的标准信息</w:t>
      </w:r>
      <w:r>
        <w:rPr>
          <w:rFonts w:ascii="Times New Roman" w:hAnsi="Times New Roman"/>
          <w:color w:val="000000"/>
          <w:szCs w:val="21"/>
        </w:rPr>
        <w:t>:</w:t>
      </w:r>
      <w:r>
        <w:rPr>
          <w:rFonts w:ascii="Times New Roman" w:hAnsi="宋体"/>
          <w:color w:val="000000"/>
          <w:szCs w:val="21"/>
        </w:rPr>
        <w:t>包括标准名称、标准号等；</w:t>
      </w:r>
    </w:p>
    <w:p>
      <w:pPr>
        <w:ind w:firstLine="420" w:firstLineChars="200"/>
        <w:rPr>
          <w:rFonts w:ascii="Times New Roman" w:hAnsi="Times New Roman"/>
          <w:color w:val="000000"/>
          <w:szCs w:val="21"/>
        </w:rPr>
      </w:pPr>
      <w:r>
        <w:rPr>
          <w:rFonts w:ascii="Times New Roman" w:hAnsi="Times New Roman"/>
          <w:color w:val="000000"/>
          <w:szCs w:val="21"/>
        </w:rPr>
        <w:t>——</w:t>
      </w:r>
      <w:r>
        <w:rPr>
          <w:rFonts w:ascii="Times New Roman" w:hAnsi="宋体"/>
          <w:color w:val="000000"/>
          <w:szCs w:val="21"/>
        </w:rPr>
        <w:t>包装材料</w:t>
      </w:r>
      <w:r>
        <w:rPr>
          <w:rFonts w:ascii="Times New Roman" w:hAnsi="Times New Roman"/>
          <w:color w:val="000000"/>
          <w:szCs w:val="21"/>
        </w:rPr>
        <w:t>:</w:t>
      </w:r>
      <w:r>
        <w:rPr>
          <w:rFonts w:ascii="Times New Roman" w:hAnsi="宋体"/>
          <w:color w:val="000000"/>
          <w:szCs w:val="21"/>
        </w:rPr>
        <w:t>包括所有规格的原始包装大小、材质以及可重复使用或回收的包装材料。</w:t>
      </w:r>
    </w:p>
    <w:p>
      <w:pPr>
        <w:rPr>
          <w:rFonts w:ascii="黑体" w:eastAsia="黑体"/>
          <w:bCs/>
          <w:szCs w:val="21"/>
        </w:rPr>
      </w:pPr>
      <w:r>
        <w:rPr>
          <w:rFonts w:ascii="黑体" w:eastAsia="黑体" w:hint="eastAsia"/>
          <w:bCs/>
          <w:szCs w:val="21"/>
        </w:rPr>
        <w:t>5.2.2  符合性评价</w:t>
      </w:r>
    </w:p>
    <w:p>
      <w:pPr>
        <w:ind w:firstLine="420" w:firstLineChars="200"/>
        <w:rPr>
          <w:rFonts w:ascii="Times New Roman" w:hAnsi="Times New Roman"/>
          <w:szCs w:val="21"/>
        </w:rPr>
      </w:pPr>
      <w:r>
        <w:rPr>
          <w:rFonts w:ascii="Times New Roman" w:hAnsi="宋体"/>
          <w:szCs w:val="21"/>
        </w:rPr>
        <w:t>报告中应提供对基本要求和评价指标要求的符合性情况，并提供所有评价指标报告期比基期改进情况的说明。其中报告期为当前评价的年份，一般是指产品参与评价年份的上一年；基期为一个对照年份，一般比报告期提前</w:t>
      </w:r>
      <w:r>
        <w:rPr>
          <w:rFonts w:ascii="Times New Roman" w:hAnsi="Times New Roman"/>
          <w:szCs w:val="21"/>
        </w:rPr>
        <w:t>1</w:t>
      </w:r>
      <w:r>
        <w:rPr>
          <w:rFonts w:ascii="Times New Roman" w:hAnsi="宋体"/>
          <w:szCs w:val="21"/>
        </w:rPr>
        <w:t>年。</w:t>
      </w:r>
    </w:p>
    <w:p>
      <w:pPr>
        <w:rPr>
          <w:rFonts w:ascii="黑体" w:eastAsia="黑体"/>
          <w:bCs/>
          <w:szCs w:val="21"/>
        </w:rPr>
      </w:pPr>
      <w:r>
        <w:rPr>
          <w:rFonts w:ascii="黑体" w:eastAsia="黑体" w:hint="eastAsia"/>
          <w:bCs/>
          <w:szCs w:val="21"/>
        </w:rPr>
        <w:t>5.2.3  生命周期评价</w:t>
      </w:r>
    </w:p>
    <w:p>
      <w:pPr>
        <w:rPr>
          <w:rFonts w:ascii="黑体" w:eastAsia="黑体"/>
          <w:bCs/>
          <w:szCs w:val="21"/>
        </w:rPr>
      </w:pPr>
      <w:r>
        <w:rPr>
          <w:rFonts w:ascii="黑体" w:eastAsia="黑体" w:hint="eastAsia"/>
          <w:bCs/>
          <w:szCs w:val="21"/>
        </w:rPr>
        <w:t>5.2.3.1  评价对象及工具</w:t>
      </w:r>
    </w:p>
    <w:p>
      <w:pPr>
        <w:ind w:firstLine="420" w:firstLineChars="200"/>
        <w:rPr>
          <w:rFonts w:ascii="宋体" w:hAnsi="宋体"/>
          <w:szCs w:val="21"/>
        </w:rPr>
      </w:pPr>
      <w:r>
        <w:rPr>
          <w:rFonts w:ascii="宋体" w:hAnsi="宋体" w:hint="eastAsia"/>
          <w:szCs w:val="21"/>
        </w:rPr>
        <w:t>报告中应详细描述评估的对象、功能单位和产品主要功能，提供</w:t>
      </w:r>
      <w:r>
        <w:rPr>
          <w:rFonts w:ascii="宋体" w:eastAsia="宋体" w:hAnsi="宋体" w:cs="宋体" w:hint="eastAsia"/>
          <w:szCs w:val="21"/>
          <w:lang w:val="en-US" w:eastAsia="zh-CN"/>
        </w:rPr>
        <w:t>水性超细纤维聚氨酯合成革</w:t>
      </w:r>
      <w:r>
        <w:rPr>
          <w:rFonts w:ascii="宋体" w:hAnsi="宋体" w:hint="eastAsia"/>
          <w:szCs w:val="21"/>
        </w:rPr>
        <w:t>的材料组成及主要技术参数表，绘制并说明</w:t>
      </w:r>
      <w:r>
        <w:rPr>
          <w:rFonts w:ascii="宋体" w:eastAsia="宋体" w:hAnsi="宋体" w:cs="宋体" w:hint="eastAsia"/>
          <w:szCs w:val="21"/>
          <w:lang w:val="en-US" w:eastAsia="zh-CN"/>
        </w:rPr>
        <w:t>水性超细纤维聚氨酯合成革</w:t>
      </w:r>
      <w:r>
        <w:rPr>
          <w:rFonts w:ascii="宋体" w:hAnsi="宋体" w:hint="eastAsia"/>
          <w:szCs w:val="21"/>
        </w:rPr>
        <w:t>的系统边界，披露所使用的基于中国生命周期数据库的软件工具。</w:t>
      </w:r>
    </w:p>
    <w:p>
      <w:pPr>
        <w:ind w:firstLine="420" w:firstLineChars="200"/>
        <w:rPr>
          <w:rFonts w:ascii="宋体" w:hAnsi="宋体"/>
          <w:szCs w:val="21"/>
        </w:rPr>
      </w:pPr>
      <w:r>
        <w:rPr>
          <w:rFonts w:ascii="宋体" w:hAnsi="宋体" w:hint="eastAsia"/>
          <w:szCs w:val="21"/>
        </w:rPr>
        <w:t>本标准以</w:t>
      </w:r>
      <w:r>
        <w:rPr>
          <w:rFonts w:ascii="宋体" w:hAnsi="宋体" w:hint="eastAsia"/>
          <w:szCs w:val="21"/>
        </w:rPr>
        <w:t>“</w:t>
      </w:r>
      <w:r>
        <w:rPr>
          <w:rFonts w:ascii="宋体" w:hAnsi="宋体" w:hint="eastAsia"/>
          <w:szCs w:val="21"/>
        </w:rPr>
        <w:t>每万米</w:t>
      </w:r>
      <w:r>
        <w:rPr>
          <w:rFonts w:ascii="宋体" w:eastAsia="宋体" w:hAnsi="宋体" w:cs="宋体" w:hint="eastAsia"/>
          <w:szCs w:val="21"/>
          <w:lang w:val="en-US" w:eastAsia="zh-CN"/>
        </w:rPr>
        <w:t>水性超细纤维聚氨酯合成革</w:t>
      </w:r>
      <w:r>
        <w:rPr>
          <w:rFonts w:ascii="宋体" w:hAnsi="宋体" w:hint="eastAsia"/>
          <w:szCs w:val="21"/>
        </w:rPr>
        <w:t>”</w:t>
      </w:r>
      <w:r>
        <w:rPr>
          <w:rFonts w:ascii="宋体" w:hAnsi="宋体" w:hint="eastAsia"/>
          <w:szCs w:val="21"/>
        </w:rPr>
        <w:t>为功能单位来表示。</w:t>
      </w:r>
    </w:p>
    <w:p>
      <w:pPr>
        <w:rPr>
          <w:rFonts w:ascii="黑体" w:eastAsia="黑体"/>
          <w:bCs/>
          <w:szCs w:val="21"/>
        </w:rPr>
      </w:pPr>
      <w:r>
        <w:rPr>
          <w:rFonts w:ascii="黑体" w:eastAsia="黑体" w:hint="eastAsia"/>
          <w:bCs/>
          <w:szCs w:val="21"/>
        </w:rPr>
        <w:t>5.2.3.2  生命周期清单分析</w:t>
      </w:r>
    </w:p>
    <w:p>
      <w:pPr>
        <w:ind w:firstLine="420" w:firstLineChars="200"/>
        <w:rPr>
          <w:rFonts w:ascii="宋体" w:hAnsi="宋体"/>
          <w:color w:val="000000"/>
          <w:szCs w:val="21"/>
        </w:rPr>
      </w:pPr>
      <w:r>
        <w:rPr>
          <w:rFonts w:ascii="宋体" w:hAnsi="宋体" w:hint="eastAsia"/>
          <w:color w:val="000000"/>
          <w:szCs w:val="21"/>
        </w:rPr>
        <w:t>报告中应提供考虑的生命周期阶段，说明每个阶段所考虑的清单因子及收集到的现场数据或背景数据，涉及到数据分配的情况应说明分配方法和结果。</w:t>
      </w:r>
    </w:p>
    <w:p>
      <w:pPr>
        <w:rPr>
          <w:rFonts w:ascii="宋体" w:hAnsi="宋体"/>
          <w:color w:val="000000"/>
          <w:szCs w:val="21"/>
        </w:rPr>
      </w:pPr>
      <w:r>
        <w:rPr>
          <w:rFonts w:ascii="黑体" w:eastAsia="黑体" w:hint="eastAsia"/>
          <w:bCs/>
          <w:szCs w:val="21"/>
        </w:rPr>
        <w:t>5.2.3.3  生命周期影响评价</w:t>
      </w:r>
    </w:p>
    <w:p>
      <w:pPr>
        <w:ind w:firstLine="420" w:firstLineChars="200"/>
        <w:rPr>
          <w:rFonts w:ascii="宋体" w:hAnsi="宋体"/>
          <w:color w:val="000000"/>
          <w:szCs w:val="21"/>
        </w:rPr>
      </w:pPr>
      <w:r>
        <w:rPr>
          <w:rFonts w:ascii="宋体" w:hAnsi="宋体" w:hint="eastAsia"/>
          <w:color w:val="000000"/>
          <w:szCs w:val="21"/>
        </w:rPr>
        <w:t>报告中应提供</w:t>
      </w:r>
      <w:r>
        <w:rPr>
          <w:rFonts w:ascii="宋体" w:eastAsia="宋体" w:hAnsi="宋体" w:cs="宋体" w:hint="eastAsia"/>
          <w:szCs w:val="21"/>
          <w:lang w:val="en-US" w:eastAsia="zh-CN"/>
        </w:rPr>
        <w:t>水性超细纤维聚氨酯合成革</w:t>
      </w:r>
      <w:r>
        <w:rPr>
          <w:rFonts w:ascii="宋体" w:hAnsi="宋体" w:hint="eastAsia"/>
          <w:color w:val="000000"/>
          <w:szCs w:val="21"/>
        </w:rPr>
        <w:t>生命周期各阶段的不同影响类型的计算值，并对不同影响类型在生命周期阶段的分布情况进行比较分析。</w:t>
      </w:r>
    </w:p>
    <w:p>
      <w:pPr>
        <w:rPr>
          <w:rFonts w:ascii="黑体" w:eastAsia="黑体"/>
          <w:bCs/>
          <w:szCs w:val="21"/>
        </w:rPr>
      </w:pPr>
      <w:r>
        <w:rPr>
          <w:rFonts w:ascii="黑体" w:eastAsia="黑体" w:hint="eastAsia"/>
          <w:bCs/>
          <w:szCs w:val="21"/>
        </w:rPr>
        <w:t>5.2.3.4  生态设计改进方案</w:t>
      </w:r>
    </w:p>
    <w:p>
      <w:pPr>
        <w:ind w:firstLine="420" w:firstLineChars="200"/>
        <w:rPr>
          <w:rFonts w:ascii="宋体" w:hAnsi="宋体"/>
          <w:color w:val="000000"/>
          <w:szCs w:val="21"/>
        </w:rPr>
      </w:pPr>
      <w:r>
        <w:rPr>
          <w:rFonts w:ascii="宋体" w:hAnsi="宋体" w:hint="eastAsia"/>
          <w:color w:val="000000"/>
          <w:szCs w:val="21"/>
        </w:rPr>
        <w:t>在分析指标的符合性评价结果以及生命周期评价结果的基础上,提出</w:t>
      </w:r>
      <w:r>
        <w:rPr>
          <w:rFonts w:ascii="宋体" w:eastAsia="宋体" w:hAnsi="宋体" w:cs="宋体" w:hint="eastAsia"/>
          <w:szCs w:val="21"/>
          <w:lang w:val="en-US" w:eastAsia="zh-CN"/>
        </w:rPr>
        <w:t>水性超细纤维聚氨酯合成革</w:t>
      </w:r>
      <w:r>
        <w:rPr>
          <w:rFonts w:ascii="宋体" w:hAnsi="宋体" w:hint="eastAsia"/>
          <w:color w:val="000000"/>
          <w:szCs w:val="21"/>
        </w:rPr>
        <w:t>绿色设计改进的具体方案。</w:t>
      </w:r>
    </w:p>
    <w:p>
      <w:pPr>
        <w:rPr>
          <w:rFonts w:ascii="黑体" w:eastAsia="黑体"/>
          <w:bCs/>
          <w:szCs w:val="21"/>
        </w:rPr>
      </w:pPr>
      <w:r>
        <w:rPr>
          <w:rFonts w:ascii="黑体" w:eastAsia="黑体" w:hint="eastAsia"/>
          <w:bCs/>
          <w:szCs w:val="21"/>
        </w:rPr>
        <w:t>5.2.4  评价报告主要结论</w:t>
      </w:r>
    </w:p>
    <w:p>
      <w:pPr>
        <w:ind w:firstLine="420" w:firstLineChars="200"/>
        <w:rPr>
          <w:rFonts w:ascii="宋体" w:hAnsi="宋体"/>
          <w:color w:val="000000"/>
          <w:szCs w:val="21"/>
        </w:rPr>
      </w:pPr>
      <w:r>
        <w:rPr>
          <w:rFonts w:ascii="宋体" w:hAnsi="宋体" w:hint="eastAsia"/>
          <w:color w:val="000000"/>
          <w:szCs w:val="21"/>
        </w:rPr>
        <w:t>应说明该</w:t>
      </w:r>
      <w:r>
        <w:rPr>
          <w:rFonts w:ascii="宋体" w:eastAsia="宋体" w:hAnsi="宋体" w:cs="宋体" w:hint="eastAsia"/>
          <w:szCs w:val="21"/>
          <w:lang w:val="en-US" w:eastAsia="zh-CN"/>
        </w:rPr>
        <w:t>水性超细纤维聚氨酯合成革</w:t>
      </w:r>
      <w:r>
        <w:rPr>
          <w:rFonts w:ascii="宋体" w:hAnsi="宋体" w:hint="eastAsia"/>
          <w:color w:val="000000"/>
          <w:szCs w:val="21"/>
        </w:rPr>
        <w:t>对评价指标的符合性结论、生命周期评价结果、提出的改进方案，并根据评价结论初步判断该产品是否为绿色设计产品。</w:t>
      </w:r>
    </w:p>
    <w:p>
      <w:pPr>
        <w:rPr>
          <w:rFonts w:ascii="黑体" w:eastAsia="黑体"/>
          <w:bCs/>
          <w:szCs w:val="21"/>
        </w:rPr>
      </w:pPr>
      <w:r>
        <w:rPr>
          <w:rFonts w:ascii="黑体" w:eastAsia="黑体" w:hint="eastAsia"/>
          <w:bCs/>
          <w:szCs w:val="21"/>
        </w:rPr>
        <w:t>5.2.5  附件</w:t>
      </w:r>
    </w:p>
    <w:p>
      <w:pPr>
        <w:ind w:firstLine="420" w:firstLineChars="200"/>
        <w:rPr>
          <w:rFonts w:ascii="宋体" w:hAnsi="宋体"/>
          <w:color w:val="000000"/>
          <w:szCs w:val="21"/>
        </w:rPr>
      </w:pPr>
      <w:r>
        <w:rPr>
          <w:rFonts w:ascii="宋体" w:hAnsi="宋体" w:hint="eastAsia"/>
          <w:color w:val="000000"/>
          <w:szCs w:val="21"/>
        </w:rPr>
        <w:t>报告中应在附件中提供：</w:t>
      </w:r>
    </w:p>
    <w:p>
      <w:pPr>
        <w:pStyle w:val="ListParagraph"/>
        <w:numPr>
          <w:ilvl w:val="0"/>
          <w:numId w:val="1"/>
        </w:numPr>
        <w:ind w:firstLineChars="0"/>
        <w:rPr>
          <w:rFonts w:ascii="宋体" w:hAnsi="宋体"/>
          <w:color w:val="000000"/>
          <w:szCs w:val="21"/>
        </w:rPr>
      </w:pPr>
      <w:r>
        <w:rPr>
          <w:rFonts w:ascii="宋体" w:hAnsi="宋体" w:hint="eastAsia"/>
          <w:color w:val="000000"/>
          <w:szCs w:val="21"/>
        </w:rPr>
        <w:t>产品生产材料清单；</w:t>
      </w:r>
    </w:p>
    <w:p>
      <w:pPr>
        <w:pStyle w:val="ListParagraph"/>
        <w:numPr>
          <w:ilvl w:val="0"/>
          <w:numId w:val="1"/>
        </w:numPr>
        <w:ind w:firstLineChars="0"/>
        <w:rPr>
          <w:rFonts w:ascii="宋体" w:hAnsi="宋体"/>
          <w:color w:val="000000"/>
          <w:szCs w:val="21"/>
        </w:rPr>
      </w:pPr>
      <w:r>
        <w:rPr>
          <w:rFonts w:ascii="宋体" w:hAnsi="宋体" w:hint="eastAsia"/>
          <w:color w:val="000000"/>
          <w:szCs w:val="21"/>
        </w:rPr>
        <w:t>产品质量检测报告；</w:t>
      </w:r>
    </w:p>
    <w:p>
      <w:pPr>
        <w:pStyle w:val="ListParagraph"/>
        <w:numPr>
          <w:ilvl w:val="0"/>
          <w:numId w:val="1"/>
        </w:numPr>
        <w:ind w:firstLineChars="0"/>
        <w:rPr>
          <w:rFonts w:ascii="宋体" w:hAnsi="宋体"/>
          <w:color w:val="000000"/>
          <w:szCs w:val="21"/>
        </w:rPr>
      </w:pPr>
      <w:r>
        <w:rPr>
          <w:rFonts w:ascii="宋体" w:hAnsi="宋体" w:hint="eastAsia"/>
          <w:color w:val="000000"/>
          <w:szCs w:val="21"/>
        </w:rPr>
        <w:t>产品工艺表 ( 产品生产工艺过程示意图等)；</w:t>
      </w:r>
    </w:p>
    <w:p>
      <w:pPr>
        <w:pStyle w:val="ListParagraph"/>
        <w:numPr>
          <w:ilvl w:val="0"/>
          <w:numId w:val="1"/>
        </w:numPr>
        <w:ind w:firstLineChars="0"/>
        <w:rPr>
          <w:rFonts w:ascii="宋体" w:hAnsi="宋体"/>
          <w:color w:val="000000"/>
          <w:szCs w:val="21"/>
        </w:rPr>
      </w:pPr>
      <w:r>
        <w:rPr>
          <w:rFonts w:ascii="宋体" w:hAnsi="宋体" w:hint="eastAsia"/>
          <w:color w:val="000000"/>
          <w:szCs w:val="21"/>
        </w:rPr>
        <w:t>各单元过程的数据收集表；</w:t>
      </w:r>
    </w:p>
    <w:p>
      <w:pPr>
        <w:pStyle w:val="ListParagraph"/>
        <w:numPr>
          <w:ilvl w:val="0"/>
          <w:numId w:val="1"/>
        </w:numPr>
        <w:ind w:firstLineChars="0"/>
        <w:rPr>
          <w:rFonts w:ascii="宋体" w:hAnsi="宋体"/>
          <w:color w:val="000000"/>
          <w:szCs w:val="21"/>
        </w:rPr>
      </w:pPr>
      <w:r>
        <w:rPr>
          <w:rFonts w:ascii="宋体" w:hAnsi="宋体" w:hint="eastAsia"/>
          <w:color w:val="000000"/>
          <w:szCs w:val="21"/>
        </w:rPr>
        <w:t>其他。</w:t>
      </w:r>
    </w:p>
    <w:p>
      <w:pPr>
        <w:spacing w:before="156" w:beforeLines="50" w:after="156" w:afterLines="50"/>
        <w:outlineLvl w:val="1"/>
        <w:rPr>
          <w:rFonts w:ascii="黑体" w:eastAsia="黑体" w:hAnsi="Times New Roman"/>
          <w:kern w:val="0"/>
          <w:szCs w:val="21"/>
        </w:rPr>
      </w:pPr>
      <w:bookmarkStart w:id="13" w:name="_Toc9416542"/>
      <w:r>
        <w:rPr>
          <w:rFonts w:ascii="黑体" w:eastAsia="黑体" w:hAnsi="Times New Roman" w:hint="eastAsia"/>
          <w:kern w:val="0"/>
          <w:szCs w:val="21"/>
        </w:rPr>
        <w:t>6  评价方法</w:t>
      </w:r>
      <w:bookmarkEnd w:id="13"/>
    </w:p>
    <w:p>
      <w:pPr>
        <w:pStyle w:val="a0"/>
        <w:tabs>
          <w:tab w:val="center" w:pos="4201"/>
          <w:tab w:val="right" w:leader="dot" w:pos="9298"/>
        </w:tabs>
        <w:rPr>
          <w:rFonts w:ascii="Times New Roman"/>
          <w:szCs w:val="21"/>
        </w:rPr>
      </w:pPr>
      <w:r>
        <w:rPr>
          <w:rFonts w:ascii="Times New Roman" w:hAnsi="宋体"/>
          <w:szCs w:val="21"/>
        </w:rPr>
        <w:t>同时满足以下要求的</w:t>
      </w:r>
      <w:r>
        <w:rPr>
          <w:rFonts w:ascii="宋体" w:eastAsia="宋体" w:hAnsi="宋体" w:cs="宋体" w:hint="eastAsia"/>
          <w:szCs w:val="21"/>
          <w:lang w:val="en-US" w:eastAsia="zh-CN"/>
        </w:rPr>
        <w:t>水性超细纤维聚氨酯合成革</w:t>
      </w:r>
      <w:r>
        <w:rPr>
          <w:rFonts w:ascii="Times New Roman" w:hAnsi="宋体"/>
          <w:szCs w:val="21"/>
        </w:rPr>
        <w:t>产品，可判定为绿色设计产品</w:t>
      </w:r>
      <w:r>
        <w:rPr>
          <w:rFonts w:ascii="Times New Roman" w:hint="eastAsia"/>
          <w:szCs w:val="21"/>
        </w:rPr>
        <w:t>：</w:t>
      </w:r>
    </w:p>
    <w:p>
      <w:pPr>
        <w:ind w:firstLine="420" w:firstLineChars="200"/>
        <w:rPr>
          <w:rFonts w:ascii="Times New Roman" w:hAnsi="Times New Roman"/>
          <w:szCs w:val="21"/>
        </w:rPr>
      </w:pPr>
      <w:r>
        <w:rPr>
          <w:rFonts w:ascii="Times New Roman" w:hAnsi="Times New Roman"/>
          <w:szCs w:val="21"/>
        </w:rPr>
        <w:t>——</w:t>
      </w:r>
      <w:r>
        <w:rPr>
          <w:rFonts w:ascii="Times New Roman" w:hAnsi="宋体"/>
          <w:szCs w:val="21"/>
        </w:rPr>
        <w:t>满足本标准</w:t>
      </w:r>
      <w:r>
        <w:rPr>
          <w:rFonts w:ascii="Times New Roman" w:hAnsi="Times New Roman"/>
          <w:szCs w:val="21"/>
        </w:rPr>
        <w:t xml:space="preserve"> 4.1 </w:t>
      </w:r>
      <w:r>
        <w:rPr>
          <w:rFonts w:ascii="Times New Roman" w:hAnsi="宋体"/>
          <w:szCs w:val="21"/>
        </w:rPr>
        <w:t>的要求；</w:t>
      </w:r>
    </w:p>
    <w:p>
      <w:pPr>
        <w:ind w:firstLine="420" w:firstLineChars="200"/>
        <w:rPr>
          <w:rFonts w:ascii="Times New Roman" w:hAnsi="Times New Roman"/>
          <w:szCs w:val="21"/>
        </w:rPr>
      </w:pPr>
      <w:r>
        <w:rPr>
          <w:rFonts w:ascii="Times New Roman" w:hAnsi="Times New Roman"/>
          <w:szCs w:val="21"/>
        </w:rPr>
        <w:t>——</w:t>
      </w:r>
      <w:r>
        <w:rPr>
          <w:rFonts w:ascii="Times New Roman" w:hAnsi="宋体"/>
          <w:szCs w:val="21"/>
        </w:rPr>
        <w:t>满足本标准</w:t>
      </w:r>
      <w:r>
        <w:rPr>
          <w:rFonts w:ascii="Times New Roman" w:hAnsi="Times New Roman"/>
          <w:szCs w:val="21"/>
        </w:rPr>
        <w:t xml:space="preserve"> 4.2 </w:t>
      </w:r>
      <w:r>
        <w:rPr>
          <w:rFonts w:ascii="Times New Roman" w:hAnsi="宋体"/>
          <w:szCs w:val="21"/>
        </w:rPr>
        <w:t>的要求；</w:t>
      </w:r>
    </w:p>
    <w:p>
      <w:pPr>
        <w:ind w:firstLine="420" w:firstLineChars="200"/>
        <w:rPr>
          <w:rFonts w:ascii="Times New Roman" w:hAnsi="Times New Roman"/>
          <w:szCs w:val="21"/>
        </w:rPr>
      </w:pPr>
      <w:r>
        <w:rPr>
          <w:rFonts w:ascii="Times New Roman" w:hAnsi="Times New Roman"/>
          <w:szCs w:val="21"/>
        </w:rPr>
        <w:t>——</w:t>
      </w:r>
      <w:r>
        <w:rPr>
          <w:rFonts w:ascii="Times New Roman" w:hAnsi="宋体"/>
          <w:szCs w:val="21"/>
        </w:rPr>
        <w:t>按照第</w:t>
      </w:r>
      <w:r>
        <w:rPr>
          <w:rFonts w:ascii="Times New Roman" w:hAnsi="Times New Roman"/>
          <w:szCs w:val="21"/>
        </w:rPr>
        <w:t xml:space="preserve"> 5 </w:t>
      </w:r>
      <w:r>
        <w:rPr>
          <w:rFonts w:ascii="Times New Roman" w:hAnsi="宋体"/>
          <w:szCs w:val="21"/>
        </w:rPr>
        <w:t>章提供</w:t>
      </w:r>
      <w:r>
        <w:rPr>
          <w:rFonts w:ascii="宋体" w:eastAsia="宋体" w:hAnsi="宋体" w:cs="宋体" w:hint="eastAsia"/>
          <w:szCs w:val="21"/>
          <w:lang w:val="en-US" w:eastAsia="zh-CN"/>
        </w:rPr>
        <w:t>水性超细纤维聚氨酯合成革</w:t>
      </w:r>
      <w:r>
        <w:rPr>
          <w:rFonts w:ascii="Times New Roman" w:hAnsi="宋体"/>
          <w:szCs w:val="21"/>
        </w:rPr>
        <w:t>产品生命周期评价报告的。</w:t>
      </w:r>
    </w:p>
    <w:p>
      <w:pPr>
        <w:ind w:firstLine="420" w:firstLineChars="200"/>
        <w:rPr>
          <w:rFonts w:ascii="Times New Roman" w:eastAsia="黑体" w:hAnsi="Times New Roman"/>
          <w:bCs/>
          <w:szCs w:val="21"/>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218" w:right="1134" w:bottom="1134" w:left="1418" w:header="851" w:footer="992" w:gutter="0"/>
          <w:pgNumType w:fmt="numberInDash" w:start="7"/>
          <w:cols w:space="708"/>
          <w:titlePg w:val="0"/>
          <w:docGrid w:type="lines" w:linePitch="312"/>
        </w:sectPr>
      </w:pPr>
      <w:r>
        <w:rPr>
          <w:rFonts w:ascii="Times New Roman" w:hAnsi="宋体"/>
          <w:szCs w:val="21"/>
        </w:rPr>
        <w:t>判定为绿色设计产品的可按照</w:t>
      </w:r>
      <w:r>
        <w:rPr>
          <w:rFonts w:ascii="Times New Roman" w:hAnsi="Times New Roman"/>
          <w:szCs w:val="21"/>
        </w:rPr>
        <w:t>GB/T</w:t>
      </w:r>
      <w:r>
        <w:rPr>
          <w:rFonts w:ascii="Times New Roman" w:hAnsi="Times New Roman" w:hint="eastAsia"/>
          <w:szCs w:val="21"/>
        </w:rPr>
        <w:t xml:space="preserve"> </w:t>
      </w:r>
      <w:r>
        <w:rPr>
          <w:rFonts w:ascii="Times New Roman" w:hAnsi="Times New Roman"/>
          <w:szCs w:val="21"/>
        </w:rPr>
        <w:t>32162</w:t>
      </w:r>
      <w:r>
        <w:rPr>
          <w:rFonts w:ascii="Times New Roman" w:hAnsi="宋体"/>
          <w:color w:val="000000"/>
          <w:szCs w:val="21"/>
        </w:rPr>
        <w:t>－</w:t>
      </w:r>
      <w:r>
        <w:rPr>
          <w:rFonts w:ascii="Times New Roman" w:hAnsi="Times New Roman"/>
          <w:szCs w:val="21"/>
        </w:rPr>
        <w:t>2015</w:t>
      </w:r>
      <w:r>
        <w:rPr>
          <w:rFonts w:ascii="Times New Roman" w:hAnsi="宋体"/>
          <w:szCs w:val="21"/>
        </w:rPr>
        <w:t>的要求粘贴标识，可以各种形式进行相关信息自我声明，声明内容应包括但不限于本标准</w:t>
      </w:r>
      <w:r>
        <w:rPr>
          <w:rFonts w:ascii="Times New Roman" w:hAnsi="Times New Roman"/>
          <w:szCs w:val="21"/>
        </w:rPr>
        <w:t xml:space="preserve"> 4.1 </w:t>
      </w:r>
      <w:r>
        <w:rPr>
          <w:rFonts w:ascii="Times New Roman" w:hAnsi="宋体"/>
          <w:szCs w:val="21"/>
        </w:rPr>
        <w:t>和</w:t>
      </w:r>
      <w:r>
        <w:rPr>
          <w:rFonts w:ascii="Times New Roman" w:hAnsi="Times New Roman"/>
          <w:szCs w:val="21"/>
        </w:rPr>
        <w:t xml:space="preserve"> 4.2</w:t>
      </w:r>
    </w:p>
    <w:p>
      <w:pPr>
        <w:ind w:firstLine="420" w:firstLineChars="200"/>
        <w:rPr>
          <w:rFonts w:ascii="Times New Roman" w:eastAsia="黑体" w:hAnsi="Times New Roman"/>
          <w:bCs/>
          <w:szCs w:val="21"/>
        </w:rPr>
      </w:pPr>
      <w:r>
        <w:rPr>
          <w:rFonts w:ascii="Times New Roman" w:hAnsi="宋体"/>
          <w:szCs w:val="21"/>
        </w:rPr>
        <w:t>的要求，但需要提供相关的符合有关要求的验证说明材料。</w:t>
      </w:r>
    </w:p>
    <w:p>
      <w:pPr>
        <w:spacing w:line="400" w:lineRule="exact"/>
        <w:rPr>
          <w:rFonts w:ascii="宋体" w:hAnsi="宋体"/>
          <w:color w:val="000000"/>
          <w:szCs w:val="21"/>
        </w:rPr>
      </w:pPr>
    </w:p>
    <w:p>
      <w:pPr>
        <w:spacing w:line="400" w:lineRule="exact"/>
        <w:rPr>
          <w:rFonts w:ascii="宋体" w:hAnsi="宋体"/>
          <w:color w:val="000000"/>
          <w:szCs w:val="21"/>
        </w:rPr>
      </w:pPr>
    </w:p>
    <w:p>
      <w:pPr>
        <w:spacing w:line="400" w:lineRule="exact"/>
        <w:rPr>
          <w:rFonts w:ascii="宋体" w:hAnsi="宋体"/>
          <w:color w:val="000000"/>
          <w:szCs w:val="21"/>
        </w:rPr>
      </w:pPr>
    </w:p>
    <w:p>
      <w:pPr>
        <w:spacing w:line="400" w:lineRule="exact"/>
        <w:rPr>
          <w:rFonts w:ascii="宋体" w:hAnsi="宋体"/>
          <w:color w:val="000000"/>
          <w:szCs w:val="21"/>
        </w:rPr>
      </w:pPr>
    </w:p>
    <w:p>
      <w:pPr>
        <w:spacing w:line="400" w:lineRule="exact"/>
        <w:rPr>
          <w:rFonts w:ascii="宋体" w:hAnsi="宋体"/>
          <w:color w:val="000000"/>
          <w:szCs w:val="21"/>
        </w:rPr>
      </w:pPr>
    </w:p>
    <w:p>
      <w:pPr>
        <w:spacing w:line="400" w:lineRule="exact"/>
        <w:rPr>
          <w:rFonts w:ascii="宋体" w:hAnsi="宋体"/>
          <w:color w:val="000000"/>
          <w:szCs w:val="21"/>
        </w:rPr>
      </w:pPr>
    </w:p>
    <w:p>
      <w:pPr>
        <w:spacing w:line="400" w:lineRule="exact"/>
        <w:rPr>
          <w:rFonts w:ascii="宋体" w:hAnsi="宋体"/>
          <w:color w:val="000000"/>
          <w:szCs w:val="21"/>
        </w:rPr>
      </w:pPr>
    </w:p>
    <w:p>
      <w:pPr>
        <w:spacing w:line="400" w:lineRule="exact"/>
        <w:jc w:val="center"/>
        <w:outlineLvl w:val="1"/>
        <w:rPr>
          <w:rFonts w:ascii="黑体" w:eastAsia="黑体" w:hAnsi="黑体"/>
          <w:szCs w:val="21"/>
        </w:rPr>
      </w:pPr>
      <w:bookmarkStart w:id="14" w:name="_Toc9416543"/>
      <w:r>
        <w:rPr>
          <w:rFonts w:ascii="黑体" w:eastAsia="黑体" w:hAnsi="黑体" w:hint="eastAsia"/>
          <w:szCs w:val="21"/>
        </w:rPr>
        <w:t xml:space="preserve">附  录  </w:t>
      </w:r>
      <w:r>
        <w:rPr>
          <w:rFonts w:ascii="Times New Roman" w:eastAsia="黑体" w:hAnsi="Times New Roman"/>
          <w:b/>
          <w:szCs w:val="21"/>
        </w:rPr>
        <w:t>A</w:t>
      </w:r>
      <w:r>
        <w:rPr>
          <w:rFonts w:ascii="黑体" w:eastAsia="黑体" w:hAnsi="黑体"/>
          <w:szCs w:val="21"/>
        </w:rPr>
        <w:br/>
      </w:r>
      <w:r>
        <w:rPr>
          <w:rFonts w:ascii="黑体" w:eastAsia="黑体" w:hAnsi="黑体" w:hint="eastAsia"/>
          <w:szCs w:val="21"/>
        </w:rPr>
        <w:t>（规范性附录）</w:t>
      </w:r>
      <w:r>
        <w:rPr>
          <w:rFonts w:ascii="黑体" w:eastAsia="黑体" w:hAnsi="黑体"/>
          <w:szCs w:val="21"/>
        </w:rPr>
        <w:br/>
      </w:r>
      <w:r>
        <w:rPr>
          <w:rFonts w:ascii="黑体" w:eastAsia="黑体" w:hAnsi="黑体" w:hint="eastAsia"/>
          <w:szCs w:val="21"/>
        </w:rPr>
        <w:t>指标计算方法</w:t>
      </w:r>
      <w:bookmarkEnd w:id="14"/>
    </w:p>
    <w:p>
      <w:pPr>
        <w:spacing w:before="156" w:beforeLines="50" w:after="156" w:afterLines="50"/>
        <w:rPr>
          <w:rFonts w:ascii="黑体" w:eastAsia="黑体" w:hAnsi="黑体"/>
          <w:color w:val="000000"/>
          <w:szCs w:val="21"/>
        </w:rPr>
      </w:pPr>
      <w:r>
        <w:rPr>
          <w:rFonts w:ascii="黑体" w:eastAsia="黑体" w:hAnsi="黑体"/>
          <w:color w:val="000000"/>
          <w:szCs w:val="21"/>
        </w:rPr>
        <w:t>A.1  单位产品综合能耗</w:t>
      </w:r>
    </w:p>
    <w:p>
      <w:pPr>
        <w:ind w:firstLine="420" w:firstLineChars="200"/>
        <w:rPr>
          <w:rFonts w:ascii="Times New Roman" w:hAnsi="Times New Roman"/>
          <w:color w:val="000000"/>
          <w:szCs w:val="21"/>
        </w:rPr>
      </w:pPr>
      <w:r>
        <w:rPr>
          <w:rFonts w:ascii="Times New Roman" w:hAnsi="宋体"/>
          <w:color w:val="000000"/>
          <w:szCs w:val="21"/>
        </w:rPr>
        <w:t>综合能耗中如涉及外购能源，则外购燃料能源一般以其实物发热量为计算基础折算为标准煤量，外购电按当量值进行计算，</w:t>
      </w:r>
      <w:r>
        <w:rPr>
          <w:rFonts w:ascii="Times New Roman" w:hAnsi="Times New Roman"/>
          <w:color w:val="000000"/>
          <w:szCs w:val="21"/>
        </w:rPr>
        <w:t>10</w:t>
      </w:r>
      <w:r>
        <w:rPr>
          <w:rFonts w:ascii="Times New Roman" w:hAnsi="Times New Roman"/>
          <w:color w:val="000000"/>
          <w:szCs w:val="21"/>
          <w:vertAlign w:val="superscript"/>
        </w:rPr>
        <w:t xml:space="preserve">4 </w:t>
      </w:r>
      <w:r>
        <w:rPr>
          <w:rFonts w:ascii="Times New Roman" w:hAnsi="Times New Roman"/>
          <w:color w:val="000000"/>
          <w:szCs w:val="21"/>
        </w:rPr>
        <w:t>kWh=1.229 tce</w:t>
      </w:r>
      <w:r>
        <w:rPr>
          <w:rFonts w:ascii="Times New Roman" w:hAnsi="宋体"/>
          <w:color w:val="000000"/>
          <w:szCs w:val="21"/>
        </w:rPr>
        <w:t>折算成标煤。企业消耗的各种能源包括主要生产系统、辅助生产系统和附属生产系统用能，不包括冬季采暖用能、生活用能和基建项目用能。</w:t>
      </w:r>
    </w:p>
    <w:p>
      <w:pPr>
        <w:ind w:firstLine="420" w:firstLineChars="200"/>
        <w:rPr>
          <w:rFonts w:ascii="Times New Roman" w:hAnsi="宋体"/>
          <w:color w:val="000000"/>
          <w:szCs w:val="21"/>
        </w:rPr>
      </w:pPr>
      <w:r>
        <w:rPr>
          <w:rFonts w:ascii="Times New Roman" w:hAnsi="宋体"/>
          <w:color w:val="000000"/>
          <w:szCs w:val="21"/>
        </w:rPr>
        <w:t>单位产品综合能耗指</w:t>
      </w:r>
      <w:r>
        <w:rPr>
          <w:rFonts w:ascii="宋体" w:eastAsia="宋体" w:hAnsi="宋体" w:cs="宋体" w:hint="eastAsia"/>
          <w:szCs w:val="21"/>
          <w:lang w:val="en-US" w:eastAsia="zh-CN"/>
        </w:rPr>
        <w:t>水性超细纤维聚氨酯合成革</w:t>
      </w:r>
      <w:r>
        <w:rPr>
          <w:rFonts w:ascii="Times New Roman" w:hAnsi="宋体"/>
          <w:color w:val="000000"/>
          <w:szCs w:val="21"/>
        </w:rPr>
        <w:t>企业在计划统计期内，对实际消耗的各种能源实物量按规定的计算方法和单位分别折算为一次能源后的总和。综合能耗主要包括一次能源（如煤、石油、天然气等）、二次能源（如蒸汽、电力等）和直接用于生产的能耗工质（如冷却水、压缩空气等）。具体综合能耗按照</w:t>
      </w:r>
      <w:r>
        <w:rPr>
          <w:rFonts w:ascii="Times New Roman" w:hAnsi="Times New Roman"/>
          <w:color w:val="000000"/>
          <w:szCs w:val="21"/>
        </w:rPr>
        <w:t>GB/T 2589</w:t>
      </w:r>
      <w:r>
        <w:rPr>
          <w:rFonts w:ascii="Times New Roman" w:hAnsi="宋体"/>
          <w:color w:val="000000"/>
          <w:szCs w:val="21"/>
        </w:rPr>
        <w:t>计算。按公式</w:t>
      </w:r>
      <w:r>
        <w:rPr>
          <w:rFonts w:ascii="Times New Roman" w:hAnsi="Times New Roman"/>
          <w:color w:val="000000"/>
          <w:szCs w:val="21"/>
        </w:rPr>
        <w:t>A.1</w:t>
      </w:r>
      <w:r>
        <w:rPr>
          <w:rFonts w:ascii="Times New Roman" w:hAnsi="宋体"/>
          <w:color w:val="000000"/>
          <w:szCs w:val="21"/>
        </w:rPr>
        <w:t>计算：</w:t>
      </w:r>
    </w:p>
    <w:p>
      <w:pPr>
        <w:ind w:firstLine="420" w:firstLineChars="200"/>
        <w:rPr>
          <w:rFonts w:ascii="Times New Roman" w:hAnsi="Times New Roman"/>
          <w:color w:val="000000"/>
          <w:szCs w:val="21"/>
        </w:rPr>
      </w:pP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0" o:spid="_x0000_i1028" type="#_x0000_t75" style="width:59.66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spaceForUL/&gt;&lt;w:wrapTextWithPunct/&gt;&lt;w:breakWrappedTables/&gt;&lt;w:useAsianBreakRules/&gt;&lt;w:dontGrowAutofit/&gt;&lt;w:useFELayout/&gt;&lt;/w:compat&gt;&lt;/w:docPr&gt;&lt;w:body&gt;&lt;wx:sect&gt;&lt;w:p&gt;&lt;m:oMathPara&gt;&lt;m:oMath&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E&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ui&lt;/m:t&gt;&lt;/m:r&gt;&lt;m:ctrlPr&gt;&lt;w:rPr&gt;&lt;w:rFonts w:ascii=&quot;Cambria Math&quot; w:h-ansi=&quot;Cambria Math&quot; w:fareast=&quot;宋体&quot; w:cs=&quot;Times New Roman&quot; w:hint=&quot;default&quot;/&gt;&lt;w:i/&gt;&lt;w:color w:val=&quot;000000&quot;/&gt;&lt;w:sz-cs w:val=&quot;21&quot;/&gt;&lt;/w:rPr&gt;&lt;/m:ctrlPr&gt;&lt;/m:sub&gt;&lt;/m:sSub&gt;&lt;m:r&gt;&lt;w:rPr&gt;&lt;w:rFonts w:ascii=&quot;Cambria Math&quot; w:h-ansi=&quot;Cambria Math&quot; w:fareast=&quot;宋体&quot; w:cs=&quot;Times New Roman&quot; w:hint=&quot;default&quot;/&gt;&lt;w:color w:val=&quot;000000&quot;/&gt;&lt;w:sz-cs w:val=&quot;21&quot;/&gt;&lt;/w:rPr&gt;&lt;m:t&gt;=&lt;/m:t&gt;&lt;/m:r&gt;&lt;m:f&gt;&lt;m:fPr&gt;&lt;m:ctrlPr&gt;&lt;w:rPr&gt;&lt;w:rFonts w:ascii=&quot;Cambria Math&quot; w:h-ansi=&quot;Cambria Math&quot; w:fareast=&quot;宋体&quot; w:cs=&quot;Times New Roman&quot; w:hint=&quot;default&quot;/&gt;&lt;w:i/&gt;&lt;w:color w:val=&quot;000000&quot;/&gt;&lt;w:sz-cs w:val=&quot;21&quot;/&gt;&lt;/w:rPr&gt;&lt;/m:ctrlPr&gt;&lt;/m:fPr&gt;&lt;m:num&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E&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i&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num&gt;&lt;m:den&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Q&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bz&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den&gt;&lt;/m:f&gt;&lt;/m:oMath&gt;&lt;/m:oMathPara&gt;&lt;/w:p&gt;&lt;/wx:sect&gt;&lt;/w:body&gt;&lt;/w:wordDocument&gt;" o:preferrelative="t" filled="f" stroked="f">
            <v:fill o:detectmouseclick="t"/>
            <v:stroke linestyle="single"/>
            <v:imagedata r:id="rId52" o:title=""/>
            <v:path o:extrusionok="f"/>
            <o:lock v:ext="edit" aspectratio="f"/>
          </v:shape>
        </w:pict>
      </w:r>
      <w:r>
        <w:rPr>
          <w:rFonts w:ascii="宋体" w:eastAsia="宋体" w:hAnsi="宋体" w:cs="Times New Roman" w:hint="eastAsia"/>
          <w:color w:val="000000"/>
          <w:szCs w:val="21"/>
        </w:rPr>
        <w:pict>
          <v:shape id="图片 34" o:spid="_x0000_i1029" type="#_x0000_t75" style="width:59.66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spaceForUL/&gt;&lt;w:wrapTextWithPunct/&gt;&lt;w:breakWrappedTables/&gt;&lt;w:useAsianBreakRules/&gt;&lt;w:dontGrowAutofit/&gt;&lt;w:useFELayout/&gt;&lt;/w:compat&gt;&lt;/w:docPr&gt;&lt;w:body&gt;&lt;wx:sect&gt;&lt;w:p&gt;&lt;m:oMathPara&gt;&lt;m:oMath&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E&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ui&lt;/m:t&gt;&lt;/m:r&gt;&lt;m:ctrlPr&gt;&lt;w:rPr&gt;&lt;w:rFonts w:ascii=&quot;Cambria Math&quot; w:h-ansi=&quot;Cambria Math&quot; w:fareast=&quot;宋体&quot; w:cs=&quot;Times New Roman&quot; w:hint=&quot;default&quot;/&gt;&lt;w:i/&gt;&lt;w:color w:val=&quot;000000&quot;/&gt;&lt;w:sz-cs w:val=&quot;21&quot;/&gt;&lt;/w:rPr&gt;&lt;/m:ctrlPr&gt;&lt;/m:sub&gt;&lt;/m:sSub&gt;&lt;m:r&gt;&lt;w:rPr&gt;&lt;w:rFonts w:ascii=&quot;Cambria Math&quot; w:h-ansi=&quot;Cambria Math&quot; w:fareast=&quot;宋体&quot; w:cs=&quot;Times New Roman&quot; w:hint=&quot;default&quot;/&gt;&lt;w:color w:val=&quot;000000&quot;/&gt;&lt;w:sz-cs w:val=&quot;21&quot;/&gt;&lt;/w:rPr&gt;&lt;m:t&gt;=&lt;/m:t&gt;&lt;/m:r&gt;&lt;m:f&gt;&lt;m:fPr&gt;&lt;m:ctrlPr&gt;&lt;w:rPr&gt;&lt;w:rFonts w:ascii=&quot;Cambria Math&quot; w:h-ansi=&quot;Cambria Math&quot; w:fareast=&quot;宋体&quot; w:cs=&quot;Times New Roman&quot; w:hint=&quot;default&quot;/&gt;&lt;w:i/&gt;&lt;w:color w:val=&quot;000000&quot;/&gt;&lt;w:sz-cs w:val=&quot;21&quot;/&gt;&lt;/w:rPr&gt;&lt;/m:ctrlPr&gt;&lt;/m:fPr&gt;&lt;m:num&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E&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i&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num&gt;&lt;m:den&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Q&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bz&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den&gt;&lt;/m:f&gt;&lt;/m:oMath&gt;&lt;/m:oMathPara&gt;&lt;/w:p&gt;&lt;/wx:sect&gt;&lt;/w:body&gt;&lt;/w:wordDocument&gt;" o:preferrelative="t" filled="f" stroked="f">
            <v:stroke linestyle="single"/>
            <v:imagedata r:id="rId53" o:title=""/>
            <v:path o:extrusionok="f"/>
            <o:lock v:ext="edit" aspectratio="f"/>
          </v:shape>
        </w:pict>
      </w:r>
      <w:r>
        <w:rPr>
          <w:rFonts w:ascii="宋体" w:eastAsia="宋体" w:hAnsi="宋体" w:cs="Times New Roman" w:hint="eastAsia"/>
          <w:color w:val="000000"/>
          <w:szCs w:val="21"/>
        </w:rPr>
        <w:t xml:space="preserve">   </w:t>
      </w:r>
      <w:r>
        <w:rPr>
          <w:rFonts w:ascii="Times New Roman" w:hAnsi="Times New Roman"/>
          <w:color w:val="000000"/>
          <w:szCs w:val="21"/>
        </w:rPr>
        <w:t xml:space="preserve">  </w:t>
      </w:r>
      <w:r>
        <w:rPr>
          <w:rFonts w:ascii="宋体" w:hAnsi="宋体"/>
          <w:color w:val="000000"/>
          <w:szCs w:val="21"/>
        </w:rPr>
        <w:t>…………………………………………</w:t>
      </w:r>
      <w:r>
        <w:rPr>
          <w:rFonts w:ascii="Times New Roman" w:hAnsi="Times New Roman"/>
          <w:color w:val="000000"/>
          <w:szCs w:val="21"/>
        </w:rPr>
        <w:t xml:space="preserve"> </w:t>
      </w:r>
      <w:r>
        <w:rPr>
          <w:rFonts w:ascii="Times New Roman" w:hAnsi="宋体"/>
          <w:color w:val="000000"/>
          <w:szCs w:val="21"/>
        </w:rPr>
        <w:t>（</w:t>
      </w:r>
      <w:r>
        <w:rPr>
          <w:rFonts w:ascii="Times New Roman" w:hAnsi="Times New Roman"/>
          <w:color w:val="000000"/>
          <w:szCs w:val="21"/>
        </w:rPr>
        <w:t>A.1</w:t>
      </w:r>
      <w:r>
        <w:rPr>
          <w:rFonts w:ascii="Times New Roman" w:hAnsi="宋体"/>
          <w:color w:val="000000"/>
          <w:szCs w:val="21"/>
        </w:rPr>
        <w:t>）</w:t>
      </w:r>
    </w:p>
    <w:p>
      <w:pPr>
        <w:ind w:firstLine="420" w:firstLineChars="200"/>
        <w:rPr>
          <w:rFonts w:ascii="Times New Roman" w:hAnsi="Times New Roman"/>
          <w:color w:val="000000"/>
          <w:szCs w:val="21"/>
        </w:rPr>
      </w:pPr>
      <w:r>
        <w:rPr>
          <w:rFonts w:ascii="Times New Roman" w:hAnsi="宋体"/>
          <w:color w:val="000000"/>
          <w:szCs w:val="21"/>
        </w:rPr>
        <w:t>式中：</w:t>
      </w:r>
      <w:r>
        <w:rPr>
          <w:rFonts w:ascii="Times New Roman" w:hAnsi="Times New Roman"/>
          <w:color w:val="000000"/>
          <w:szCs w:val="21"/>
        </w:rPr>
        <w:pict>
          <v:shape id="图片 2" o:spid="_x0000_i1030" type="#_x0000_t75" style="width:34.59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E&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ui&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54" o:title=""/>
            <v:path o:extrusionok="f"/>
            <o:lock v:ext="edit" aspectratio="f"/>
          </v:shape>
        </w:pict>
      </w:r>
      <w:r>
        <w:rPr>
          <w:rFonts w:ascii="Times New Roman" w:hAnsi="Times New Roman"/>
          <w:color w:val="000000"/>
          <w:szCs w:val="21"/>
        </w:rPr>
        <w:t>——</w:t>
      </w:r>
      <w:r>
        <w:rPr>
          <w:rFonts w:ascii="Times New Roman" w:hAnsi="宋体"/>
          <w:color w:val="000000"/>
          <w:szCs w:val="21"/>
        </w:rPr>
        <w:t>单位产品综合能耗，</w:t>
      </w:r>
      <w:r>
        <w:rPr>
          <w:rFonts w:ascii="Times New Roman" w:hAnsi="Times New Roman"/>
          <w:color w:val="000000"/>
          <w:szCs w:val="21"/>
        </w:rPr>
        <w:t>tce/10</w:t>
      </w:r>
      <w:r>
        <w:rPr>
          <w:rFonts w:ascii="Times New Roman" w:hAnsi="Times New Roman"/>
          <w:color w:val="000000"/>
          <w:szCs w:val="21"/>
          <w:vertAlign w:val="superscript"/>
        </w:rPr>
        <w:t>4</w:t>
      </w:r>
      <w:r>
        <w:rPr>
          <w:rFonts w:ascii="Times New Roman" w:hAnsi="Times New Roman"/>
          <w:color w:val="000000"/>
          <w:szCs w:val="21"/>
        </w:rPr>
        <w:t xml:space="preserve"> m</w:t>
      </w:r>
      <w:r>
        <w:rPr>
          <w:rFonts w:ascii="Times New Roman" w:hAnsi="宋体"/>
          <w:color w:val="000000"/>
          <w:szCs w:val="21"/>
        </w:rPr>
        <w:t>；</w:t>
      </w:r>
    </w:p>
    <w:p>
      <w:pPr>
        <w:rPr>
          <w:rFonts w:ascii="Times New Roman" w:hAnsi="Times New Roman"/>
          <w:color w:val="000000"/>
          <w:szCs w:val="21"/>
        </w:rPr>
      </w:pPr>
      <w:r>
        <w:rPr>
          <w:rFonts w:ascii="Times New Roman" w:hAnsi="Times New Roman"/>
          <w:color w:val="000000"/>
          <w:szCs w:val="21"/>
        </w:rPr>
        <w:t xml:space="preserve">         </w:t>
      </w:r>
      <w:r>
        <w:rPr>
          <w:rFonts w:ascii="Times New Roman" w:hAnsi="Times New Roman" w:hint="eastAsia"/>
          <w:color w:val="000000"/>
          <w:szCs w:val="21"/>
          <w:lang w:val="en-US" w:eastAsia="zh-CN"/>
        </w:rPr>
        <w:t xml:space="preserve">    </w:t>
      </w:r>
      <w:r>
        <w:rPr>
          <w:rFonts w:ascii="Times New Roman" w:hAnsi="Times New Roman"/>
          <w:color w:val="000000"/>
          <w:szCs w:val="21"/>
        </w:rPr>
        <w:t xml:space="preserve"> </w:t>
      </w:r>
      <w:r>
        <w:rPr>
          <w:rFonts w:ascii="Times New Roman" w:hAnsi="Times New Roman"/>
          <w:color w:val="000000"/>
          <w:szCs w:val="21"/>
        </w:rPr>
        <w:pict>
          <v:shape id="图片 3" o:spid="_x0000_i1031" type="#_x0000_t75" style="width:9.29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E&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i&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55"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在一定计量时间内产品生产的综合能耗，</w:t>
      </w:r>
      <w:r>
        <w:rPr>
          <w:rFonts w:ascii="Times New Roman" w:hAnsi="Times New Roman"/>
          <w:color w:val="000000"/>
          <w:szCs w:val="21"/>
        </w:rPr>
        <w:t>tce</w:t>
      </w:r>
      <w:r>
        <w:rPr>
          <w:rFonts w:ascii="Times New Roman" w:hAnsi="宋体"/>
          <w:color w:val="000000"/>
          <w:szCs w:val="21"/>
        </w:rPr>
        <w:t>；</w:t>
      </w:r>
    </w:p>
    <w:p>
      <w:pPr>
        <w:ind w:left="0" w:firstLine="840" w:leftChars="0" w:firstLineChars="400"/>
        <w:rPr>
          <w:rFonts w:ascii="Times New Roman" w:hAnsi="Times New Roman"/>
          <w:color w:val="000000"/>
          <w:szCs w:val="21"/>
        </w:rPr>
      </w:pPr>
      <w:r>
        <w:rPr>
          <w:rFonts w:ascii="Times New Roman" w:hAnsi="Times New Roman"/>
          <w:color w:val="000000"/>
          <w:szCs w:val="21"/>
        </w:rPr>
        <w:pict>
          <v:shape id="图片 35" o:spid="_x0000_i1032" type="#_x0000_t75" style="width:67.64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Q&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bz&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stroke linestyle="single"/>
            <v:imagedata r:id="rId56"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w:t>
      </w:r>
      <w:r>
        <w:rPr>
          <w:rFonts w:ascii="宋体" w:eastAsia="宋体" w:hAnsi="宋体" w:cs="宋体" w:hint="eastAsia"/>
          <w:szCs w:val="21"/>
          <w:lang w:val="en-US" w:eastAsia="zh-CN"/>
        </w:rPr>
        <w:t>水性超细纤维聚氨酯合成革</w:t>
      </w:r>
      <w:r>
        <w:rPr>
          <w:rFonts w:ascii="Times New Roman" w:hAnsi="宋体"/>
          <w:color w:val="000000"/>
          <w:szCs w:val="21"/>
        </w:rPr>
        <w:t>标准品产量，</w:t>
      </w:r>
      <w:r>
        <w:rPr>
          <w:rFonts w:ascii="Times New Roman" w:hAnsi="Times New Roman"/>
          <w:color w:val="000000"/>
          <w:szCs w:val="21"/>
        </w:rPr>
        <w:t>10</w:t>
      </w:r>
      <w:r>
        <w:rPr>
          <w:rFonts w:ascii="Times New Roman" w:hAnsi="Times New Roman"/>
          <w:color w:val="000000"/>
          <w:szCs w:val="21"/>
          <w:vertAlign w:val="superscript"/>
        </w:rPr>
        <w:t>4</w:t>
      </w:r>
      <w:r>
        <w:rPr>
          <w:rFonts w:ascii="Times New Roman" w:hAnsi="Times New Roman"/>
          <w:color w:val="000000"/>
          <w:szCs w:val="21"/>
        </w:rPr>
        <w:t xml:space="preserve"> m</w:t>
      </w:r>
      <w:r>
        <w:rPr>
          <w:rFonts w:ascii="Times New Roman" w:hAnsi="宋体"/>
          <w:color w:val="000000"/>
          <w:szCs w:val="21"/>
        </w:rPr>
        <w:t>。</w:t>
      </w:r>
    </w:p>
    <w:p>
      <w:pPr>
        <w:spacing w:before="156" w:beforeLines="50" w:after="156" w:afterLines="50"/>
        <w:rPr>
          <w:rFonts w:ascii="黑体" w:eastAsia="黑体" w:hAnsi="黑体"/>
          <w:color w:val="000000"/>
          <w:szCs w:val="21"/>
        </w:rPr>
      </w:pPr>
      <w:r>
        <w:rPr>
          <w:rFonts w:ascii="黑体" w:eastAsia="黑体" w:hAnsi="黑体"/>
          <w:color w:val="000000"/>
          <w:szCs w:val="21"/>
        </w:rPr>
        <w:t>A.2  单位产品取水量</w:t>
      </w:r>
    </w:p>
    <w:p>
      <w:pPr>
        <w:ind w:firstLine="420" w:firstLineChars="200"/>
        <w:rPr>
          <w:rFonts w:ascii="Times New Roman" w:hAnsi="宋体"/>
          <w:color w:val="000000"/>
          <w:szCs w:val="21"/>
        </w:rPr>
      </w:pPr>
      <w:r>
        <w:rPr>
          <w:rFonts w:ascii="Times New Roman" w:hAnsi="宋体"/>
          <w:color w:val="000000"/>
          <w:szCs w:val="21"/>
        </w:rPr>
        <w:t>企业在一定计量时间内生产单位产品需要从各种水源所取得的水量。工业生产取水量，包括取自地表水（以净水厂供水计量）、地下水、城镇供水工程，以及企业从市场购得的其他水或水的产品（如蒸汽、热水、地热水等），不包括企业自取的海水和苦咸水等以及企业为外供给市场的水的产品（如蒸汽、热水、地热水等）而取用的水量。按公式</w:t>
      </w:r>
      <w:r>
        <w:rPr>
          <w:rFonts w:ascii="Times New Roman" w:hAnsi="Times New Roman"/>
          <w:color w:val="000000"/>
          <w:szCs w:val="21"/>
        </w:rPr>
        <w:t xml:space="preserve"> A.2 </w:t>
      </w:r>
      <w:r>
        <w:rPr>
          <w:rFonts w:ascii="Times New Roman" w:hAnsi="宋体"/>
          <w:color w:val="000000"/>
          <w:szCs w:val="21"/>
        </w:rPr>
        <w:t>计算：</w:t>
      </w:r>
    </w:p>
    <w:p>
      <w:pPr>
        <w:ind w:firstLine="420" w:firstLineChars="200"/>
        <w:rPr>
          <w:rFonts w:ascii="Times New Roman" w:hAnsi="宋体"/>
          <w:color w:val="000000"/>
          <w:szCs w:val="21"/>
        </w:rPr>
      </w:pPr>
    </w:p>
    <w:p>
      <w:pPr>
        <w:ind w:firstLine="420" w:firstLineChars="200"/>
        <w:rPr>
          <w:rFonts w:ascii="Times New Roman" w:hAnsi="Times New Roman"/>
          <w:color w:val="000000"/>
          <w:szCs w:val="21"/>
        </w:rPr>
      </w:pP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pict>
          <v:shape id="图片 39" o:spid="_x0000_i1033" type="#_x0000_t75" style="width:59.66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spaceForUL/&gt;&lt;w:wrapTextWithPunct/&gt;&lt;w:breakWrappedTables/&gt;&lt;w:useAsianBreakRules/&gt;&lt;w:dontGrowAutofit/&gt;&lt;w:useFELayout/&gt;&lt;/w:compat&gt;&lt;/w:docPr&gt;&lt;w:body&gt;&lt;wx:sect&gt;&lt;w:p&gt;&lt;m:oMathPara&gt;&lt;m:oMath&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ui&lt;/m:t&gt;&lt;/m:r&gt;&lt;m:ctrlPr&gt;&lt;w:rPr&gt;&lt;w:rFonts w:ascii=&quot;Cambria Math&quot; w:h-ansi=&quot;Cambria Math&quot; w:fareast=&quot;宋体&quot; w:cs=&quot;Times New Roman&quot; w:hint=&quot;default&quot;/&gt;&lt;w:i/&gt;&lt;w:color w:val=&quot;000000&quot;/&gt;&lt;w:sz-cs w:val=&quot;21&quot;/&gt;&lt;/w:rPr&gt;&lt;/m:ctrlPr&gt;&lt;/m:sub&gt;&lt;/m:sSub&gt;&lt;m:r&gt;&lt;w:rPr&gt;&lt;w:rFonts w:ascii=&quot;Cambria Math&quot; w:h-ansi=&quot;Cambria Math&quot; w:fareast=&quot;宋体&quot; w:cs=&quot;Times New Roman&quot; w:hint=&quot;default&quot;/&gt;&lt;w:color w:val=&quot;000000&quot;/&gt;&lt;w:sz-cs w:val=&quot;21&quot;/&gt;&lt;/w:rPr&gt;&lt;m:t&gt;=&lt;/m:t&gt;&lt;/m:r&gt;&lt;m:f&gt;&lt;m:fPr&gt;&lt;m:ctrlPr&gt;&lt;w:rPr&gt;&lt;w:rFonts w:ascii=&quot;Cambria Math&quot; w:h-ansi=&quot;Cambria Math&quot; w:fareast=&quot;宋体&quot; w:cs=&quot;Times New Roman&quot; w:hint=&quot;default&quot;/&gt;&lt;w:i/&gt;&lt;w:color w:val=&quot;000000&quot;/&gt;&lt;w:sz-cs w:val=&quot;21&quot;/&gt;&lt;/w:rPr&gt;&lt;/m:ctrlPr&gt;&lt;/m:fPr&gt;&lt;m:num&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i&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num&gt;&lt;m:den&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Q&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bz&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den&gt;&lt;/m:f&gt;&lt;/m:oMath&gt;&lt;/m:oMathPara&gt;&lt;/w:p&gt;&lt;/wx:sect&gt;&lt;/w:body&gt;&lt;/w:wordDocument&gt;" o:preferrelative="t" filled="f" stroked="f">
            <v:fill o:detectmouseclick="t"/>
            <v:stroke linestyle="single"/>
            <v:imagedata r:id="rId57" o:title=""/>
            <v:shadow color="gray"/>
            <v:path o:extrusionok="f"/>
            <o:lock v:ext="edit" aspectratio="f"/>
          </v:shape>
        </w:pict>
      </w:r>
      <w:r>
        <w:rPr>
          <w:rFonts w:ascii="宋体" w:eastAsia="宋体" w:hAnsi="宋体" w:cs="Times New Roman" w:hint="eastAsia"/>
          <w:color w:val="000000"/>
          <w:szCs w:val="21"/>
        </w:rPr>
        <w:t xml:space="preserve">         </w:t>
      </w:r>
      <w:r>
        <w:rPr>
          <w:rFonts w:ascii="Times New Roman" w:hAnsi="Times New Roman"/>
          <w:color w:val="000000"/>
          <w:szCs w:val="21"/>
        </w:rPr>
        <w:t xml:space="preserve"> </w:t>
      </w:r>
      <w:r>
        <w:rPr>
          <w:rFonts w:ascii="宋体" w:hAnsi="宋体"/>
          <w:color w:val="000000"/>
          <w:szCs w:val="21"/>
        </w:rPr>
        <w:t>……………………………………………</w:t>
      </w:r>
      <w:r>
        <w:rPr>
          <w:rFonts w:ascii="Times New Roman" w:hAnsi="宋体"/>
          <w:color w:val="000000"/>
          <w:szCs w:val="21"/>
        </w:rPr>
        <w:t>（</w:t>
      </w:r>
      <w:r>
        <w:rPr>
          <w:rFonts w:ascii="Times New Roman" w:hAnsi="Times New Roman"/>
          <w:color w:val="000000"/>
          <w:szCs w:val="21"/>
        </w:rPr>
        <w:t>A.2</w:t>
      </w:r>
      <w:r>
        <w:rPr>
          <w:rFonts w:ascii="Times New Roman" w:hAnsi="宋体"/>
          <w:color w:val="000000"/>
          <w:szCs w:val="21"/>
        </w:rPr>
        <w:t>）</w:t>
      </w:r>
    </w:p>
    <w:p>
      <w:pPr>
        <w:rPr>
          <w:rFonts w:ascii="Times New Roman" w:hAnsi="Times New Roman"/>
          <w:color w:val="000000"/>
          <w:szCs w:val="21"/>
        </w:rPr>
      </w:pPr>
      <w:r>
        <w:rPr>
          <w:rFonts w:ascii="Times New Roman" w:hAnsi="Times New Roman" w:hint="eastAsia"/>
          <w:color w:val="000000"/>
          <w:szCs w:val="21"/>
          <w:lang w:val="en-US" w:eastAsia="zh-CN"/>
        </w:rPr>
        <w:t xml:space="preserve"> </w:t>
      </w:r>
      <w:r>
        <w:rPr>
          <w:rFonts w:ascii="Times New Roman" w:hAnsi="宋体"/>
          <w:color w:val="000000"/>
          <w:szCs w:val="21"/>
        </w:rPr>
        <w:t>式中：</w:t>
      </w:r>
      <w:r>
        <w:rPr>
          <w:rFonts w:ascii="Times New Roman" w:hAnsi="Times New Roman"/>
          <w:color w:val="000000"/>
          <w:szCs w:val="21"/>
        </w:rPr>
        <w:pict>
          <v:shape id="图片 6" o:spid="_x0000_i1034" type="#_x0000_t75" style="width:34.59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ui&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58" o:title=""/>
            <v:path o:extrusionok="f"/>
            <o:lock v:ext="edit" aspectratio="f"/>
          </v:shape>
        </w:pict>
      </w:r>
      <w:r>
        <w:rPr>
          <w:rFonts w:ascii="Times New Roman" w:hAnsi="Times New Roman"/>
          <w:color w:val="000000"/>
          <w:szCs w:val="21"/>
        </w:rPr>
        <w:t>——</w:t>
      </w:r>
      <w:r>
        <w:rPr>
          <w:rFonts w:ascii="Times New Roman" w:hAnsi="宋体"/>
          <w:color w:val="000000"/>
          <w:szCs w:val="21"/>
        </w:rPr>
        <w:t>单位产品取水量，</w:t>
      </w:r>
      <w:r>
        <w:rPr>
          <w:rFonts w:ascii="Times New Roman" w:hAnsi="Times New Roman"/>
          <w:color w:val="000000"/>
          <w:szCs w:val="21"/>
        </w:rPr>
        <w:t>m³/10</w:t>
      </w:r>
      <w:r>
        <w:rPr>
          <w:rFonts w:ascii="Times New Roman" w:hAnsi="Times New Roman"/>
          <w:color w:val="000000"/>
          <w:szCs w:val="21"/>
          <w:vertAlign w:val="superscript"/>
        </w:rPr>
        <w:t>4</w:t>
      </w:r>
      <w:r>
        <w:rPr>
          <w:rFonts w:ascii="Times New Roman" w:hAnsi="Times New Roman"/>
          <w:color w:val="000000"/>
          <w:szCs w:val="21"/>
        </w:rPr>
        <w:t xml:space="preserve"> m</w:t>
      </w:r>
      <w:r>
        <w:rPr>
          <w:rFonts w:ascii="Times New Roman" w:hAnsi="宋体"/>
          <w:color w:val="000000"/>
          <w:szCs w:val="21"/>
        </w:rPr>
        <w:t>；</w:t>
      </w:r>
    </w:p>
    <w:p>
      <w:pPr>
        <w:rPr>
          <w:rFonts w:ascii="Times New Roman" w:hAnsi="Times New Roman"/>
          <w:color w:val="000000"/>
          <w:szCs w:val="21"/>
        </w:rPr>
        <w:sectPr>
          <w:headerReference w:type="even" r:id="rId59"/>
          <w:headerReference w:type="default" r:id="rId60"/>
          <w:footerReference w:type="even" r:id="rId61"/>
          <w:footerReference w:type="default" r:id="rId62"/>
          <w:headerReference w:type="first" r:id="rId63"/>
          <w:footerReference w:type="first" r:id="rId64"/>
          <w:type w:val="nextPage"/>
          <w:pgSz w:w="11906" w:h="16838"/>
          <w:pgMar w:top="1218" w:right="1134" w:bottom="1134" w:left="1418" w:header="851" w:footer="992" w:gutter="0"/>
          <w:pgNumType w:fmt="numberInDash" w:start="8"/>
          <w:cols w:space="708"/>
          <w:titlePg w:val="0"/>
          <w:docGrid w:type="lines" w:linePitch="312"/>
        </w:sectPr>
      </w:pPr>
      <w:r>
        <w:rPr>
          <w:rFonts w:ascii="Times New Roman" w:hAnsi="Times New Roman"/>
          <w:color w:val="000000"/>
          <w:szCs w:val="21"/>
        </w:rPr>
        <w:t xml:space="preserve">          </w:t>
      </w:r>
      <w:r>
        <w:rPr>
          <w:rFonts w:ascii="Times New Roman" w:hAnsi="Times New Roman"/>
          <w:color w:val="000000"/>
          <w:szCs w:val="21"/>
        </w:rPr>
        <w:pict>
          <v:shape id="图片 7" o:spid="_x0000_i1035" type="#_x0000_t75" style="width:9.29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i&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65"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在一定计量时间内产品生产取水量，</w:t>
      </w:r>
      <w:r>
        <w:rPr>
          <w:rFonts w:ascii="Times New Roman" w:hAnsi="Times New Roman"/>
          <w:color w:val="000000"/>
          <w:szCs w:val="21"/>
        </w:rPr>
        <w:t>m³</w:t>
      </w:r>
      <w:r>
        <w:rPr>
          <w:rFonts w:ascii="Times New Roman" w:hAnsi="宋体"/>
          <w:color w:val="000000"/>
          <w:szCs w:val="21"/>
        </w:rPr>
        <w:t>；</w:t>
      </w:r>
    </w:p>
    <w:p>
      <w:pPr>
        <w:rPr>
          <w:rFonts w:ascii="Times New Roman" w:hAnsi="Times New Roman"/>
          <w:color w:val="000000"/>
          <w:szCs w:val="21"/>
        </w:rPr>
      </w:pPr>
      <w:r>
        <w:rPr>
          <w:rFonts w:ascii="Times New Roman" w:hAnsi="Times New Roman"/>
          <w:color w:val="000000"/>
          <w:szCs w:val="21"/>
        </w:rPr>
        <w:t xml:space="preserve">          </w:t>
      </w:r>
      <w:r>
        <w:rPr>
          <w:rFonts w:ascii="Times New Roman" w:hAnsi="Times New Roman"/>
          <w:color w:val="000000"/>
          <w:szCs w:val="21"/>
        </w:rPr>
        <w:pict>
          <v:shape id="图片 8" o:spid="_x0000_i1036" type="#_x0000_t75" style="width:15.14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Q&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bz&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66"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w:t>
      </w:r>
      <w:r>
        <w:rPr>
          <w:rFonts w:ascii="宋体" w:eastAsia="宋体" w:hAnsi="宋体" w:cs="宋体" w:hint="eastAsia"/>
          <w:szCs w:val="21"/>
          <w:lang w:val="en-US" w:eastAsia="zh-CN"/>
        </w:rPr>
        <w:t>水性超细纤维聚氨酯合成革</w:t>
      </w:r>
      <w:r>
        <w:rPr>
          <w:rFonts w:ascii="Times New Roman" w:hAnsi="宋体"/>
          <w:color w:val="000000"/>
          <w:szCs w:val="21"/>
        </w:rPr>
        <w:t>标准品产量，</w:t>
      </w:r>
      <w:r>
        <w:rPr>
          <w:rFonts w:ascii="Times New Roman" w:hAnsi="Times New Roman"/>
          <w:color w:val="000000"/>
          <w:szCs w:val="21"/>
        </w:rPr>
        <w:t>10</w:t>
      </w:r>
      <w:r>
        <w:rPr>
          <w:rFonts w:ascii="Times New Roman" w:hAnsi="Times New Roman"/>
          <w:color w:val="000000"/>
          <w:szCs w:val="21"/>
          <w:vertAlign w:val="superscript"/>
        </w:rPr>
        <w:t>4</w:t>
      </w:r>
      <w:r>
        <w:rPr>
          <w:rFonts w:ascii="Times New Roman" w:hAnsi="Times New Roman"/>
          <w:color w:val="000000"/>
          <w:szCs w:val="21"/>
        </w:rPr>
        <w:t xml:space="preserve"> m</w:t>
      </w:r>
      <w:r>
        <w:rPr>
          <w:rFonts w:ascii="Times New Roman" w:hAnsi="宋体"/>
          <w:color w:val="000000"/>
          <w:szCs w:val="21"/>
        </w:rPr>
        <w:t>。</w:t>
      </w:r>
    </w:p>
    <w:p>
      <w:pPr>
        <w:spacing w:before="156" w:beforeLines="50" w:after="156" w:afterLines="50"/>
        <w:rPr>
          <w:rFonts w:ascii="黑体" w:eastAsia="黑体" w:hAnsi="黑体"/>
          <w:color w:val="000000"/>
          <w:szCs w:val="21"/>
        </w:rPr>
      </w:pPr>
      <w:r>
        <w:rPr>
          <w:rFonts w:ascii="黑体" w:eastAsia="黑体" w:hAnsi="黑体"/>
          <w:color w:val="000000"/>
          <w:szCs w:val="21"/>
        </w:rPr>
        <w:t>A.3  水重复利用率</w:t>
      </w:r>
    </w:p>
    <w:p>
      <w:pPr>
        <w:jc w:val="right"/>
        <w:rPr>
          <w:rFonts w:ascii="Times New Roman" w:eastAsia="黑体" w:hAnsi="Times New Roman"/>
          <w:color w:val="000000"/>
          <w:szCs w:val="21"/>
        </w:rPr>
      </w:pPr>
      <w:r>
        <w:rPr>
          <w:rFonts w:ascii="黑体" w:eastAsia="黑体" w:hint="eastAsia"/>
          <w:color w:val="000000"/>
          <w:szCs w:val="21"/>
        </w:rPr>
        <w:t xml:space="preserve">         </w:t>
      </w:r>
      <w:r>
        <w:rPr>
          <w:rFonts w:ascii="黑体" w:eastAsia="黑体" w:hint="eastAsia"/>
          <w:color w:val="000000"/>
          <w:szCs w:val="21"/>
          <w:lang w:val="en-US" w:eastAsia="zh-CN"/>
        </w:rPr>
        <w:t xml:space="preserve">               </w:t>
      </w:r>
      <w:r>
        <w:rPr>
          <w:rFonts w:ascii="黑体" w:eastAsia="黑体" w:hint="eastAsia"/>
          <w:color w:val="000000"/>
          <w:szCs w:val="21"/>
        </w:rPr>
        <w:t xml:space="preserve"> </w:t>
      </w:r>
      <w:r>
        <w:rPr>
          <w:rFonts w:ascii="黑体" w:eastAsia="黑体" w:hint="eastAsia"/>
          <w:color w:val="000000"/>
          <w:szCs w:val="21"/>
        </w:rPr>
        <w:pict>
          <v:shape id="图片 45" o:spid="_x0000_i1037" type="#_x0000_t75" style="width:70.24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spaceForUL/&gt;&lt;w:wrapTextWithPunct/&gt;&lt;w:breakWrappedTables/&gt;&lt;w:useAsianBreakRules/&gt;&lt;w:dontGrowAutofit/&gt;&lt;w:useFELayout/&gt;&lt;/w:compat&gt;&lt;/w:docPr&gt;&lt;w:body&gt;&lt;wx:sect&gt;&lt;w:p&gt;&lt;m:oMathPara&gt;&lt;m:oMath&gt;&lt;m:r&gt;&lt;w:rPr&gt;&lt;w:rFonts w:ascii=&quot;Cambria Math&quot; w:h-ansi=&quot;Cambria Math&quot; w:fareast=&quot;宋体&quot; w:cs=&quot;Times New Roman&quot; w:hint=&quot;default&quot;/&gt;&lt;w:color w:val=&quot;000000&quot;/&gt;&lt;w:sz-cs w:val=&quot;21&quot;/&gt;&lt;/w:rPr&gt;&lt;m:t&gt;R=&lt;/m:t&gt;&lt;/m:r&gt;&lt;m:f&gt;&lt;m:fPr&gt;&lt;m:ctrlPr&gt;&lt;w:rPr&gt;&lt;w:rFonts w:ascii=&quot;Cambria Math&quot; w:h-ansi=&quot;Cambria Math&quot; w:fareast=&quot;宋体&quot; w:cs=&quot;Times New Roman&quot; w:hint=&quot;default&quot;/&gt;&lt;w:i/&gt;&lt;w:color w:val=&quot;000000&quot;/&gt;&lt;w:sz-cs w:val=&quot;21&quot;/&gt;&lt;/w:rPr&gt;&lt;/m:ctrlPr&gt;&lt;/m:fPr&gt;&lt;m:num&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r&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num&gt;&lt;m:den&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i&lt;/m:t&gt;&lt;/m:r&gt;&lt;m:ctrlPr&gt;&lt;w:rPr&gt;&lt;w:rFonts w:ascii=&quot;Cambria Math&quot; w:h-ansi=&quot;Cambria Math&quot; w:fareast=&quot;宋体&quot; w:cs=&quot;Times New Roman&quot; w:hint=&quot;default&quot;/&gt;&lt;w:i/&gt;&lt;w:color w:val=&quot;000000&quot;/&gt;&lt;w:sz-cs w:val=&quot;21&quot;/&gt;&lt;/w:rPr&gt;&lt;/m:ctrlPr&gt;&lt;/m:sub&gt;&lt;/m:sSub&gt;&lt;m:r&gt;&lt;w:rPr&gt;&lt;w:rFonts w:ascii=&quot;Cambria Math&quot; w:h-ansi=&quot;Cambria Math&quot; w:fareast=&quot;宋体&quot; w:cs=&quot;Times New Roman&quot; w:hint=&quot;default&quot;/&gt;&lt;w:color w:val=&quot;000000&quot;/&gt;&lt;w:sz-cs w:val=&quot;21&quot;/&gt;&lt;/w:rPr&gt;&lt;m:t&gt;+&lt;/m:t&gt;&lt;/m:r&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r&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den&gt;&lt;/m:f&gt;&lt;m:r&gt;&lt;w:rPr&gt;&lt;w:rFonts w:ascii=&quot;Cambria Math&quot; w:h-ansi=&quot;Cambria Math&quot; w:fareast=&quot;宋体&quot; w:cs=&quot;Times New Roman&quot; w:hint=&quot;default&quot;/&gt;&lt;w:color w:val=&quot;000000&quot;/&gt;&lt;w:sz-cs w:val=&quot;21&quot;/&gt;&lt;/w:rPr&gt;&lt;m:t&gt;×100&lt;/m:t&gt;&lt;/m:r&gt;&lt;/m:oMath&gt;&lt;/m:oMathPara&gt;&lt;/w:p&gt;&lt;/wx:sect&gt;&lt;/w:body&gt;&lt;/w:wordDocument&gt;" o:preferrelative="t" filled="f" stroked="f">
            <v:stroke linestyle="single"/>
            <v:imagedata r:id="rId67" o:title=""/>
            <v:path o:extrusionok="f"/>
            <o:lock v:ext="edit" aspectratio="f"/>
          </v:shape>
        </w:pict>
      </w:r>
      <w:r>
        <w:rPr>
          <w:rFonts w:ascii="黑体" w:eastAsia="黑体" w:hint="eastAsia"/>
          <w:color w:val="000000"/>
          <w:szCs w:val="21"/>
        </w:rPr>
        <w:t xml:space="preserve">  </w:t>
      </w:r>
      <w:r>
        <w:rPr>
          <w:rFonts w:ascii="Times New Roman" w:eastAsia="黑体" w:hAnsi="Times New Roman"/>
          <w:color w:val="000000"/>
          <w:szCs w:val="21"/>
        </w:rPr>
        <w:t xml:space="preserve">% </w:t>
      </w:r>
      <w:r>
        <w:rPr>
          <w:rFonts w:ascii="宋体" w:hAnsi="宋体"/>
          <w:color w:val="000000"/>
          <w:szCs w:val="21"/>
        </w:rPr>
        <w:t>……………………………………</w:t>
      </w:r>
      <w:r>
        <w:rPr>
          <w:rFonts w:ascii="Times New Roman" w:hAnsi="宋体"/>
          <w:color w:val="000000"/>
          <w:szCs w:val="21"/>
        </w:rPr>
        <w:t>（</w:t>
      </w:r>
      <w:r>
        <w:rPr>
          <w:rFonts w:ascii="Times New Roman" w:hAnsi="Times New Roman"/>
          <w:color w:val="000000"/>
          <w:szCs w:val="21"/>
        </w:rPr>
        <w:t>A.3</w:t>
      </w:r>
      <w:r>
        <w:rPr>
          <w:rFonts w:ascii="Times New Roman" w:hAnsi="宋体"/>
          <w:color w:val="000000"/>
          <w:szCs w:val="21"/>
        </w:rPr>
        <w:t>）</w:t>
      </w:r>
    </w:p>
    <w:p>
      <w:pPr>
        <w:rPr>
          <w:rFonts w:ascii="黑体" w:eastAsia="黑体"/>
          <w:color w:val="000000"/>
          <w:szCs w:val="21"/>
        </w:rPr>
      </w:pPr>
      <w:r>
        <w:rPr>
          <w:rFonts w:ascii="黑体" w:eastAsia="黑体" w:hint="eastAsia"/>
          <w:color w:val="000000"/>
          <w:szCs w:val="21"/>
        </w:rPr>
        <w:t xml:space="preserve">              </w:t>
      </w:r>
    </w:p>
    <w:p>
      <w:pPr>
        <w:spacing w:before="156" w:beforeLines="50" w:after="156" w:afterLines="50"/>
        <w:rPr>
          <w:rFonts w:ascii="黑体" w:eastAsia="黑体" w:hAnsi="黑体"/>
          <w:color w:val="000000"/>
          <w:szCs w:val="21"/>
        </w:rPr>
      </w:pPr>
    </w:p>
    <w:p>
      <w:pPr>
        <w:jc w:val="right"/>
        <w:rPr>
          <w:rFonts w:ascii="Times New Roman" w:eastAsia="黑体" w:hAnsi="Times New Roman"/>
          <w:color w:val="000000"/>
          <w:szCs w:val="21"/>
        </w:rPr>
      </w:pPr>
      <w:r>
        <w:rPr>
          <w:rFonts w:ascii="Times New Roman" w:eastAsia="黑体" w:hAnsi="Times New Roman"/>
          <w:color w:val="000000"/>
          <w:szCs w:val="21"/>
        </w:rPr>
        <w:t xml:space="preserve">    </w:t>
      </w:r>
      <w:r>
        <w:rPr>
          <w:rFonts w:ascii="Times New Roman" w:eastAsia="黑体" w:hAnsi="Times New Roman"/>
          <w:color w:val="000000"/>
          <w:szCs w:val="21"/>
        </w:rPr>
        <w:pict>
          <v:shape id="图片 9" o:spid="_x0000_i1038" type="#_x0000_t75" style="width:70.24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r&gt;&lt;w:rPr&gt;&lt;w:rFonts w:ascii=&quot;Cambria Math&quot; w:h-ansi=&quot;Cambria Math&quot; w:fareast=&quot;宋体&quot; w:cs=&quot;Times New Roman&quot; w:hint=&quot;default&quot;/&gt;&lt;w:color w:val=&quot;000000&quot;/&gt;&lt;w:sz-cs w:val=&quot;21&quot;/&gt;&lt;/w:rPr&gt;&lt;m:t&gt;R&lt;/m:t&gt;&lt;/m:r&gt;&lt;m:r&gt;&lt;w:rPr&gt;&lt;w:rFonts w:ascii=&quot;Cambria Math&quot; w:h-ansi=&quot;Times New Roman&quot; w:fareast=&quot;宋体&quot; w:cs=&quot;Times New Roman&quot; w:hint=&quot;default&quot;/&gt;&lt;w:color w:val=&quot;000000&quot;/&gt;&lt;w:sz-cs w:val=&quot;21&quot;/&gt;&lt;/w:rPr&gt;&lt;m:t&gt;=&lt;/m:t&gt;&lt;/m:r&gt;&lt;m:f&gt;&lt;m:fPr&gt;&lt;m:ctrlPr&gt;&lt;w:rPr&gt;&lt;w:rFonts w:ascii=&quot;Cambria Math&quot; w:h-ansi=&quot;Times New Roman&quot; w:fareast=&quot;宋体&quot; w:cs=&quot;Times New Roman&quot; w:hint=&quot;default&quot;/&gt;&lt;w:i/&gt;&lt;w:color w:val=&quot;000000&quot;/&gt;&lt;w:sz-cs w:val=&quot;21&quot;/&gt;&lt;/w:rPr&gt;&lt;/m:ctrlPr&gt;&lt;/m:fPr&gt;&lt;m:num&gt;&lt;m:sSub&gt;&lt;m:sSubPr&gt;&lt;m:ctrlPr&gt;&lt;w:rPr&gt;&lt;w:rFonts w:ascii=&quot;Cambria Math&quot; w:h-ansi=&quot;Times New Roman&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r&lt;/m:t&gt;&lt;/m:r&gt;&lt;m:ctrlPr&gt;&lt;w:rPr&gt;&lt;w:rFonts w:ascii=&quot;Cambria Math&quot; w:h-ansi=&quot;Times New Roman&quot; w:fareast=&quot;宋体&quot; w:cs=&quot;Times New Roman&quot; w:hint=&quot;default&quot;/&gt;&lt;w:i/&gt;&lt;w:color w:val=&quot;000000&quot;/&gt;&lt;w:sz-cs w:val=&quot;21&quot;/&gt;&lt;/w:rPr&gt;&lt;/m:ctrlPr&gt;&lt;/m:sub&gt;&lt;/m:sSub&gt;&lt;m:ctrlPr&gt;&lt;w:rPr&gt;&lt;w:rFonts w:ascii=&quot;Cambria Math&quot; w:h-ansi=&quot;Times New Roman&quot; w:fareast=&quot;宋体&quot; w:cs=&quot;Times New Roman&quot; w:hint=&quot;default&quot;/&gt;&lt;w:i/&gt;&lt;w:color w:val=&quot;000000&quot;/&gt;&lt;w:sz-cs w:val=&quot;21&quot;/&gt;&lt;/w:rPr&gt;&lt;/m:ctrlPr&gt;&lt;/m:num&gt;&lt;m:den&gt;&lt;m:sSub&gt;&lt;m:sSubPr&gt;&lt;m:ctrlPr&gt;&lt;w:rPr&gt;&lt;w:rFonts w:ascii=&quot;Cambria Math&quot; w:h-ansi=&quot;Times New Roman&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i&lt;/m:t&gt;&lt;/m:r&gt;&lt;m:ctrlPr&gt;&lt;w:rPr&gt;&lt;w:rFonts w:ascii=&quot;Cambria Math&quot; w:h-ansi=&quot;Times New Roman&quot; w:fareast=&quot;宋体&quot; w:cs=&quot;Times New Roman&quot; w:hint=&quot;default&quot;/&gt;&lt;w:i/&gt;&lt;w:color w:val=&quot;000000&quot;/&gt;&lt;w:sz-cs w:val=&quot;21&quot;/&gt;&lt;/w:rPr&gt;&lt;/m:ctrlPr&gt;&lt;/m:sub&gt;&lt;/m:sSub&gt;&lt;m:r&gt;&lt;w:rPr&gt;&lt;w:rFonts w:ascii=&quot;Cambria Math&quot; w:h-ansi=&quot;Times New Roman&quot; w:fareast=&quot;宋体&quot; w:cs=&quot;Times New Roman&quot; w:hint=&quot;default&quot;/&gt;&lt;w:color w:val=&quot;000000&quot;/&gt;&lt;w:sz-cs w:val=&quot;21&quot;/&gt;&lt;/w:rPr&gt;&lt;m:t&gt;+&lt;/m:t&gt;&lt;/m:r&gt;&lt;m:sSub&gt;&lt;m:sSubPr&gt;&lt;m:ctrlPr&gt;&lt;w:rPr&gt;&lt;w:rFonts w:ascii=&quot;Cambria Math&quot; w:h-ansi=&quot;Times New Roman&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r&lt;/m:t&gt;&lt;/m:r&gt;&lt;m:ctrlPr&gt;&lt;w:rPr&gt;&lt;w:rFonts w:ascii=&quot;Cambria Math&quot; w:h-ansi=&quot;Times New Roman&quot; w:fareast=&quot;宋体&quot; w:cs=&quot;Times New Roman&quot; w:hint=&quot;default&quot;/&gt;&lt;w:i/&gt;&lt;w:color w:val=&quot;000000&quot;/&gt;&lt;w:sz-cs w:val=&quot;21&quot;/&gt;&lt;/w:rPr&gt;&lt;/m:ctrlPr&gt;&lt;/m:sub&gt;&lt;/m:sSub&gt;&lt;m:ctrlPr&gt;&lt;w:rPr&gt;&lt;w:rFonts w:ascii=&quot;Cambria Math&quot; w:h-ansi=&quot;Times New Roman&quot; w:fareast=&quot;宋体&quot; w:cs=&quot;Times New Roman&quot; w:hint=&quot;default&quot;/&gt;&lt;w:i/&gt;&lt;w:color w:val=&quot;000000&quot;/&gt;&lt;w:sz-cs w:val=&quot;21&quot;/&gt;&lt;/w:rPr&gt;&lt;/m:ctrlPr&gt;&lt;/m:den&gt;&lt;/m:f&gt;&lt;m:r&gt;&lt;w:rPr&gt;&lt;w:rFonts w:ascii=&quot;Cambria Math&quot; w:h-ansi=&quot;Times New Roman&quot; w:fareast=&quot;宋体&quot; w:cs=&quot;Times New Roman&quot; w:hint=&quot;default&quot;/&gt;&lt;w:color w:val=&quot;000000&quot;/&gt;&lt;w:sz-cs w:val=&quot;21&quot;/&gt;&lt;/w:rPr&gt;&lt;m:t&gt;×100&lt;/m:t&gt;&lt;/m:r&gt;&lt;/m:oMath&gt;&lt;/m:oMathPara&gt;&lt;/w:p&gt;&lt;/wx:sect&gt;&lt;/w:body&gt;&lt;/w:wordDocument&gt;" o:preferrelative="t" filled="f" stroked="f">
            <v:fill o:detectmouseclick="t"/>
            <v:stroke linestyle="single"/>
            <v:imagedata r:id="rId68" o:title=""/>
            <v:path o:extrusionok="f"/>
            <o:lock v:ext="edit" aspectratio="f"/>
          </v:shape>
        </w:pict>
      </w:r>
    </w:p>
    <w:p>
      <w:pPr>
        <w:ind w:firstLine="420" w:firstLineChars="200"/>
        <w:rPr>
          <w:rFonts w:ascii="Times New Roman" w:hAnsi="Times New Roman"/>
          <w:color w:val="000000"/>
          <w:szCs w:val="21"/>
        </w:rPr>
      </w:pPr>
      <w:r>
        <w:rPr>
          <w:rFonts w:ascii="Times New Roman" w:hAnsi="宋体"/>
          <w:color w:val="000000"/>
          <w:szCs w:val="21"/>
        </w:rPr>
        <w:t>式中：</w:t>
      </w:r>
      <w:r>
        <w:rPr>
          <w:rFonts w:ascii="Times New Roman" w:hAnsi="Times New Roman"/>
          <w:i/>
          <w:color w:val="000000"/>
          <w:szCs w:val="21"/>
        </w:rPr>
        <w:t>R</w:t>
      </w:r>
      <w:r>
        <w:rPr>
          <w:rFonts w:ascii="Times New Roman" w:hAnsi="Times New Roman"/>
          <w:color w:val="000000"/>
          <w:szCs w:val="21"/>
        </w:rPr>
        <w:t>——</w:t>
      </w:r>
      <w:r>
        <w:rPr>
          <w:rFonts w:ascii="Times New Roman" w:hAnsi="宋体"/>
          <w:color w:val="000000"/>
          <w:szCs w:val="21"/>
        </w:rPr>
        <w:t>水的重复利用率，</w:t>
      </w:r>
      <w:r>
        <w:rPr>
          <w:rFonts w:ascii="Times New Roman" w:hAnsi="Times New Roman"/>
          <w:color w:val="000000"/>
          <w:szCs w:val="21"/>
        </w:rPr>
        <w:t>%</w:t>
      </w:r>
      <w:r>
        <w:rPr>
          <w:rFonts w:ascii="Times New Roman" w:hAnsi="宋体"/>
          <w:color w:val="000000"/>
          <w:szCs w:val="21"/>
        </w:rPr>
        <w:t>；</w:t>
      </w:r>
    </w:p>
    <w:p>
      <w:pPr>
        <w:ind w:firstLine="945" w:firstLineChars="450"/>
        <w:rPr>
          <w:rFonts w:ascii="Times New Roman" w:hAnsi="Times New Roman"/>
          <w:color w:val="000000"/>
          <w:szCs w:val="21"/>
        </w:rPr>
      </w:pPr>
      <w:r>
        <w:rPr>
          <w:rFonts w:ascii="Times New Roman" w:hAnsi="Times New Roman"/>
          <w:color w:val="000000"/>
          <w:szCs w:val="21"/>
        </w:rPr>
        <w:pict>
          <v:shape id="图片 10" o:spid="_x0000_i1039" type="#_x0000_t75" style="width:57.75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r&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69"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在一定计量时间内重复利用水量（包括循环用水量和串联使用水量），</w:t>
      </w:r>
      <w:r>
        <w:rPr>
          <w:rFonts w:ascii="Times New Roman" w:hAnsi="Times New Roman"/>
          <w:color w:val="000000"/>
          <w:szCs w:val="21"/>
        </w:rPr>
        <w:t xml:space="preserve">m³ </w:t>
      </w:r>
      <w:r>
        <w:rPr>
          <w:rFonts w:ascii="Times New Roman" w:hAnsi="宋体"/>
          <w:color w:val="000000"/>
          <w:szCs w:val="21"/>
        </w:rPr>
        <w:t>；</w:t>
      </w:r>
    </w:p>
    <w:p>
      <w:pPr>
        <w:ind w:firstLine="945" w:firstLineChars="450"/>
        <w:rPr>
          <w:rFonts w:ascii="Times New Roman" w:hAnsi="Times New Roman"/>
          <w:color w:val="000000"/>
          <w:szCs w:val="21"/>
        </w:rPr>
      </w:pPr>
      <w:r>
        <w:rPr>
          <w:rFonts w:ascii="Times New Roman" w:hAnsi="Times New Roman"/>
          <w:color w:val="000000"/>
          <w:szCs w:val="21"/>
        </w:rPr>
        <w:pict>
          <v:shape id="图片 11" o:spid="_x0000_i1040" type="#_x0000_t75" style="width:56.54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i&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70"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在一定计量时间内合成革标准品生产取水量，</w:t>
      </w:r>
      <w:r>
        <w:rPr>
          <w:rFonts w:ascii="Times New Roman" w:hAnsi="Times New Roman"/>
          <w:color w:val="000000"/>
          <w:szCs w:val="21"/>
        </w:rPr>
        <w:t xml:space="preserve">m³ </w:t>
      </w:r>
      <w:r>
        <w:rPr>
          <w:rFonts w:ascii="Times New Roman" w:hAnsi="宋体"/>
          <w:color w:val="000000"/>
          <w:szCs w:val="21"/>
        </w:rPr>
        <w:t>。</w:t>
      </w:r>
    </w:p>
    <w:p>
      <w:pPr>
        <w:spacing w:before="156" w:beforeLines="50" w:after="156" w:afterLines="50"/>
        <w:rPr>
          <w:rFonts w:ascii="Times New Roman" w:eastAsia="黑体" w:hAnsi="Times New Roman"/>
          <w:bCs/>
          <w:szCs w:val="21"/>
        </w:rPr>
      </w:pPr>
      <w:r>
        <w:rPr>
          <w:rFonts w:ascii="黑体" w:eastAsia="黑体" w:hAnsi="黑体"/>
          <w:color w:val="000000"/>
          <w:szCs w:val="21"/>
        </w:rPr>
        <w:t>A.4  单位产品废水产生量</w:t>
      </w:r>
    </w:p>
    <w:p>
      <w:pPr>
        <w:ind w:firstLine="420" w:firstLineChars="200"/>
        <w:rPr>
          <w:rFonts w:ascii="Times New Roman" w:hAnsi="宋体"/>
          <w:color w:val="000000"/>
          <w:szCs w:val="21"/>
        </w:rPr>
      </w:pPr>
      <w:r>
        <w:rPr>
          <w:rFonts w:ascii="Times New Roman" w:hAnsi="宋体"/>
          <w:color w:val="000000"/>
          <w:szCs w:val="21"/>
        </w:rPr>
        <w:t>指单位产品的生产（或加工）过程中，产生污染物的量（末端处理前），按公式</w:t>
      </w:r>
      <w:r>
        <w:rPr>
          <w:rFonts w:ascii="Times New Roman" w:hAnsi="Times New Roman"/>
          <w:color w:val="000000"/>
          <w:szCs w:val="21"/>
        </w:rPr>
        <w:t xml:space="preserve"> A.4</w:t>
      </w:r>
      <w:r>
        <w:rPr>
          <w:rFonts w:ascii="Times New Roman" w:hAnsi="宋体"/>
          <w:color w:val="000000"/>
          <w:szCs w:val="21"/>
        </w:rPr>
        <w:t>计算：</w:t>
      </w:r>
    </w:p>
    <w:p>
      <w:pPr>
        <w:ind w:firstLine="420" w:firstLineChars="200"/>
        <w:rPr>
          <w:rFonts w:ascii="Times New Roman" w:hAnsi="Times New Roman"/>
          <w:color w:val="000000"/>
          <w:szCs w:val="21"/>
        </w:rPr>
      </w:pPr>
      <w:r>
        <w:rPr>
          <w:rFonts w:ascii="宋体" w:eastAsia="宋体" w:hAnsi="宋体" w:cs="Times New Roman" w:hint="eastAsia"/>
          <w:color w:val="000000"/>
          <w:szCs w:val="21"/>
        </w:rPr>
        <w:t xml:space="preserve">  </w:t>
      </w:r>
      <w:r>
        <w:rPr>
          <w:rFonts w:ascii="宋体" w:eastAsia="宋体" w:hAnsi="宋体" w:cs="宋体" w:hint="eastAsia"/>
          <w:color w:val="000000"/>
          <w:szCs w:val="21"/>
        </w:rPr>
        <w:t></w:t>
      </w:r>
      <w:r>
        <w:rPr>
          <w:rFonts w:ascii="宋体" w:eastAsia="宋体" w:hAnsi="宋体" w:cs="宋体" w:hint="eastAsia"/>
          <w:color w:val="000000"/>
          <w:szCs w:val="21"/>
        </w:rPr>
        <w:t xml:space="preserve">     </w:t>
      </w:r>
      <w:r>
        <w:rPr>
          <w:rFonts w:ascii="宋体" w:eastAsia="宋体" w:hAnsi="宋体" w:cs="宋体" w:hint="eastAsia"/>
          <w:color w:val="000000"/>
          <w:szCs w:val="21"/>
          <w:lang w:val="en-US" w:eastAsia="zh-CN"/>
        </w:rPr>
        <w:t xml:space="preserve">    </w:t>
      </w:r>
      <w:r>
        <w:rPr>
          <w:rFonts w:ascii="宋体" w:eastAsia="宋体" w:hAnsi="宋体" w:cs="宋体" w:hint="eastAsia"/>
          <w:color w:val="000000"/>
          <w:szCs w:val="21"/>
        </w:rPr>
        <w:pict>
          <v:shape id="图片 105" o:spid="_x0000_i1041" type="#_x0000_t75" style="width:58.79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spaceForUL/&gt;&lt;w:wrapTextWithPunct/&gt;&lt;w:breakWrappedTables/&gt;&lt;w:useAsianBreakRules/&gt;&lt;w:dontGrowAutofit/&gt;&lt;w:useFELayout/&gt;&lt;/w:compat&gt;&lt;/w:docPr&gt;&lt;w:body&gt;&lt;wx:sect&gt;&lt;w:p&gt;&lt;m:oMathPara&gt;&lt;m:oMath&gt;&lt;m:sSub&gt;&lt;m:sSubPr&gt;&lt;m:ctrlPr&gt;&lt;w:rPr&gt;&lt;w:rFonts w:ascii=&quot;Cambria Math&quot; w:h-ansi=&quot;Cambria Math&quot; w:fareast=&quot;黑体&quot; w:hint=&quot;default&quot;/&gt;&lt;w:i/&gt;&lt;w:color w:val=&quot;000000&quot;/&gt;&lt;w:sz-cs w:val=&quot;21&quot;/&gt;&lt;/w:rPr&gt;&lt;/m:ctrlPr&gt;&lt;/m:sSubPr&gt;&lt;m:e&gt;&lt;m:r&gt;&lt;w:rPr&gt;&lt;w:rFonts w:ascii=&quot;Cambria Math&quot; w:h-ansi=&quot;Cambria Math&quot; w:fareast=&quot;黑体&quot; w:hint=&quot;default&quot;/&gt;&lt;w:color w:val=&quot;000000&quot;/&gt;&lt;w:sz-cs w:val=&quot;21&quot;/&gt;&lt;/w:rPr&gt;&lt;m:t&gt;V&lt;/m:t&gt;&lt;/m:r&gt;&lt;m:ctrlPr&gt;&lt;w:rPr&gt;&lt;w:rFonts w:ascii=&quot;Cambria Math&quot; w:h-ansi=&quot;Cambria Math&quot; w:fareast=&quot;黑体&quot; w:hint=&quot;default&quot;/&gt;&lt;w:i/&gt;&lt;w:color w:val=&quot;000000&quot;/&gt;&lt;w:sz-cs w:val=&quot;21&quot;/&gt;&lt;/w:rPr&gt;&lt;/m:ctrlPr&gt;&lt;/m:e&gt;&lt;m:sub&gt;&lt;m:r&gt;&lt;w:rPr&gt;&lt;w:rFonts w:ascii=&quot;Cambria Math&quot; w:h-ansi=&quot;Cambria Math&quot; w:fareast=&quot;黑体&quot; w:hint=&quot;default&quot;/&gt;&lt;w:color w:val=&quot;000000&quot;/&gt;&lt;w:sz-cs w:val=&quot;21&quot;/&gt;&lt;/w:rPr&gt;&lt;m:t&gt;ci&lt;/m:t&gt;&lt;/m:r&gt;&lt;m:ctrlPr&gt;&lt;w:rPr&gt;&lt;w:rFonts w:ascii=&quot;Cambria Math&quot; w:h-ansi=&quot;Cambria Math&quot; w:fareast=&quot;黑体&quot; w:hint=&quot;default&quot;/&gt;&lt;w:i/&gt;&lt;w:color w:val=&quot;000000&quot;/&gt;&lt;w:sz-cs w:val=&quot;21&quot;/&gt;&lt;/w:rPr&gt;&lt;/m:ctrlPr&gt;&lt;/m:sub&gt;&lt;/m:sSub&gt;&lt;m:r&gt;&lt;w:rPr&gt;&lt;w:rFonts w:ascii=&quot;Cambria Math&quot; w:h-ansi=&quot;Cambria Math&quot; w:fareast=&quot;黑体&quot; w:hint=&quot;default&quot;/&gt;&lt;w:color w:val=&quot;000000&quot;/&gt;&lt;w:sz-cs w:val=&quot;21&quot;/&gt;&lt;/w:rPr&gt;&lt;m:t&gt;=&lt;/m:t&gt;&lt;/m:r&gt;&lt;m:f&gt;&lt;m:fPr&gt;&lt;m:ctrlPr&gt;&lt;w:rPr&gt;&lt;w:rFonts w:ascii=&quot;Cambria Math&quot; w:h-ansi=&quot;Cambria Math&quot; w:fareast=&quot;黑体&quot; w:hint=&quot;default&quot;/&gt;&lt;w:i/&gt;&lt;w:color w:val=&quot;000000&quot;/&gt;&lt;w:sz-cs w:val=&quot;21&quot;/&gt;&lt;/w:rPr&gt;&lt;/m:ctrlPr&gt;&lt;/m:fPr&gt;&lt;m:num&gt;&lt;m:sSub&gt;&lt;m:sSubPr&gt;&lt;m:ctrlPr&gt;&lt;w:rPr&gt;&lt;w:rFonts w:ascii=&quot;Cambria Math&quot; w:h-ansi=&quot;Cambria Math&quot; w:fareast=&quot;黑体&quot; w:hint=&quot;default&quot;/&gt;&lt;w:i/&gt;&lt;w:color w:val=&quot;000000&quot;/&gt;&lt;w:sz-cs w:val=&quot;21&quot;/&gt;&lt;/w:rPr&gt;&lt;/m:ctrlPr&gt;&lt;/m:sSubPr&gt;&lt;m:e&gt;&lt;m:r&gt;&lt;w:rPr&gt;&lt;w:rFonts w:ascii=&quot;Cambria Math&quot; w:h-ansi=&quot;Cambria Math&quot; w:fareast=&quot;黑体&quot; w:hint=&quot;default&quot;/&gt;&lt;w:color w:val=&quot;000000&quot;/&gt;&lt;w:sz-cs w:val=&quot;21&quot;/&gt;&lt;/w:rPr&gt;&lt;m:t&gt;V&lt;/m:t&gt;&lt;/m:r&gt;&lt;m:ctrlPr&gt;&lt;w:rPr&gt;&lt;w:rFonts w:ascii=&quot;Cambria Math&quot; w:h-ansi=&quot;Cambria Math&quot; w:fareast=&quot;黑体&quot; w:hint=&quot;default&quot;/&gt;&lt;w:i/&gt;&lt;w:color w:val=&quot;000000&quot;/&gt;&lt;w:sz-cs w:val=&quot;21&quot;/&gt;&lt;/w:rPr&gt;&lt;/m:ctrlPr&gt;&lt;/m:e&gt;&lt;m:sub&gt;&lt;m:r&gt;&lt;w:rPr&gt;&lt;w:rFonts w:ascii=&quot;Cambria Math&quot; w:h-ansi=&quot;Cambria Math&quot; w:fareast=&quot;黑体&quot; w:hint=&quot;default&quot;/&gt;&lt;w:color w:val=&quot;000000&quot;/&gt;&lt;w:sz-cs w:val=&quot;21&quot;/&gt;&lt;/w:rPr&gt;&lt;m:t&gt;c&lt;/m:t&gt;&lt;/m:r&gt;&lt;m:ctrlPr&gt;&lt;w:rPr&gt;&lt;w:rFonts w:ascii=&quot;Cambria Math&quot; w:h-ansi=&quot;Cambria Math&quot; w:fareast=&quot;黑体&quot; w:hint=&quot;default&quot;/&gt;&lt;w:i/&gt;&lt;w:color w:val=&quot;000000&quot;/&gt;&lt;w:sz-cs w:val=&quot;21&quot;/&gt;&lt;/w:rPr&gt;&lt;/m:ctrlPr&gt;&lt;/m:sub&gt;&lt;/m:sSub&gt;&lt;m:ctrlPr&gt;&lt;w:rPr&gt;&lt;w:rFonts w:ascii=&quot;Cambria Math&quot; w:h-ansi=&quot;Cambria Math&quot; w:fareast=&quot;黑体&quot; w:hint=&quot;default&quot;/&gt;&lt;w:i/&gt;&lt;w:color w:val=&quot;000000&quot;/&gt;&lt;w:sz-cs w:val=&quot;21&quot;/&gt;&lt;/w:rPr&gt;&lt;/m:ctrlPr&gt;&lt;/m:num&gt;&lt;m:den&gt;&lt;m:sSub&gt;&lt;m:sSubPr&gt;&lt;m:ctrlPr&gt;&lt;w:rPr&gt;&lt;w:rFonts w:ascii=&quot;Cambria Math&quot; w:h-ansi=&quot;Cambria Math&quot; w:fareast=&quot;黑体&quot; w:hint=&quot;default&quot;/&gt;&lt;w:i/&gt;&lt;w:color w:val=&quot;000000&quot;/&gt;&lt;w:sz-cs w:val=&quot;21&quot;/&gt;&lt;/w:rPr&gt;&lt;/m:ctrlPr&gt;&lt;/m:sSubPr&gt;&lt;m:e&gt;&lt;m:r&gt;&lt;w:rPr&gt;&lt;w:rFonts w:ascii=&quot;Cambria Math&quot; w:h-ansi=&quot;Cambria Math&quot; w:fareast=&quot;黑体&quot; w:hint=&quot;default&quot;/&gt;&lt;w:color w:val=&quot;000000&quot;/&gt;&lt;w:sz-cs w:val=&quot;21&quot;/&gt;&lt;/w:rPr&gt;&lt;m:t&gt;Q&lt;/m:t&gt;&lt;/m:r&gt;&lt;m:ctrlPr&gt;&lt;w:rPr&gt;&lt;w:rFonts w:ascii=&quot;Cambria Math&quot; w:h-ansi=&quot;Cambria Math&quot; w:fareast=&quot;黑体&quot; w:hint=&quot;default&quot;/&gt;&lt;w:i/&gt;&lt;w:color w:val=&quot;000000&quot;/&gt;&lt;w:sz-cs w:val=&quot;21&quot;/&gt;&lt;/w:rPr&gt;&lt;/m:ctrlPr&gt;&lt;/m:e&gt;&lt;m:sub&gt;&lt;m:r&gt;&lt;w:rPr&gt;&lt;w:rFonts w:ascii=&quot;Cambria Math&quot; w:h-ansi=&quot;Cambria Math&quot; w:fareast=&quot;黑体&quot; w:hint=&quot;default&quot;/&gt;&lt;w:color w:val=&quot;000000&quot;/&gt;&lt;w:sz-cs w:val=&quot;21&quot;/&gt;&lt;/w:rPr&gt;&lt;m:t&gt;bz&lt;/m:t&gt;&lt;/m:r&gt;&lt;m:ctrlPr&gt;&lt;w:rPr&gt;&lt;w:rFonts w:ascii=&quot;Cambria Math&quot; w:h-ansi=&quot;Cambria Math&quot; w:fareast=&quot;黑体&quot; w:hint=&quot;default&quot;/&gt;&lt;w:i/&gt;&lt;w:color w:val=&quot;000000&quot;/&gt;&lt;w:sz-cs w:val=&quot;21&quot;/&gt;&lt;/w:rPr&gt;&lt;/m:ctrlPr&gt;&lt;/m:sub&gt;&lt;/m:sSub&gt;&lt;m:ctrlPr&gt;&lt;w:rPr&gt;&lt;w:rFonts w:ascii=&quot;Cambria Math&quot; w:h-ansi=&quot;Cambria Math&quot; w:fareast=&quot;黑体&quot; w:hint=&quot;default&quot;/&gt;&lt;w:i/&gt;&lt;w:color w:val=&quot;000000&quot;/&gt;&lt;w:sz-cs w:val=&quot;21&quot;/&gt;&lt;/w:rPr&gt;&lt;/m:ctrlPr&gt;&lt;/m:den&gt;&lt;/m:f&gt;&lt;/m:oMath&gt;&lt;/m:oMathPara&gt;&lt;/w:p&gt;&lt;/wx:sect&gt;&lt;/w:body&gt;&lt;/w:wordDocument&gt;" o:preferrelative="t" filled="f" stroked="f">
            <v:stroke linestyle="single"/>
            <v:imagedata r:id="rId71" o:title=""/>
            <v:path o:extrusionok="f"/>
            <o:lock v:ext="edit" aspectratio="f"/>
          </v:shape>
        </w:pict>
      </w:r>
      <w:r>
        <w:rPr>
          <w:rFonts w:ascii="宋体" w:eastAsia="宋体" w:hAnsi="宋体" w:cs="宋体" w:hint="eastAsia"/>
          <w:color w:val="000000"/>
          <w:szCs w:val="21"/>
          <w:lang w:val="en-US" w:eastAsia="zh-CN"/>
        </w:rPr>
        <w:t xml:space="preserve"> -------</w:t>
      </w:r>
      <w:r>
        <w:rPr>
          <w:rFonts w:ascii="宋体" w:eastAsia="宋体" w:hAnsi="宋体" w:cs="宋体" w:hint="eastAsia"/>
          <w:color w:val="000000"/>
          <w:szCs w:val="21"/>
        </w:rPr>
        <w:t xml:space="preserve"> </w:t>
      </w:r>
      <w:r>
        <w:rPr>
          <w:rFonts w:ascii="宋体" w:eastAsia="宋体" w:hAnsi="宋体" w:cs="宋体" w:hint="eastAsia"/>
          <w:color w:val="000000"/>
          <w:szCs w:val="21"/>
          <w:lang w:val="en-US" w:eastAsia="zh-CN"/>
        </w:rPr>
        <w:t>----------</w:t>
      </w:r>
      <w:r>
        <w:rPr>
          <w:rFonts w:ascii="宋体" w:hAnsi="宋体"/>
          <w:color w:val="000000"/>
          <w:szCs w:val="21"/>
        </w:rPr>
        <w:t>……………………………………………</w:t>
      </w:r>
      <w:r>
        <w:rPr>
          <w:rFonts w:ascii="Times New Roman" w:hAnsi="Times New Roman"/>
          <w:color w:val="000000"/>
          <w:szCs w:val="21"/>
        </w:rPr>
        <w:t xml:space="preserve"> </w:t>
      </w:r>
      <w:r>
        <w:rPr>
          <w:rFonts w:ascii="Times New Roman" w:hAnsi="宋体"/>
          <w:color w:val="000000"/>
          <w:szCs w:val="21"/>
        </w:rPr>
        <w:t>（</w:t>
      </w:r>
      <w:r>
        <w:rPr>
          <w:rFonts w:ascii="Times New Roman" w:hAnsi="Times New Roman"/>
          <w:color w:val="000000"/>
          <w:szCs w:val="21"/>
        </w:rPr>
        <w:t>A.4</w:t>
      </w:r>
      <w:r>
        <w:rPr>
          <w:rFonts w:ascii="Times New Roman" w:hAnsi="宋体"/>
          <w:color w:val="000000"/>
          <w:szCs w:val="21"/>
        </w:rPr>
        <w:t>）</w:t>
      </w:r>
      <w:r>
        <w:rPr>
          <w:rFonts w:ascii="宋体" w:eastAsia="宋体" w:hAnsi="宋体" w:cs="宋体" w:hint="eastAsia"/>
          <w:color w:val="000000"/>
          <w:szCs w:val="21"/>
        </w:rPr>
        <w:pict>
          <v:shape id="图片 94" o:spid="_x0000_i1042" type="#_x0000_t75" style="width:37.79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spaceForUL/&gt;&lt;w:wrapTextWithPunct/&gt;&lt;w:breakWrappedTables/&gt;&lt;w:useAsianBreakRules/&gt;&lt;w:dontGrowAutofit/&gt;&lt;w:useFELayout/&gt;&lt;/w:compat&gt;&lt;/w:docPr&gt;&lt;w:body&gt;&lt;wx:sect&gt;&lt;w:p&gt;&lt;m:oMathPara&gt;&lt;m:oMath&gt;&lt;m:sSub&gt;&lt;m:sSubPr&gt;&lt;m:ctrlPr&gt;&lt;w:rPr&gt;&lt;w:rFonts w:ascii=&quot;Cambria Math&quot; w:h-ansi=&quot;Cambria Math&quot; w:fareast=&quot;黑体&quot; w:hint=&quot;default&quot;/&gt;&lt;w:i/&gt;&lt;w:color w:val=&quot;000000&quot;/&gt;&lt;w:sz-cs w:val=&quot;21&quot;/&gt;&lt;/w:rPr&gt;&lt;/m:ctrlPr&gt;&lt;/m:sSubPr&gt;&lt;m:e&gt;&lt;m:r&gt;&lt;w:rPr&gt;&lt;w:rFonts w:ascii=&quot;Cambria Math&quot; w:h-ansi=&quot;Cambria Math&quot; w:fareast=&quot;黑体&quot; w:hint=&quot;default&quot;/&gt;&lt;w:color w:val=&quot;000000&quot;/&gt;&lt;w:sz-cs w:val=&quot;21&quot;/&gt;&lt;/w:rPr&gt;&lt;m:t&gt;V&lt;/m:t&gt;&lt;/m:r&gt;&lt;m:ctrlPr&gt;&lt;w:rPr&gt;&lt;w:rFonts w:ascii=&quot;Cambria Math&quot; w:h-ansi=&quot;Cambria Math&quot; w:fareast=&quot;黑体&quot; w:hint=&quot;default&quot;/&gt;&lt;w:i/&gt;&lt;w:color w:val=&quot;000000&quot;/&gt;&lt;w:sz-cs w:val=&quot;21&quot;/&gt;&lt;/w:rPr&gt;&lt;/m:ctrlPr&gt;&lt;/m:e&gt;&lt;m:sub&gt;&lt;m:r&gt;&lt;w:rPr&gt;&lt;w:rFonts w:ascii=&quot;Cambria Math&quot; w:h-ansi=&quot;Cambria Math&quot; w:fareast=&quot;黑体&quot; w:hint=&quot;default&quot;/&gt;&lt;w:color w:val=&quot;000000&quot;/&gt;&lt;w:sz-cs w:val=&quot;21&quot;/&gt;&lt;/w:rPr&gt;&lt;m:t&gt;ci&lt;/m:t&gt;&lt;/m:r&gt;&lt;m:ctrlPr&gt;&lt;w:rPr&gt;&lt;w:rFonts w:ascii=&quot;Cambria Math&quot; w:h-ansi=&quot;Cambria Math&quot; w:fareast=&quot;黑体&quot; w:hint=&quot;default&quot;/&gt;&lt;w:i/&gt;&lt;w:color w:val=&quot;000000&quot;/&gt;&lt;w:sz-cs w:val=&quot;21&quot;/&gt;&lt;/w:rPr&gt;&lt;/m:ctrlPr&gt;&lt;/m:sub&gt;&lt;/m:sSub&gt;&lt;m:r&gt;&lt;w:rPr&gt;&lt;w:rFonts w:ascii=&quot;Cambria Math&quot; w:h-ansi=&quot;Cambria Math&quot; w:fareast=&quot;黑体&quot; w:hint=&quot;default&quot;/&gt;&lt;w:color w:val=&quot;000000&quot;/&gt;&lt;w:sz-cs w:val=&quot;21&quot;/&gt;&lt;/w:rPr&gt;&lt;m:t&gt;=&lt;/m:t&gt;&lt;/m:r&gt;&lt;m:f&gt;&lt;m:fPr&gt;&lt;m:ctrlPr&gt;&lt;w:rPr&gt;&lt;w:rFonts w:ascii=&quot;Cambria Math&quot; w:h-ansi=&quot;Cambria Math&quot; w:fareast=&quot;黑体&quot; w:hint=&quot;default&quot;/&gt;&lt;w:i/&gt;&lt;w:color w:val=&quot;000000&quot;/&gt;&lt;w:sz-cs w:val=&quot;21&quot;/&gt;&lt;/w:rPr&gt;&lt;/m:ctrlPr&gt;&lt;/m:fPr&gt;&lt;m:num&gt;&lt;m:sSub&gt;&lt;m:sSubPr&gt;&lt;m:ctrlPr&gt;&lt;w:rPr&gt;&lt;w:rFonts w:ascii=&quot;Cambria Math&quot; w:h-ansi=&quot;Cambria Math&quot; w:fareast=&quot;黑体&quot; w:hint=&quot;default&quot;/&gt;&lt;w:i/&gt;&lt;w:color w:val=&quot;000000&quot;/&gt;&lt;w:sz-cs w:val=&quot;21&quot;/&gt;&lt;/w:rPr&gt;&lt;/m:ctrlPr&gt;&lt;/m:sSubPr&gt;&lt;m:e&gt;&lt;m:r&gt;&lt;w:rPr&gt;&lt;w:rFonts w:ascii=&quot;Cambria Math&quot; w:h-ansi=&quot;Cambria Math&quot; w:fareast=&quot;黑体&quot; w:hint=&quot;default&quot;/&gt;&lt;w:color w:val=&quot;000000&quot;/&gt;&lt;w:sz-cs w:val=&quot;21&quot;/&gt;&lt;/w:rPr&gt;&lt;m:t&gt;V&lt;/m:t&gt;&lt;/m:r&gt;&lt;m:ctrlPr&gt;&lt;w:rPr&gt;&lt;w:rFonts w:ascii=&quot;Cambria Math&quot; w:h-ansi=&quot;Cambria Math&quot; w:fareast=&quot;黑体&quot; w:hint=&quot;default&quot;/&gt;&lt;w:i/&gt;&lt;w:color w:val=&quot;000000&quot;/&gt;&lt;w:sz-cs w:val=&quot;21&quot;/&gt;&lt;/w:rPr&gt;&lt;/m:ctrlPr&gt;&lt;/m:e&gt;&lt;m:sub&gt;&lt;m:r&gt;&lt;w:rPr&gt;&lt;w:rFonts w:ascii=&quot;Cambria Math&quot; w:h-ansi=&quot;Cambria Math&quot; w:fareast=&quot;黑体&quot; w:hint=&quot;default&quot;/&gt;&lt;w:color w:val=&quot;000000&quot;/&gt;&lt;w:sz-cs w:val=&quot;21&quot;/&gt;&lt;/w:rPr&gt;&lt;m:t&gt;c&lt;/m:t&gt;&lt;/m:r&gt;&lt;m:ctrlPr&gt;&lt;w:rPr&gt;&lt;w:rFonts w:ascii=&quot;Cambria Math&quot; w:h-ansi=&quot;Cambria Math&quot; w:fareast=&quot;黑体&quot; w:hint=&quot;default&quot;/&gt;&lt;w:i/&gt;&lt;w:color w:val=&quot;000000&quot;/&gt;&lt;w:sz-cs w:val=&quot;21&quot;/&gt;&lt;/w:rPr&gt;&lt;/m:ctrlPr&gt;&lt;/m:sub&gt;&lt;/m:sSub&gt;&lt;m:ctrlPr&gt;&lt;w:rPr&gt;&lt;w:rFonts w:ascii=&quot;Cambria Math&quot; w:h-ansi=&quot;Cambria Math&quot; w:fareast=&quot;黑体&quot; w:hint=&quot;default&quot;/&gt;&lt;w:i/&gt;&lt;w:color w:val=&quot;000000&quot;/&gt;&lt;w:sz-cs w:val=&quot;21&quot;/&gt;&lt;/w:rPr&gt;&lt;/m:ctrlPr&gt;&lt;/m:num&gt;&lt;m:den&gt;&lt;m:sSub&gt;&lt;m:sSubPr&gt;&lt;m:ctrlPr&gt;&lt;w:rPr&gt;&lt;w:rFonts w:ascii=&quot;Cambria Math&quot; w:h-ansi=&quot;Cambria Math&quot; w:fareast=&quot;黑体&quot; w:hint=&quot;default&quot;/&gt;&lt;w:i/&gt;&lt;w:color w:val=&quot;000000&quot;/&gt;&lt;w:sz-cs w:val=&quot;21&quot;/&gt;&lt;/w:rPr&gt;&lt;/m:ctrlPr&gt;&lt;/m:sSubPr&gt;&lt;m:e&gt;&lt;m:r&gt;&lt;w:rPr&gt;&lt;w:rFonts w:ascii=&quot;Cambria Math&quot; w:h-ansi=&quot;Cambria Math&quot; w:fareast=&quot;黑体&quot; w:hint=&quot;default&quot;/&gt;&lt;w:color w:val=&quot;000000&quot;/&gt;&lt;w:sz-cs w:val=&quot;21&quot;/&gt;&lt;/w:rPr&gt;&lt;m:t&gt;Q&lt;/m:t&gt;&lt;/m:r&gt;&lt;m:ctrlPr&gt;&lt;w:rPr&gt;&lt;w:rFonts w:ascii=&quot;Cambria Math&quot; w:h-ansi=&quot;Cambria Math&quot; w:fareast=&quot;黑体&quot; w:hint=&quot;default&quot;/&gt;&lt;w:i/&gt;&lt;w:color w:val=&quot;000000&quot;/&gt;&lt;w:sz-cs w:val=&quot;21&quot;/&gt;&lt;/w:rPr&gt;&lt;/m:ctrlPr&gt;&lt;/m:e&gt;&lt;m:sub&gt;&lt;m:r&gt;&lt;w:rPr&gt;&lt;w:rFonts w:ascii=&quot;Cambria Math&quot; w:h-ansi=&quot;Cambria Math&quot; w:fareast=&quot;黑体&quot; w:hint=&quot;default&quot;/&gt;&lt;w:color w:val=&quot;000000&quot;/&gt;&lt;w:sz-cs w:val=&quot;21&quot;/&gt;&lt;/w:rPr&gt;&lt;m:t&gt;bz&lt;/m:t&gt;&lt;/m:r&gt;&lt;m:ctrlPr&gt;&lt;w:rPr&gt;&lt;w:rFonts w:ascii=&quot;Cambria Math&quot; w:h-ansi=&quot;Cambria Math&quot; w:fareast=&quot;黑体&quot; w:hint=&quot;default&quot;/&gt;&lt;w:i/&gt;&lt;w:color w:val=&quot;000000&quot;/&gt;&lt;w:sz-cs w:val=&quot;21&quot;/&gt;&lt;/w:rPr&gt;&lt;/m:ctrlPr&gt;&lt;/m:sub&gt;&lt;/m:sSub&gt;&lt;m:ctrlPr&gt;&lt;w:rPr&gt;&lt;w:rFonts w:ascii=&quot;Cambria Math&quot; w:h-ansi=&quot;Cambria Math&quot; w:fareast=&quot;黑体&quot; w:hint=&quot;default&quot;/&gt;&lt;w:i/&gt;&lt;w:color w:val=&quot;000000&quot;/&gt;&lt;w:sz-cs w:val=&quot;21&quot;/&gt;&lt;/w:rPr&gt;&lt;/m:ctrlPr&gt;&lt;/m:den&gt;&lt;/m:f&gt;&lt;/m:oMath&gt;&lt;/m:oMathPara&gt;&lt;/w:p&gt;&lt;/wx:sect&gt;&lt;/w:body&gt;&lt;/w:wordDocument&gt;" o:preferrelative="t" filled="f" stroked="f">
            <v:fill o:detectmouseclick="t"/>
            <v:stroke linestyle="single"/>
            <v:imagedata r:id="rId72" o:title=""/>
            <v:path o:extrusionok="f"/>
            <o:lock v:ext="edit" aspectratio="f"/>
          </v:shape>
        </w:pict>
      </w:r>
      <w:r>
        <w:rPr>
          <w:rFonts w:ascii="宋体" w:eastAsia="宋体" w:hAnsi="宋体" w:cs="宋体" w:hint="eastAsia"/>
          <w:color w:val="000000"/>
          <w:szCs w:val="21"/>
        </w:rPr>
        <w:t></w:t>
      </w:r>
      <w:r>
        <w:rPr>
          <w:rFonts w:ascii="宋体" w:eastAsia="宋体" w:hAnsi="宋体" w:cs="宋体" w:hint="eastAsia"/>
          <w:color w:val="000000"/>
          <w:szCs w:val="21"/>
        </w:rPr>
        <w:t xml:space="preserve"> </w:t>
      </w:r>
      <w:r>
        <w:rPr>
          <w:rFonts w:ascii="Times New Roman" w:hAnsi="宋体"/>
          <w:color w:val="000000"/>
          <w:szCs w:val="21"/>
        </w:rPr>
        <w:t>式中：</w:t>
      </w:r>
      <w:r>
        <w:rPr>
          <w:rFonts w:ascii="Times New Roman" w:hAnsi="Times New Roman"/>
          <w:color w:val="000000"/>
          <w:szCs w:val="21"/>
        </w:rPr>
        <w:pict>
          <v:shape id="图片 99" o:spid="_x0000_i1043" type="#_x0000_t75" style="width:33.73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ci&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stroke linestyle="single"/>
            <v:imagedata r:id="rId73" o:title=""/>
            <v:path o:extrusionok="f"/>
            <o:lock v:ext="edit" aspectratio="f"/>
          </v:shape>
        </w:pict>
      </w:r>
      <w:r>
        <w:rPr>
          <w:rFonts w:ascii="Times New Roman" w:hAnsi="Times New Roman"/>
          <w:color w:val="000000"/>
          <w:szCs w:val="21"/>
        </w:rPr>
        <w:t>——</w:t>
      </w:r>
      <w:r>
        <w:rPr>
          <w:rFonts w:ascii="Times New Roman" w:hAnsi="宋体"/>
          <w:color w:val="000000"/>
          <w:szCs w:val="21"/>
        </w:rPr>
        <w:t>单位产品废水产生量，</w:t>
      </w:r>
      <w:r>
        <w:rPr>
          <w:rFonts w:ascii="Times New Roman" w:hAnsi="Times New Roman"/>
          <w:color w:val="000000"/>
          <w:szCs w:val="21"/>
        </w:rPr>
        <w:t>m³/10</w:t>
      </w:r>
      <w:r>
        <w:rPr>
          <w:rFonts w:ascii="Times New Roman" w:hAnsi="Times New Roman"/>
          <w:color w:val="000000"/>
          <w:szCs w:val="21"/>
          <w:vertAlign w:val="superscript"/>
        </w:rPr>
        <w:t xml:space="preserve">4 </w:t>
      </w:r>
      <w:r>
        <w:rPr>
          <w:rFonts w:ascii="Times New Roman" w:hAnsi="Times New Roman"/>
          <w:color w:val="000000"/>
          <w:szCs w:val="21"/>
        </w:rPr>
        <w:t>m</w:t>
      </w:r>
      <w:r>
        <w:rPr>
          <w:rFonts w:ascii="Times New Roman" w:hAnsi="宋体"/>
          <w:color w:val="000000"/>
          <w:szCs w:val="21"/>
        </w:rPr>
        <w:t>；</w:t>
      </w:r>
    </w:p>
    <w:p>
      <w:pPr>
        <w:ind w:firstLine="1050" w:firstLineChars="500"/>
        <w:rPr>
          <w:rFonts w:ascii="Times New Roman" w:hAnsi="Times New Roman"/>
          <w:color w:val="000000"/>
          <w:szCs w:val="21"/>
        </w:rPr>
      </w:pPr>
      <w:r>
        <w:rPr>
          <w:rFonts w:ascii="Times New Roman" w:hAnsi="Times New Roman"/>
          <w:color w:val="000000"/>
          <w:szCs w:val="21"/>
        </w:rPr>
        <w:pict>
          <v:shape id="图片 100" o:spid="_x0000_i1044" type="#_x0000_t75" style="width:62.87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c&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stroke linestyle="single"/>
            <v:imagedata r:id="rId74"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在一定计量时间内企业生产废水产生量，</w:t>
      </w:r>
      <w:r>
        <w:rPr>
          <w:rFonts w:ascii="Times New Roman" w:hAnsi="Times New Roman"/>
          <w:color w:val="000000"/>
          <w:szCs w:val="21"/>
        </w:rPr>
        <w:t>m³</w:t>
      </w:r>
      <w:r>
        <w:rPr>
          <w:rFonts w:ascii="Times New Roman" w:hAnsi="宋体"/>
          <w:color w:val="000000"/>
          <w:szCs w:val="21"/>
        </w:rPr>
        <w:t>；</w:t>
      </w:r>
    </w:p>
    <w:p>
      <w:pPr>
        <w:ind w:firstLine="525" w:firstLineChars="250"/>
        <w:rPr>
          <w:rFonts w:ascii="Times New Roman" w:hAnsi="宋体"/>
          <w:color w:val="000000"/>
          <w:szCs w:val="21"/>
        </w:rPr>
      </w:pPr>
      <w:r>
        <w:rPr>
          <w:rFonts w:ascii="Times New Roman" w:hAnsi="Times New Roman"/>
          <w:color w:val="000000"/>
          <w:szCs w:val="21"/>
        </w:rPr>
        <w:t xml:space="preserve">     </w:t>
      </w:r>
      <w:r>
        <w:rPr>
          <w:rFonts w:ascii="Times New Roman" w:hAnsi="Times New Roman"/>
          <w:color w:val="000000"/>
          <w:szCs w:val="21"/>
        </w:rPr>
        <w:pict>
          <v:shape id="图片 101" o:spid="_x0000_i1045" type="#_x0000_t75" style="width:41.42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Q&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bz&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stroke linestyle="single"/>
            <v:imagedata r:id="rId75"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w:t>
      </w:r>
      <w:r>
        <w:rPr>
          <w:rFonts w:ascii="宋体" w:eastAsia="宋体" w:hAnsi="宋体" w:cs="宋体" w:hint="eastAsia"/>
          <w:szCs w:val="21"/>
          <w:lang w:val="en-US" w:eastAsia="zh-CN"/>
        </w:rPr>
        <w:t>水性超细纤维聚氨酯合成革</w:t>
      </w:r>
      <w:r>
        <w:rPr>
          <w:rFonts w:ascii="Times New Roman" w:hAnsi="宋体"/>
          <w:color w:val="000000"/>
          <w:szCs w:val="21"/>
        </w:rPr>
        <w:t>标准品产量，</w:t>
      </w:r>
      <w:r>
        <w:rPr>
          <w:rFonts w:ascii="Times New Roman" w:hAnsi="Times New Roman"/>
          <w:color w:val="000000"/>
          <w:szCs w:val="21"/>
        </w:rPr>
        <w:t>10</w:t>
      </w:r>
      <w:r>
        <w:rPr>
          <w:rFonts w:ascii="Times New Roman" w:hAnsi="Times New Roman"/>
          <w:color w:val="000000"/>
          <w:szCs w:val="21"/>
          <w:vertAlign w:val="superscript"/>
        </w:rPr>
        <w:t>4</w:t>
      </w:r>
      <w:r>
        <w:rPr>
          <w:rFonts w:ascii="Times New Roman" w:hAnsi="Times New Roman"/>
          <w:color w:val="000000"/>
          <w:szCs w:val="21"/>
        </w:rPr>
        <w:t>m</w:t>
      </w:r>
      <w:r>
        <w:rPr>
          <w:rFonts w:ascii="Times New Roman" w:hAnsi="宋体"/>
          <w:color w:val="000000"/>
          <w:szCs w:val="21"/>
        </w:rPr>
        <w:t>。</w:t>
      </w:r>
    </w:p>
    <w:p>
      <w:pPr>
        <w:spacing w:before="156" w:beforeLines="50" w:after="156" w:afterLines="50"/>
        <w:rPr>
          <w:rFonts w:ascii="黑体" w:eastAsia="黑体" w:hAnsi="黑体"/>
          <w:color w:val="000000"/>
          <w:szCs w:val="21"/>
        </w:rPr>
      </w:pPr>
      <w:r>
        <w:rPr>
          <w:rFonts w:ascii="黑体" w:eastAsia="黑体" w:hAnsi="黑体"/>
          <w:color w:val="000000"/>
          <w:szCs w:val="21"/>
        </w:rPr>
        <w:t>A.5  单位产品化学需氧量产生量</w:t>
      </w:r>
    </w:p>
    <w:p>
      <w:pPr>
        <w:ind w:firstLine="420" w:firstLineChars="200"/>
        <w:rPr>
          <w:rFonts w:ascii="Times New Roman" w:hAnsi="宋体"/>
          <w:color w:val="000000"/>
          <w:szCs w:val="21"/>
        </w:rPr>
      </w:pPr>
      <w:r>
        <w:rPr>
          <w:rFonts w:ascii="Times New Roman" w:hAnsi="宋体"/>
          <w:color w:val="000000"/>
          <w:szCs w:val="21"/>
        </w:rPr>
        <w:t>指生产过程产生的废水中化学需氧量的量，在废水处理站入口处进行测定，单位产品化学需氧量产生量按公式</w:t>
      </w:r>
      <w:r>
        <w:rPr>
          <w:rFonts w:ascii="Times New Roman" w:hAnsi="Times New Roman"/>
          <w:color w:val="000000"/>
          <w:szCs w:val="21"/>
        </w:rPr>
        <w:t xml:space="preserve"> A.5 </w:t>
      </w:r>
      <w:r>
        <w:rPr>
          <w:rFonts w:ascii="Times New Roman" w:hAnsi="宋体"/>
          <w:color w:val="000000"/>
          <w:szCs w:val="21"/>
        </w:rPr>
        <w:t>计算：</w:t>
      </w:r>
    </w:p>
    <w:p>
      <w:pPr>
        <w:ind w:firstLine="420" w:firstLineChars="200"/>
        <w:rPr>
          <w:rFonts w:ascii="Times New Roman" w:hAnsi="Times New Roman"/>
          <w:color w:val="000000"/>
          <w:szCs w:val="21"/>
        </w:rPr>
      </w:pPr>
      <w:r>
        <w:rPr>
          <w:rFonts w:ascii="宋体" w:eastAsia="宋体" w:hAnsi="宋体" w:cs="宋体" w:hint="eastAsia"/>
          <w:color w:val="000000"/>
          <w:szCs w:val="21"/>
        </w:rPr>
        <w:t xml:space="preserve">       </w:t>
      </w:r>
      <w:r>
        <w:rPr>
          <w:rFonts w:ascii="Times New Roman" w:hAnsi="Times New Roman"/>
          <w:color w:val="000000"/>
          <w:szCs w:val="21"/>
        </w:rPr>
        <w:pict>
          <v:shape id="图片 16" o:spid="_x0000_i1046" type="#_x0000_t75" style="width:95.3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r&gt;&lt;m:rPr&gt;&lt;m:sty m:val=&quot;p&quot;/&gt;&lt;/m:rPr&gt;&lt;w:rPr&gt;&lt;w:rFonts w:ascii=&quot;Cambria Math&quot; w:h-ansi=&quot;Times New Roman&quot; w:fareast=&quot;宋体&quot; w:cs=&quot;Times New Roman&quot; w:hint=&quot;default&quot;/&gt;&lt;w:color w:val=&quot;000000&quot;/&gt;&lt;w:sz-cs w:val=&quot;21&quot;/&gt;&lt;/w:rPr&gt;&lt;m:t&gt;COD&lt;/m:t&gt;&lt;/m:r&gt;&lt;m:r&gt;&lt;w:rPr&gt;&lt;w:rFonts w:ascii=&quot;Cambria Math&quot; w:h-ansi=&quot;Times New Roman&quot; w:fareast=&quot;宋体&quot; w:cs=&quot;Times New Roman&quot; w:hint=&quot;default&quot;/&gt;&lt;w:color w:val=&quot;000000&quot;/&gt;&lt;w:sz-cs w:val=&quot;21&quot;/&gt;&lt;/w:rPr&gt;&lt;m:t&gt;=&lt;/m:t&gt;&lt;/m:r&gt;&lt;m:f&gt;&lt;m:fPr&gt;&lt;m:ctrlPr&gt;&lt;w:rPr&gt;&lt;w:rFonts w:ascii=&quot;Cambria Math&quot; w:h-ansi=&quot;Times New Roman&quot; w:fareast=&quot;宋体&quot; w:cs=&quot;Times New Roman&quot; w:hint=&quot;default&quot;/&gt;&lt;w:i/&gt;&lt;w:color w:val=&quot;000000&quot;/&gt;&lt;w:sz-cs w:val=&quot;21&quot;/&gt;&lt;/w:rPr&gt;&lt;/m:ctrlPr&gt;&lt;/m:fPr&gt;&lt;m:num&gt;&lt;m:sSub&gt;&lt;m:sSubPr&gt;&lt;m:ctrlPr&gt;&lt;w:rPr&gt;&lt;w:rFonts w:ascii=&quot;Cambria Math&quot; w:h-ansi=&quot;Times New Roman&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C&lt;/m:t&gt;&lt;/m:r&gt;&lt;m:ctrlPr&gt;&lt;w:rPr&gt;&lt;w:rFonts w:ascii=&quot;Cambria Math&quot; w:h-ansi=&quot;Times New Roman&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i&lt;/m:t&gt;&lt;/m:r&gt;&lt;m:ctrlPr&gt;&lt;w:rPr&gt;&lt;w:rFonts w:ascii=&quot;Cambria Math&quot; w:h-ansi=&quot;Times New Roman&quot; w:fareast=&quot;宋体&quot; w:cs=&quot;Times New Roman&quot; w:hint=&quot;default&quot;/&gt;&lt;w:i/&gt;&lt;w:color w:val=&quot;000000&quot;/&gt;&lt;w:sz-cs w:val=&quot;21&quot;/&gt;&lt;/w:rPr&gt;&lt;/m:ctrlPr&gt;&lt;/m:sub&gt;&lt;/m:sSub&gt;&lt;m:r&gt;&lt;w:rPr&gt;&lt;w:rFonts w:ascii=&quot;Cambria Math&quot; w:h-ansi=&quot;Times New Roman&quot; w:fareast=&quot;宋体&quot; w:cs=&quot;Times New Roman&quot; w:hint=&quot;default&quot;/&gt;&lt;w:color w:val=&quot;000000&quot;/&gt;&lt;w:sz-cs w:val=&quot;21&quot;/&gt;&lt;/w:rPr&gt;&lt;m:t&gt;×&lt;/m:t&gt;&lt;/m:r&gt;&lt;m:sSub&gt;&lt;m:sSubPr&gt;&lt;m:ctrlPr&gt;&lt;w:rPr&gt;&lt;w:rFonts w:ascii=&quot;Cambria Math&quot; w:h-ansi=&quot;Times New Roman&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c&lt;/m:t&gt;&lt;/m:r&gt;&lt;m:ctrlPr&gt;&lt;w:rPr&gt;&lt;w:rFonts w:ascii=&quot;Cambria Math&quot; w:h-ansi=&quot;Times New Roman&quot; w:fareast=&quot;宋体&quot; w:cs=&quot;Times New Roman&quot; w:hint=&quot;default&quot;/&gt;&lt;w:i/&gt;&lt;w:color w:val=&quot;000000&quot;/&gt;&lt;w:sz-cs w:val=&quot;21&quot;/&gt;&lt;/w:rPr&gt;&lt;/m:ctrlPr&gt;&lt;/m:sub&gt;&lt;/m:sSub&gt;&lt;m:r&gt;&lt;w:rPr&gt;&lt;w:rFonts w:ascii=&quot;Cambria Math&quot; w:h-ansi=&quot;Times New Roman&quot; w:fareast=&quot;宋体&quot; w:cs=&quot;Times New Roman&quot; w:hint=&quot;default&quot;/&gt;&lt;w:color w:val=&quot;000000&quot;/&gt;&lt;w:sz-cs w:val=&quot;21&quot;/&gt;&lt;/w:rPr&gt;&lt;m:t&gt;×&lt;/m:t&gt;&lt;/m:r&gt;&lt;m:sSup&gt;&lt;m:sSupPr&gt;&lt;m:ctrlPr&gt;&lt;w:rPr&gt;&lt;w:rFonts w:ascii=&quot;Cambria Math&quot; w:h-ansi=&quot;Times New Roman&quot; w:fareast=&quot;宋体&quot; w:cs=&quot;Times New Roman&quot; w:hint=&quot;default&quot;/&gt;&lt;w:i/&gt;&lt;w:color w:val=&quot;000000&quot;/&gt;&lt;w:sz-cs w:val=&quot;21&quot;/&gt;&lt;/w:rPr&gt;&lt;/m:ctrlPr&gt;&lt;/m:sSupPr&gt;&lt;m:e&gt;&lt;m:r&gt;&lt;w:rPr&gt;&lt;w:rFonts w:ascii=&quot;Cambria Math&quot; w:h-ansi=&quot;Times New Roman&quot; w:fareast=&quot;宋体&quot; w:cs=&quot;Times New Roman&quot; w:hint=&quot;default&quot;/&gt;&lt;w:color w:val=&quot;000000&quot;/&gt;&lt;w:sz-cs w:val=&quot;21&quot;/&gt;&lt;/w:rPr&gt;&lt;m:t&gt;10&lt;/m:t&gt;&lt;/m:r&gt;&lt;m:ctrlPr&gt;&lt;w:rPr&gt;&lt;w:rFonts w:ascii=&quot;Cambria Math&quot; w:h-ansi=&quot;Times New Roman&quot; w:fareast=&quot;宋体&quot; w:cs=&quot;Times New Roman&quot; w:hint=&quot;default&quot;/&gt;&lt;w:i/&gt;&lt;w:color w:val=&quot;000000&quot;/&gt;&lt;w:sz-cs w:val=&quot;21&quot;/&gt;&lt;/w:rPr&gt;&lt;/m:ctrlPr&gt;&lt;/m:e&gt;&lt;m:sup&gt;&lt;m:r&gt;&lt;w:rPr&gt;&lt;w:rFonts w:ascii=&quot;Times New Roman&quot; w:h-ansi=&quot;Times New Roman&quot; w:fareast=&quot;宋体&quot; w:cs=&quot;Times New Roman&quot; w:hint=&quot;default&quot;/&gt;&lt;w:color w:val=&quot;000000&quot;/&gt;&lt;w:sz-cs w:val=&quot;21&quot;/&gt;&lt;/w:rPr&gt;&lt;m:t&gt;-&lt;/m:t&gt;&lt;/m:r&gt;&lt;m:r&gt;&lt;w:rPr&gt;&lt;w:rFonts w:ascii=&quot;Cambria Math&quot; w:h-ansi=&quot;Times New Roman&quot; w:fareast=&quot;宋体&quot; w:cs=&quot;Times New Roman&quot; w:hint=&quot;default&quot;/&gt;&lt;w:color w:val=&quot;000000&quot;/&gt;&lt;w:sz-cs w:val=&quot;21&quot;/&gt;&lt;/w:rPr&gt;&lt;m:t&gt;3&lt;/m:t&gt;&lt;/m:r&gt;&lt;m:ctrlPr&gt;&lt;w:rPr&gt;&lt;w:rFonts w:ascii=&quot;Cambria Math&quot; w:h-ansi=&quot;Times New Roman&quot; w:fareast=&quot;宋体&quot; w:cs=&quot;Times New Roman&quot; w:hint=&quot;default&quot;/&gt;&lt;w:i/&gt;&lt;w:color w:val=&quot;000000&quot;/&gt;&lt;w:sz-cs w:val=&quot;21&quot;/&gt;&lt;/w:rPr&gt;&lt;/m:ctrlPr&gt;&lt;/m:sup&gt;&lt;/m:sSup&gt;&lt;m:ctrlPr&gt;&lt;w:rPr&gt;&lt;w:rFonts w:ascii=&quot;Cambria Math&quot; w:h-ansi=&quot;Times New Roman&quot; w:fareast=&quot;宋体&quot; w:cs=&quot;Times New Roman&quot; w:hint=&quot;default&quot;/&gt;&lt;w:i/&gt;&lt;w:color w:val=&quot;000000&quot;/&gt;&lt;w:sz-cs w:val=&quot;21&quot;/&gt;&lt;/w:rPr&gt;&lt;/m:ctrlPr&gt;&lt;/m:num&gt;&lt;m:den&gt;&lt;m:sSub&gt;&lt;m:sSubPr&gt;&lt;m:ctrlPr&gt;&lt;w:rPr&gt;&lt;w:rFonts w:ascii=&quot;Cambria Math&quot; w:h-ansi=&quot;Times New Roman&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Q&lt;/m:t&gt;&lt;/m:r&gt;&lt;m:ctrlPr&gt;&lt;w:rPr&gt;&lt;w:rFonts w:ascii=&quot;Cambria Math&quot; w:h-ansi=&quot;Times New Roman&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bz&lt;/m:t&gt;&lt;/m:r&gt;&lt;m:ctrlPr&gt;&lt;w:rPr&gt;&lt;w:rFonts w:ascii=&quot;Cambria Math&quot; w:h-ansi=&quot;Times New Roman&quot; w:fareast=&quot;宋体&quot; w:cs=&quot;Times New Roman&quot; w:hint=&quot;default&quot;/&gt;&lt;w:i/&gt;&lt;w:color w:val=&quot;000000&quot;/&gt;&lt;w:sz-cs w:val=&quot;21&quot;/&gt;&lt;/w:rPr&gt;&lt;/m:ctrlPr&gt;&lt;/m:sub&gt;&lt;/m:sSub&gt;&lt;m:ctrlPr&gt;&lt;w:rPr&gt;&lt;w:rFonts w:ascii=&quot;Cambria Math&quot; w:h-ansi=&quot;Times New Roman&quot; w:fareast=&quot;宋体&quot; w:cs=&quot;Times New Roman&quot; w:hint=&quot;default&quot;/&gt;&lt;w:i/&gt;&lt;w:color w:val=&quot;000000&quot;/&gt;&lt;w:sz-cs w:val=&quot;21&quot;/&gt;&lt;/w:rPr&gt;&lt;/m:ctrlPr&gt;&lt;/m:den&gt;&lt;/m:f&gt;&lt;/m:oMath&gt;&lt;/m:oMathPara&gt;&lt;/w:p&gt;&lt;/wx:sect&gt;&lt;/w:body&gt;&lt;/w:wordDocument&gt;" o:preferrelative="t" filled="f" stroked="f">
            <v:fill o:detectmouseclick="t"/>
            <v:stroke linestyle="single"/>
            <v:imagedata r:id="rId76" o:title=""/>
            <v:path o:extrusionok="f"/>
            <o:lock v:ext="edit" aspectratio="f"/>
          </v:shape>
        </w:pict>
      </w:r>
      <w:r>
        <w:rPr>
          <w:rFonts w:ascii="宋体" w:eastAsia="宋体" w:hAnsi="宋体" w:cs="宋体" w:hint="eastAsia"/>
          <w:color w:val="000000"/>
          <w:szCs w:val="21"/>
        </w:rPr>
        <w:pict>
          <v:shape id="图片 104" o:spid="_x0000_i1047" type="#_x0000_t75" style="width:95.73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spaceForUL/&gt;&lt;w:wrapTextWithPunct/&gt;&lt;w:breakWrappedTables/&gt;&lt;w:useAsianBreakRules/&gt;&lt;w:dontGrowAutofit/&gt;&lt;w:useFELayout/&gt;&lt;/w:compat&gt;&lt;/w:docPr&gt;&lt;w:body&gt;&lt;wx:sect&gt;&lt;w:p&gt;&lt;m:oMathPara&gt;&lt;m:oMath&gt;&lt;m:r&gt;&lt;m:rPr&gt;&lt;m:sty m:val=&quot;p&quot;/&gt;&lt;/m:rPr&gt;&lt;w:rPr&gt;&lt;w:rFonts w:ascii=&quot;Cambria Math&quot; w:h-ansi=&quot;Cambria Math&quot; w:fareast=&quot;宋体&quot; w:cs=&quot;Times New Roman&quot; w:hint=&quot;default&quot;/&gt;&lt;w:color w:val=&quot;000000&quot;/&gt;&lt;w:sz-cs w:val=&quot;21&quot;/&gt;&lt;/w:rPr&gt;&lt;m:t&gt;COD&lt;/m:t&gt;&lt;/m:r&gt;&lt;m:r&gt;&lt;w:rPr&gt;&lt;w:rFonts w:ascii=&quot;Cambria Math&quot; w:h-ansi=&quot;Cambria Math&quot; w:fareast=&quot;宋体&quot; w:cs=&quot;Times New Roman&quot; w:hint=&quot;default&quot;/&gt;&lt;w:color w:val=&quot;000000&quot;/&gt;&lt;w:sz-cs w:val=&quot;21&quot;/&gt;&lt;/w:rPr&gt;&lt;m:t&gt;=&lt;/m:t&gt;&lt;/m:r&gt;&lt;m:f&gt;&lt;m:fPr&gt;&lt;m:ctrlPr&gt;&lt;w:rPr&gt;&lt;w:rFonts w:ascii=&quot;Cambria Math&quot; w:h-ansi=&quot;Cambria Math&quot; w:fareast=&quot;宋体&quot; w:cs=&quot;Times New Roman&quot; w:hint=&quot;default&quot;/&gt;&lt;w:i/&gt;&lt;w:color w:val=&quot;000000&quot;/&gt;&lt;w:sz-cs w:val=&quot;21&quot;/&gt;&lt;/w:rPr&gt;&lt;/m:ctrlPr&gt;&lt;/m:fPr&gt;&lt;m:num&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C&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i&lt;/m:t&gt;&lt;/m:r&gt;&lt;m:ctrlPr&gt;&lt;w:rPr&gt;&lt;w:rFonts w:ascii=&quot;Cambria Math&quot; w:h-ansi=&quot;Cambria Math&quot; w:fareast=&quot;宋体&quot; w:cs=&quot;Times New Roman&quot; w:hint=&quot;default&quot;/&gt;&lt;w:i/&gt;&lt;w:color w:val=&quot;000000&quot;/&gt;&lt;w:sz-cs w:val=&quot;21&quot;/&gt;&lt;/w:rPr&gt;&lt;/m:ctrlPr&gt;&lt;/m:sub&gt;&lt;/m:sSub&gt;&lt;m:r&gt;&lt;w:rPr&gt;&lt;w:rFonts w:ascii=&quot;Cambria Math&quot; w:h-ansi=&quot;Cambria Math&quot; w:fareast=&quot;宋体&quot; w:cs=&quot;Times New Roman&quot; w:hint=&quot;default&quot;/&gt;&lt;w:color w:val=&quot;000000&quot;/&gt;&lt;w:sz-cs w:val=&quot;21&quot;/&gt;&lt;/w:rPr&gt;&lt;m:t&gt;×&lt;/m:t&gt;&lt;/m:r&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V&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c&lt;/m:t&gt;&lt;/m:r&gt;&lt;m:ctrlPr&gt;&lt;w:rPr&gt;&lt;w:rFonts w:ascii=&quot;Cambria Math&quot; w:h-ansi=&quot;Cambria Math&quot; w:fareast=&quot;宋体&quot; w:cs=&quot;Times New Roman&quot; w:hint=&quot;default&quot;/&gt;&lt;w:i/&gt;&lt;w:color w:val=&quot;000000&quot;/&gt;&lt;w:sz-cs w:val=&quot;21&quot;/&gt;&lt;/w:rPr&gt;&lt;/m:ctrlPr&gt;&lt;/m:sub&gt;&lt;/m:sSub&gt;&lt;m:r&gt;&lt;w:rPr&gt;&lt;w:rFonts w:ascii=&quot;Cambria Math&quot; w:h-ansi=&quot;Cambria Math&quot; w:fareast=&quot;宋体&quot; w:cs=&quot;Times New Roman&quot; w:hint=&quot;default&quot;/&gt;&lt;w:color w:val=&quot;000000&quot;/&gt;&lt;w:sz-cs w:val=&quot;21&quot;/&gt;&lt;/w:rPr&gt;&lt;m:t&gt;×&lt;/m:t&gt;&lt;/m:r&gt;&lt;m:sSup&gt;&lt;m:sSupPr&gt;&lt;m:ctrlPr&gt;&lt;w:rPr&gt;&lt;w:rFonts w:ascii=&quot;Cambria Math&quot; w:h-ansi=&quot;Cambria Math&quot; w:fareast=&quot;宋体&quot; w:cs=&quot;Times New Roman&quot; w:hint=&quot;default&quot;/&gt;&lt;w:i/&gt;&lt;w:color w:val=&quot;000000&quot;/&gt;&lt;w:sz-cs w:val=&quot;21&quot;/&gt;&lt;/w:rPr&gt;&lt;/m:ctrlPr&gt;&lt;/m:sSupPr&gt;&lt;m:e&gt;&lt;m:r&gt;&lt;w:rPr&gt;&lt;w:rFonts w:ascii=&quot;Cambria Math&quot; w:h-ansi=&quot;Cambria Math&quot; w:fareast=&quot;宋体&quot; w:cs=&quot;Times New Roman&quot; w:hint=&quot;default&quot;/&gt;&lt;w:color w:val=&quot;000000&quot;/&gt;&lt;w:sz-cs w:val=&quot;21&quot;/&gt;&lt;/w:rPr&gt;&lt;m:t&gt;10&lt;/m:t&gt;&lt;/m:r&gt;&lt;m:ctrlPr&gt;&lt;w:rPr&gt;&lt;w:rFonts w:ascii=&quot;Cambria Math&quot; w:h-ansi=&quot;Cambria Math&quot; w:fareast=&quot;宋体&quot; w:cs=&quot;Times New Roman&quot; w:hint=&quot;default&quot;/&gt;&lt;w:i/&gt;&lt;w:color w:val=&quot;000000&quot;/&gt;&lt;w:sz-cs w:val=&quot;21&quot;/&gt;&lt;/w:rPr&gt;&lt;/m:ctrlPr&gt;&lt;/m:e&gt;&lt;m:sup&gt;&lt;m:r&gt;&lt;w:rPr&gt;&lt;w:rFonts w:ascii=&quot;Cambria Math&quot; w:h-ansi=&quot;Cambria Math&quot; w:fareast=&quot;宋体&quot; w:cs=&quot;Times New Roman&quot; w:hint=&quot;default&quot;/&gt;&lt;w:color w:val=&quot;000000&quot;/&gt;&lt;w:sz-cs w:val=&quot;21&quot;/&gt;&lt;/w:rPr&gt;&lt;m:t&gt;-3&lt;/m:t&gt;&lt;/m:r&gt;&lt;m:ctrlPr&gt;&lt;w:rPr&gt;&lt;w:rFonts w:ascii=&quot;Cambria Math&quot; w:h-ansi=&quot;Cambria Math&quot; w:fareast=&quot;宋体&quot; w:cs=&quot;Times New Roman&quot; w:hint=&quot;default&quot;/&gt;&lt;w:i/&gt;&lt;w:color w:val=&quot;000000&quot;/&gt;&lt;w:sz-cs w:val=&quot;21&quot;/&gt;&lt;/w:rPr&gt;&lt;/m:ctrlPr&gt;&lt;/m:sup&gt;&lt;/m:sSup&gt;&lt;m:ctrlPr&gt;&lt;w:rPr&gt;&lt;w:rFonts w:ascii=&quot;Cambria Math&quot; w:h-ansi=&quot;Cambria Math&quot; w:fareast=&quot;宋体&quot; w:cs=&quot;Times New Roman&quot; w:hint=&quot;default&quot;/&gt;&lt;w:i/&gt;&lt;w:color w:val=&quot;000000&quot;/&gt;&lt;w:sz-cs w:val=&quot;21&quot;/&gt;&lt;/w:rPr&gt;&lt;/m:ctrlPr&gt;&lt;/m:num&gt;&lt;m:den&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Q&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bz&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den&gt;&lt;/m:f&gt;&lt;/m:oMath&gt;&lt;/m:oMathPara&gt;&lt;/w:p&gt;&lt;/wx:sect&gt;&lt;/w:body&gt;&lt;/w:wordDocument&gt;" o:preferrelative="t" filled="f" stroked="f">
            <v:stroke linestyle="single"/>
            <v:imagedata r:id="rId77" o:title=""/>
            <v:path o:extrusionok="f"/>
            <o:lock v:ext="edit" aspectratio="f"/>
          </v:shape>
        </w:pict>
      </w:r>
      <w:r>
        <w:rPr>
          <w:rFonts w:ascii="Times New Roman" w:hAnsi="Times New Roman"/>
          <w:color w:val="000000"/>
          <w:szCs w:val="21"/>
        </w:rPr>
        <w:t xml:space="preserve">   </w:t>
      </w:r>
      <w:r>
        <w:rPr>
          <w:rFonts w:ascii="宋体" w:hAnsi="宋体"/>
          <w:color w:val="000000"/>
          <w:szCs w:val="21"/>
        </w:rPr>
        <w:t>…………………………………………</w:t>
      </w:r>
      <w:r>
        <w:rPr>
          <w:rFonts w:ascii="Times New Roman" w:hAnsi="Times New Roman"/>
          <w:color w:val="000000"/>
          <w:szCs w:val="21"/>
        </w:rPr>
        <w:t xml:space="preserve"> </w:t>
      </w:r>
      <w:r>
        <w:rPr>
          <w:rFonts w:ascii="Times New Roman" w:hAnsi="宋体"/>
          <w:color w:val="000000"/>
          <w:szCs w:val="21"/>
        </w:rPr>
        <w:t>（</w:t>
      </w:r>
      <w:r>
        <w:rPr>
          <w:rFonts w:ascii="Times New Roman" w:hAnsi="Times New Roman"/>
          <w:color w:val="000000"/>
          <w:szCs w:val="21"/>
        </w:rPr>
        <w:t>A.5</w:t>
      </w:r>
      <w:r>
        <w:rPr>
          <w:rFonts w:ascii="Times New Roman" w:hAnsi="宋体"/>
          <w:color w:val="000000"/>
          <w:szCs w:val="21"/>
        </w:rPr>
        <w:t>）</w:t>
      </w:r>
    </w:p>
    <w:p>
      <w:pPr>
        <w:ind w:firstLine="420" w:firstLineChars="200"/>
        <w:rPr>
          <w:rFonts w:ascii="Times New Roman" w:hAnsi="Times New Roman"/>
          <w:color w:val="000000"/>
          <w:szCs w:val="21"/>
        </w:rPr>
      </w:pPr>
      <w:r>
        <w:rPr>
          <w:rFonts w:ascii="Times New Roman" w:hAnsi="宋体"/>
          <w:color w:val="000000"/>
          <w:szCs w:val="21"/>
        </w:rPr>
        <w:t>式中：</w:t>
      </w:r>
      <w:r>
        <w:rPr>
          <w:rFonts w:ascii="Times New Roman" w:hAnsi="Times New Roman"/>
          <w:color w:val="000000"/>
          <w:szCs w:val="21"/>
        </w:rPr>
        <w:pict>
          <v:shape id="图片 17" o:spid="_x0000_i1048" type="#_x0000_t75" style="width:40.66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r&gt;&lt;m:rPr&gt;&lt;m:sty m:val=&quot;p&quot;/&gt;&lt;/m:rPr&gt;&lt;w:rPr&gt;&lt;w:rFonts w:ascii=&quot;Cambria Math&quot; w:h-ansi=&quot;Times New Roman&quot; w:fareast=&quot;宋体&quot; w:cs=&quot;Times New Roman&quot; w:hint=&quot;default&quot;/&gt;&lt;w:color w:val=&quot;000000&quot;/&gt;&lt;w:sz-cs w:val=&quot;21&quot;/&gt;&lt;/w:rPr&gt;&lt;m:t&gt;COD&lt;/m:t&gt;&lt;/m:r&gt;&lt;/m:oMath&gt;&lt;/m:oMathPara&gt;&lt;/w:p&gt;&lt;/wx:sect&gt;&lt;/w:body&gt;&lt;/w:wordDocument&gt;" o:preferrelative="t" filled="f" stroked="f">
            <v:fill o:detectmouseclick="t"/>
            <v:stroke linestyle="single"/>
            <v:imagedata r:id="rId78" o:title=""/>
            <v:path o:extrusionok="f"/>
            <o:lock v:ext="edit" aspectratio="f"/>
          </v:shape>
        </w:pict>
      </w:r>
      <w:r>
        <w:rPr>
          <w:rFonts w:ascii="Times New Roman" w:hAnsi="Times New Roman"/>
          <w:color w:val="000000"/>
          <w:szCs w:val="21"/>
        </w:rPr>
        <w:t>——</w:t>
      </w:r>
      <w:r>
        <w:rPr>
          <w:rFonts w:ascii="Times New Roman" w:hAnsi="宋体"/>
          <w:color w:val="000000"/>
          <w:szCs w:val="21"/>
        </w:rPr>
        <w:t>单位产品化学需氧量产生量，</w:t>
      </w:r>
      <w:r>
        <w:rPr>
          <w:rFonts w:ascii="Times New Roman" w:hAnsi="Times New Roman"/>
          <w:color w:val="000000"/>
          <w:szCs w:val="21"/>
        </w:rPr>
        <w:t>kg/10</w:t>
      </w:r>
      <w:r>
        <w:rPr>
          <w:rFonts w:ascii="Times New Roman" w:hAnsi="Times New Roman"/>
          <w:color w:val="000000"/>
          <w:szCs w:val="21"/>
          <w:vertAlign w:val="superscript"/>
        </w:rPr>
        <w:t xml:space="preserve">4 </w:t>
      </w:r>
      <w:r>
        <w:rPr>
          <w:rFonts w:ascii="Times New Roman" w:hAnsi="Times New Roman"/>
          <w:color w:val="000000"/>
          <w:szCs w:val="21"/>
        </w:rPr>
        <w:t>m</w:t>
      </w:r>
      <w:r>
        <w:rPr>
          <w:rFonts w:ascii="Times New Roman" w:hAnsi="宋体"/>
          <w:color w:val="000000"/>
          <w:szCs w:val="21"/>
        </w:rPr>
        <w:t>；</w:t>
      </w:r>
    </w:p>
    <w:p>
      <w:pPr>
        <w:ind w:firstLine="420" w:firstLineChars="200"/>
        <w:rPr>
          <w:rFonts w:ascii="Times New Roman" w:hAnsi="Times New Roman"/>
          <w:color w:val="000000"/>
          <w:szCs w:val="21"/>
        </w:rPr>
      </w:pPr>
      <w:r>
        <w:rPr>
          <w:rFonts w:ascii="Times New Roman" w:hAnsi="Times New Roman"/>
          <w:color w:val="000000"/>
          <w:szCs w:val="21"/>
        </w:rPr>
        <w:t xml:space="preserve">      </w:t>
      </w:r>
      <w:r>
        <w:rPr>
          <w:rFonts w:ascii="Times New Roman" w:hAnsi="Times New Roman"/>
          <w:color w:val="000000"/>
          <w:szCs w:val="21"/>
        </w:rPr>
        <w:pict>
          <v:shape id="图片 18" o:spid="_x0000_i1049" type="#_x0000_t75" style="width:28.54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c&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i&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79"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在一定计量时间内，各生产环节化学需氧量产生浓度实测加权值，</w:t>
      </w:r>
      <w:r>
        <w:rPr>
          <w:rFonts w:ascii="Times New Roman" w:hAnsi="Times New Roman"/>
          <w:color w:val="000000"/>
          <w:szCs w:val="21"/>
        </w:rPr>
        <w:t>mg/L</w:t>
      </w:r>
      <w:r>
        <w:rPr>
          <w:rFonts w:ascii="Times New Roman" w:hAnsi="宋体"/>
          <w:color w:val="000000"/>
          <w:szCs w:val="21"/>
        </w:rPr>
        <w:t>；</w:t>
      </w:r>
    </w:p>
    <w:p>
      <w:pPr>
        <w:ind w:firstLine="840" w:firstLineChars="400"/>
        <w:rPr>
          <w:rFonts w:ascii="Times New Roman" w:hAnsi="Times New Roman"/>
          <w:color w:val="000000"/>
          <w:szCs w:val="21"/>
        </w:rPr>
      </w:pPr>
      <w:r>
        <w:rPr>
          <w:rFonts w:ascii="Times New Roman" w:hAnsi="Times New Roman"/>
          <w:color w:val="000000"/>
          <w:szCs w:val="21"/>
        </w:rPr>
        <w:t xml:space="preserve">  </w:t>
      </w:r>
      <w:r>
        <w:rPr>
          <w:rFonts w:ascii="Times New Roman" w:hAnsi="Times New Roman"/>
          <w:color w:val="000000"/>
          <w:szCs w:val="21"/>
        </w:rPr>
        <w:pict>
          <v:shape id="图片 19" o:spid="_x0000_i1050" type="#_x0000_t75" style="width:52.37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V&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c&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80"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在一定计量时间内，企业生产废水产生量，</w:t>
      </w:r>
      <w:r>
        <w:rPr>
          <w:rFonts w:ascii="Times New Roman" w:hAnsi="Times New Roman"/>
          <w:color w:val="000000"/>
          <w:szCs w:val="21"/>
        </w:rPr>
        <w:t>m³</w:t>
      </w:r>
      <w:r>
        <w:rPr>
          <w:rFonts w:ascii="Times New Roman" w:hAnsi="宋体"/>
          <w:color w:val="000000"/>
          <w:szCs w:val="21"/>
        </w:rPr>
        <w:t>；</w:t>
      </w:r>
    </w:p>
    <w:p>
      <w:pPr>
        <w:ind w:firstLine="945" w:firstLineChars="450"/>
        <w:rPr>
          <w:rFonts w:ascii="Times New Roman" w:hAnsi="Times New Roman"/>
          <w:color w:val="000000"/>
          <w:szCs w:val="21"/>
        </w:rPr>
        <w:sectPr>
          <w:headerReference w:type="even" r:id="rId81"/>
          <w:headerReference w:type="default" r:id="rId82"/>
          <w:footerReference w:type="even" r:id="rId83"/>
          <w:footerReference w:type="default" r:id="rId84"/>
          <w:headerReference w:type="first" r:id="rId85"/>
          <w:footerReference w:type="first" r:id="rId86"/>
          <w:type w:val="nextPage"/>
          <w:pgSz w:w="11906" w:h="16838"/>
          <w:pgMar w:top="1218" w:right="1134" w:bottom="1134" w:left="1418" w:header="851" w:footer="992" w:gutter="0"/>
          <w:pgNumType w:fmt="numberInDash" w:start="9"/>
          <w:cols w:space="708"/>
          <w:titlePg w:val="0"/>
          <w:docGrid w:type="lines" w:linePitch="312"/>
        </w:sectPr>
      </w:pPr>
      <w:r>
        <w:rPr>
          <w:rFonts w:ascii="Times New Roman" w:hAnsi="Times New Roman"/>
          <w:color w:val="000000"/>
          <w:szCs w:val="21"/>
        </w:rPr>
        <w:t xml:space="preserve"> </w:t>
      </w:r>
      <w:r>
        <w:rPr>
          <w:rFonts w:ascii="Times New Roman" w:hAnsi="Times New Roman"/>
          <w:color w:val="000000"/>
          <w:szCs w:val="21"/>
        </w:rPr>
        <w:pict>
          <v:shape id="图片 20" o:spid="_x0000_i1051" type="#_x0000_t75" style="width:62.39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Q&lt;/m:t&gt;&lt;/m:r&gt;&lt;m:ctrlPr&gt;&lt;w:rPr&gt;&lt;w:rFonts w:ascii=&quot;Cambria Math&quot; w:h-ansi=&quot;Times New Roman&quot; w:fareast=&quot;宋体&quot; w:cs=&quot;Times New Roman&quot; w:hint=&quot;default&quot;/&gt;&lt;w:color w:val=&quot;000000&quot;/&gt;&lt;w:sz-cs w:val=&quot;21&quot;/&gt;&lt;/w:rPr&gt;&lt;/m:ctrlPr&gt;&lt;/m:e&gt;&lt;m:sub&gt;&lt;m:r&gt;&lt;w:rPr&gt;&lt;w:rFonts w:ascii=&quot;Cambria Math&quot; w:h-ansi=&quot;Times New Roman&quot; w:fareast=&quot;宋体&quot; w:cs=&quot;Times New Roman&quot; w:hint=&quot;default&quot;/&gt;&lt;w:color w:val=&quot;000000&quot;/&gt;&lt;w:sz-cs w:val=&quot;21&quot;/&gt;&lt;/w:rPr&gt;&lt;m:t&gt;bz&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87"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w:t>
      </w:r>
      <w:r>
        <w:rPr>
          <w:rFonts w:ascii="宋体" w:eastAsia="宋体" w:hAnsi="宋体" w:cs="宋体" w:hint="eastAsia"/>
          <w:szCs w:val="21"/>
          <w:lang w:val="en-US" w:eastAsia="zh-CN"/>
        </w:rPr>
        <w:t>水性超细纤维聚氨酯合成革</w:t>
      </w:r>
      <w:r>
        <w:rPr>
          <w:rFonts w:ascii="Times New Roman" w:hAnsi="宋体"/>
          <w:color w:val="000000"/>
          <w:szCs w:val="21"/>
        </w:rPr>
        <w:t>标准品产量，</w:t>
      </w:r>
      <w:r>
        <w:rPr>
          <w:rFonts w:ascii="Times New Roman" w:hAnsi="Times New Roman"/>
          <w:color w:val="000000"/>
          <w:szCs w:val="21"/>
        </w:rPr>
        <w:t>10</w:t>
      </w:r>
      <w:r>
        <w:rPr>
          <w:rFonts w:ascii="Times New Roman" w:hAnsi="Times New Roman"/>
          <w:color w:val="000000"/>
          <w:szCs w:val="21"/>
          <w:vertAlign w:val="superscript"/>
        </w:rPr>
        <w:t xml:space="preserve">4 </w:t>
      </w:r>
      <w:r>
        <w:rPr>
          <w:rFonts w:ascii="Times New Roman" w:hAnsi="Times New Roman"/>
          <w:color w:val="000000"/>
          <w:szCs w:val="21"/>
        </w:rPr>
        <w:t>m</w:t>
      </w:r>
      <w:r>
        <w:rPr>
          <w:rFonts w:ascii="Times New Roman" w:hAnsi="宋体"/>
          <w:color w:val="000000"/>
          <w:szCs w:val="21"/>
        </w:rPr>
        <w:t>。</w:t>
      </w:r>
    </w:p>
    <w:p>
      <w:pPr>
        <w:spacing w:before="156" w:beforeLines="50" w:after="156" w:afterLines="50"/>
        <w:rPr>
          <w:rFonts w:ascii="黑体" w:eastAsia="黑体" w:hAnsi="黑体"/>
          <w:color w:val="000000"/>
          <w:szCs w:val="21"/>
        </w:rPr>
      </w:pPr>
      <w:r>
        <w:rPr>
          <w:rFonts w:ascii="黑体" w:eastAsia="黑体" w:hAnsi="黑体"/>
          <w:color w:val="000000"/>
          <w:szCs w:val="21"/>
        </w:rPr>
        <w:t>A.6  单位产品挥发性有机物产生量</w:t>
      </w:r>
    </w:p>
    <w:p>
      <w:pPr>
        <w:ind w:firstLine="420" w:firstLineChars="200"/>
        <w:rPr>
          <w:rFonts w:ascii="Times New Roman" w:hAnsi="宋体"/>
          <w:color w:val="000000"/>
          <w:szCs w:val="21"/>
        </w:rPr>
      </w:pPr>
      <w:r>
        <w:rPr>
          <w:rFonts w:ascii="Times New Roman" w:hAnsi="宋体"/>
          <w:color w:val="000000"/>
          <w:szCs w:val="21"/>
        </w:rPr>
        <w:t>指</w:t>
      </w:r>
      <w:r>
        <w:rPr>
          <w:rFonts w:ascii="宋体" w:eastAsia="宋体" w:hAnsi="宋体" w:cs="宋体" w:hint="eastAsia"/>
          <w:szCs w:val="21"/>
          <w:lang w:val="en-US" w:eastAsia="zh-CN"/>
        </w:rPr>
        <w:t>水性超细纤维聚氨酯合成革</w:t>
      </w:r>
      <w:r>
        <w:rPr>
          <w:rFonts w:ascii="Times New Roman" w:hAnsi="宋体"/>
          <w:color w:val="000000"/>
          <w:szCs w:val="21"/>
        </w:rPr>
        <w:t>烘干等工序所产生的挥发性有机物的量，单位产品挥发性有机物产生量按公式</w:t>
      </w:r>
      <w:r>
        <w:rPr>
          <w:rFonts w:ascii="Times New Roman" w:hAnsi="Times New Roman"/>
          <w:color w:val="000000"/>
          <w:szCs w:val="21"/>
        </w:rPr>
        <w:t xml:space="preserve"> A</w:t>
      </w:r>
      <w:r>
        <w:rPr>
          <w:rFonts w:ascii="Times New Roman" w:hAnsi="Times New Roman" w:hint="eastAsia"/>
          <w:color w:val="000000"/>
          <w:szCs w:val="21"/>
        </w:rPr>
        <w:t>.</w:t>
      </w:r>
      <w:r>
        <w:rPr>
          <w:rFonts w:ascii="Times New Roman" w:hAnsi="Times New Roman"/>
          <w:color w:val="000000"/>
          <w:szCs w:val="21"/>
        </w:rPr>
        <w:t xml:space="preserve">6 </w:t>
      </w:r>
      <w:r>
        <w:rPr>
          <w:rFonts w:ascii="Times New Roman" w:hAnsi="宋体"/>
          <w:color w:val="000000"/>
          <w:szCs w:val="21"/>
        </w:rPr>
        <w:t>计算：</w:t>
      </w:r>
    </w:p>
    <w:p>
      <w:pPr>
        <w:ind w:firstLine="420" w:firstLineChars="200"/>
        <w:rPr>
          <w:rFonts w:ascii="Times New Roman" w:hAnsi="宋体"/>
          <w:color w:val="000000"/>
          <w:szCs w:val="21"/>
        </w:rPr>
      </w:pPr>
    </w:p>
    <w:p>
      <w:pPr>
        <w:ind w:firstLine="420" w:firstLineChars="200"/>
        <w:rPr>
          <w:rFonts w:ascii="Times New Roman" w:hAnsi="Times New Roman"/>
          <w:color w:val="000000"/>
          <w:szCs w:val="21"/>
        </w:rPr>
      </w:pPr>
      <w:r>
        <w:rPr>
          <w:rFonts w:ascii="宋体" w:eastAsia="宋体" w:hAnsi="宋体" w:cs="Times New Roman" w:hint="eastAsia"/>
          <w:color w:val="000000"/>
          <w:szCs w:val="21"/>
        </w:rPr>
        <w:pict>
          <v:shape id="图片 110" o:spid="_x0000_i1052" type="#_x0000_t75" style="width:51.05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spaceForUL/&gt;&lt;w:wrapTextWithPunct/&gt;&lt;w:breakWrappedTables/&gt;&lt;w:useAsianBreakRules/&gt;&lt;w:dontGrowAutofit/&gt;&lt;w:useFELayout/&gt;&lt;/w:compat&gt;&lt;/w:docPr&gt;&lt;w:body&gt;&lt;wx:sect&gt;&lt;w:p&gt;&lt;m:oMathPara&gt;&lt;m:oMath&gt;&lt;m:r&gt;&lt;m:rPr&gt;&lt;m:sty m:val=&quot;p&quot;/&gt;&lt;/m:rPr&gt;&lt;w:rPr&gt;&lt;w:rFonts w:ascii=&quot;Cambria Math&quot; w:h-ansi=&quot;Cambria Math&quot; w:fareast=&quot;宋体&quot; w:cs=&quot;Times New Roman&quot; w:hint=&quot;default&quot;/&gt;&lt;w:color w:val=&quot;000000&quot;/&gt;&lt;w:sz-cs w:val=&quot;21&quot;/&gt;&lt;/w:rPr&gt;&lt;m:t&gt;VOCs&lt;/m:t&gt;&lt;/m:r&gt;&lt;m:r&gt;&lt;w:rPr&gt;&lt;w:rFonts w:ascii=&quot;Cambria Math&quot; w:h-ansi=&quot;Cambria Math&quot; w:fareast=&quot;宋体&quot; w:cs=&quot;Times New Roman&quot; w:hint=&quot;default&quot;/&gt;&lt;w:color w:val=&quot;000000&quot;/&gt;&lt;w:sz-cs w:val=&quot;21&quot;/&gt;&lt;/w:rPr&gt;&lt;m:t&gt;=&lt;/m:t&gt;&lt;/m:r&gt;&lt;m:f&gt;&lt;m:fPr&gt;&lt;m:ctrlPr&gt;&lt;w:rPr&gt;&lt;w:rFonts w:ascii=&quot;Cambria Math&quot; w:h-ansi=&quot;Cambria Math&quot; w:fareast=&quot;宋体&quot; w:cs=&quot;Times New Roman&quot; w:hint=&quot;default&quot;/&gt;&lt;w:i/&gt;&lt;w:color w:val=&quot;000000&quot;/&gt;&lt;w:sz-cs w:val=&quot;21&quot;/&gt;&lt;/w:rPr&gt;&lt;/m:ctrlPr&gt;&lt;/m:fPr&gt;&lt;m:num&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G&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voc&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num&gt;&lt;m:den&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Q&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bz&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den&gt;&lt;/m:f&gt;&lt;/m:oMath&gt;&lt;/m:oMathPara&gt;&lt;/w:p&gt;&lt;/wx:sect&gt;&lt;/w:body&gt;&lt;/w:wordDocument&gt;" o:preferrelative="t" filled="f" stroked="f">
            <v:stroke linestyle="single"/>
            <v:imagedata r:id="rId88" o:title=""/>
            <v:path o:extrusionok="f"/>
            <o:lock v:ext="edit" aspectratio="f"/>
          </v:shape>
        </w:pic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pict>
          <v:shape id="图片 109" o:spid="_x0000_i1053" type="#_x0000_t75" style="width:72.07pt;height:31.1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spaceForUL/&gt;&lt;w:wrapTextWithPunct/&gt;&lt;w:breakWrappedTables/&gt;&lt;w:useAsianBreakRules/&gt;&lt;w:dontGrowAutofit/&gt;&lt;w:useFELayout/&gt;&lt;/w:compat&gt;&lt;/w:docPr&gt;&lt;w:body&gt;&lt;wx:sect&gt;&lt;w:p&gt;&lt;m:oMathPara&gt;&lt;m:oMath&gt;&lt;m:r&gt;&lt;m:rPr&gt;&lt;m:sty m:val=&quot;p&quot;/&gt;&lt;/m:rPr&gt;&lt;w:rPr&gt;&lt;w:rFonts w:ascii=&quot;Cambria Math&quot; w:h-ansi=&quot;Cambria Math&quot; w:fareast=&quot;宋体&quot; w:cs=&quot;Times New Roman&quot; w:hint=&quot;default&quot;/&gt;&lt;w:color w:val=&quot;000000&quot;/&gt;&lt;w:sz-cs w:val=&quot;21&quot;/&gt;&lt;/w:rPr&gt;&lt;m:t&gt;VOCs&lt;/m:t&gt;&lt;/m:r&gt;&lt;m:r&gt;&lt;w:rPr&gt;&lt;w:rFonts w:ascii=&quot;Cambria Math&quot; w:h-ansi=&quot;Cambria Math&quot; w:fareast=&quot;宋体&quot; w:cs=&quot;Times New Roman&quot; w:hint=&quot;default&quot;/&gt;&lt;w:color w:val=&quot;000000&quot;/&gt;&lt;w:sz-cs w:val=&quot;21&quot;/&gt;&lt;/w:rPr&gt;&lt;m:t&gt;=&lt;/m:t&gt;&lt;/m:r&gt;&lt;m:f&gt;&lt;m:fPr&gt;&lt;m:ctrlPr&gt;&lt;w:rPr&gt;&lt;w:rFonts w:ascii=&quot;Cambria Math&quot; w:h-ansi=&quot;Cambria Math&quot; w:fareast=&quot;宋体&quot; w:cs=&quot;Times New Roman&quot; w:hint=&quot;default&quot;/&gt;&lt;w:i/&gt;&lt;w:color w:val=&quot;000000&quot;/&gt;&lt;w:sz-cs w:val=&quot;21&quot;/&gt;&lt;/w:rPr&gt;&lt;/m:ctrlPr&gt;&lt;/m:fPr&gt;&lt;m:num&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G&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voc&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num&gt;&lt;m:den&gt;&lt;m:sSub&gt;&lt;m:sSubPr&gt;&lt;m:ctrlPr&gt;&lt;w:rPr&gt;&lt;w:rFonts w:ascii=&quot;Cambria Math&quot; w:h-ansi=&quot;Cambria Math&quot; w:fareast=&quot;宋体&quot; w:cs=&quot;Times New Roman&quot; w:hint=&quot;default&quot;/&gt;&lt;w:i/&gt;&lt;w:color w:val=&quot;000000&quot;/&gt;&lt;w:sz-cs w:val=&quot;21&quot;/&gt;&lt;/w:rPr&gt;&lt;/m:ctrlPr&gt;&lt;/m:sSubPr&gt;&lt;m:e&gt;&lt;m:r&gt;&lt;w:rPr&gt;&lt;w:rFonts w:ascii=&quot;Cambria Math&quot; w:h-ansi=&quot;Cambria Math&quot; w:fareast=&quot;宋体&quot; w:cs=&quot;Times New Roman&quot; w:hint=&quot;default&quot;/&gt;&lt;w:color w:val=&quot;000000&quot;/&gt;&lt;w:sz-cs w:val=&quot;21&quot;/&gt;&lt;/w:rPr&gt;&lt;m:t&gt;Q&lt;/m:t&gt;&lt;/m:r&gt;&lt;m:ctrlPr&gt;&lt;w:rPr&gt;&lt;w:rFonts w:ascii=&quot;Cambria Math&quot; w:h-ansi=&quot;Cambria Math&quot; w:fareast=&quot;宋体&quot; w:cs=&quot;Times New Roman&quot; w:hint=&quot;default&quot;/&gt;&lt;w:i/&gt;&lt;w:color w:val=&quot;000000&quot;/&gt;&lt;w:sz-cs w:val=&quot;21&quot;/&gt;&lt;/w:rPr&gt;&lt;/m:ctrlPr&gt;&lt;/m:e&gt;&lt;m:sub&gt;&lt;m:r&gt;&lt;w:rPr&gt;&lt;w:rFonts w:ascii=&quot;Cambria Math&quot; w:h-ansi=&quot;Cambria Math&quot; w:fareast=&quot;宋体&quot; w:cs=&quot;Times New Roman&quot; w:hint=&quot;default&quot;/&gt;&lt;w:color w:val=&quot;000000&quot;/&gt;&lt;w:sz-cs w:val=&quot;21&quot;/&gt;&lt;/w:rPr&gt;&lt;m:t&gt;bz&lt;/m:t&gt;&lt;/m:r&gt;&lt;m:ctrlPr&gt;&lt;w:rPr&gt;&lt;w:rFonts w:ascii=&quot;Cambria Math&quot; w:h-ansi=&quot;Cambria Math&quot; w:fareast=&quot;宋体&quot; w:cs=&quot;Times New Roman&quot; w:hint=&quot;default&quot;/&gt;&lt;w:i/&gt;&lt;w:color w:val=&quot;000000&quot;/&gt;&lt;w:sz-cs w:val=&quot;21&quot;/&gt;&lt;/w:rPr&gt;&lt;/m:ctrlPr&gt;&lt;/m:sub&gt;&lt;/m:sSub&gt;&lt;m:ctrlPr&gt;&lt;w:rPr&gt;&lt;w:rFonts w:ascii=&quot;Cambria Math&quot; w:h-ansi=&quot;Cambria Math&quot; w:fareast=&quot;宋体&quot; w:cs=&quot;Times New Roman&quot; w:hint=&quot;default&quot;/&gt;&lt;w:i/&gt;&lt;w:color w:val=&quot;000000&quot;/&gt;&lt;w:sz-cs w:val=&quot;21&quot;/&gt;&lt;/w:rPr&gt;&lt;/m:ctrlPr&gt;&lt;/m:den&gt;&lt;/m:f&gt;&lt;/m:oMath&gt;&lt;/m:oMathPara&gt;&lt;/w:p&gt;&lt;/wx:sect&gt;&lt;/w:body&gt;&lt;/w:wordDocument&gt;" o:preferrelative="t" filled="f" stroked="f">
            <v:stroke linestyle="single"/>
            <v:imagedata r:id="rId89" o:title=""/>
            <v:path o:extrusionok="f"/>
            <o:lock v:ext="edit" aspectratio="f"/>
          </v:shape>
        </w:pict>
      </w:r>
      <w:r>
        <w:rPr>
          <w:rFonts w:ascii="宋体" w:eastAsia="宋体" w:hAnsi="宋体" w:cs="Times New Roman" w:hint="eastAsia"/>
          <w:color w:val="000000"/>
          <w:szCs w:val="21"/>
        </w:rPr>
        <w:t xml:space="preserve">       </w:t>
      </w:r>
      <w:r>
        <w:rPr>
          <w:rFonts w:ascii="宋体" w:hAnsi="宋体"/>
          <w:color w:val="000000"/>
          <w:szCs w:val="21"/>
        </w:rPr>
        <w:t>…………………………………………</w:t>
      </w:r>
      <w:r>
        <w:rPr>
          <w:rFonts w:ascii="Times New Roman" w:hAnsi="Times New Roman"/>
          <w:color w:val="000000"/>
          <w:szCs w:val="21"/>
        </w:rPr>
        <w:t xml:space="preserve"> </w:t>
      </w:r>
      <w:r>
        <w:rPr>
          <w:rFonts w:ascii="Times New Roman" w:hAnsi="宋体"/>
          <w:color w:val="000000"/>
          <w:szCs w:val="21"/>
        </w:rPr>
        <w:t>（</w:t>
      </w:r>
      <w:r>
        <w:rPr>
          <w:rFonts w:ascii="Times New Roman" w:hAnsi="Times New Roman"/>
          <w:color w:val="000000"/>
          <w:szCs w:val="21"/>
        </w:rPr>
        <w:t xml:space="preserve"> A.6</w:t>
      </w:r>
      <w:r>
        <w:rPr>
          <w:rFonts w:ascii="Times New Roman" w:hAnsi="宋体"/>
          <w:color w:val="000000"/>
          <w:szCs w:val="21"/>
        </w:rPr>
        <w:t>）</w:t>
      </w:r>
    </w:p>
    <w:p>
      <w:pPr>
        <w:ind w:firstLine="420" w:firstLineChars="200"/>
        <w:rPr>
          <w:rFonts w:ascii="Times New Roman" w:hAnsi="Times New Roman"/>
          <w:color w:val="000000"/>
          <w:szCs w:val="21"/>
        </w:rPr>
      </w:pPr>
      <w:r>
        <w:rPr>
          <w:rFonts w:ascii="宋体" w:eastAsia="宋体" w:hAnsi="宋体" w:cs="Times New Roman" w:hint="eastAsia"/>
          <w:color w:val="000000"/>
          <w:szCs w:val="21"/>
        </w:rPr>
        <w:t xml:space="preserve"> </w:t>
      </w:r>
      <w:r>
        <w:rPr>
          <w:rFonts w:ascii="Times New Roman" w:hAnsi="Times New Roman"/>
          <w:color w:val="000000"/>
          <w:szCs w:val="21"/>
        </w:rPr>
        <w:t xml:space="preserve">  </w:t>
      </w:r>
      <w:r>
        <w:rPr>
          <w:rFonts w:ascii="Times New Roman" w:hAnsi="宋体"/>
          <w:color w:val="000000"/>
          <w:szCs w:val="21"/>
        </w:rPr>
        <w:t>式中：</w:t>
      </w:r>
      <w:r>
        <w:rPr>
          <w:rFonts w:ascii="Times New Roman" w:hAnsi="Times New Roman"/>
          <w:color w:val="000000"/>
          <w:szCs w:val="21"/>
        </w:rPr>
        <w:pict>
          <v:shape id="图片 22" o:spid="_x0000_i1054" type="#_x0000_t75" style="width:44.29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r&gt;&lt;m:rPr&gt;&lt;m:sty m:val=&quot;p&quot;/&gt;&lt;/m:rPr&gt;&lt;w:rPr&gt;&lt;w:rFonts w:ascii=&quot;Cambria Math&quot; w:h-ansi=&quot;Times New Roman&quot; w:fareast=&quot;宋体&quot; w:cs=&quot;Times New Roman&quot; w:hint=&quot;default&quot;/&gt;&lt;w:color w:val=&quot;000000&quot;/&gt;&lt;w:sz-cs w:val=&quot;21&quot;/&gt;&lt;/w:rPr&gt;&lt;m:t&gt;VOCs&lt;/m:t&gt;&lt;/m:r&gt;&lt;/m:oMath&gt;&lt;/m:oMathPara&gt;&lt;/w:p&gt;&lt;/wx:sect&gt;&lt;/w:body&gt;&lt;/w:wordDocument&gt;" o:preferrelative="t" filled="f" stroked="f">
            <v:fill o:detectmouseclick="t"/>
            <v:stroke linestyle="single"/>
            <v:imagedata r:id="rId90" o:title=""/>
            <v:path o:extrusionok="f"/>
            <o:lock v:ext="edit" aspectratio="f"/>
          </v:shape>
        </w:pict>
      </w:r>
      <w:r>
        <w:rPr>
          <w:rFonts w:ascii="Times New Roman" w:hAnsi="Times New Roman"/>
          <w:color w:val="000000"/>
          <w:szCs w:val="21"/>
        </w:rPr>
        <w:t>——</w:t>
      </w:r>
      <w:r>
        <w:rPr>
          <w:rFonts w:ascii="Times New Roman" w:hAnsi="宋体"/>
          <w:color w:val="000000"/>
          <w:szCs w:val="21"/>
        </w:rPr>
        <w:t>单位产品挥发性有机物产生量，</w:t>
      </w:r>
      <w:r>
        <w:rPr>
          <w:rFonts w:ascii="Times New Roman" w:hAnsi="Times New Roman"/>
          <w:color w:val="000000"/>
          <w:szCs w:val="21"/>
        </w:rPr>
        <w:t>kg/10</w:t>
      </w:r>
      <w:r>
        <w:rPr>
          <w:rFonts w:ascii="Times New Roman" w:hAnsi="Times New Roman"/>
          <w:color w:val="000000"/>
          <w:szCs w:val="21"/>
          <w:vertAlign w:val="superscript"/>
        </w:rPr>
        <w:t xml:space="preserve">4 </w:t>
      </w:r>
      <w:r>
        <w:rPr>
          <w:rFonts w:ascii="Times New Roman" w:hAnsi="Times New Roman"/>
          <w:color w:val="000000"/>
          <w:szCs w:val="21"/>
        </w:rPr>
        <w:t>m</w:t>
      </w:r>
      <w:r>
        <w:rPr>
          <w:rFonts w:ascii="Times New Roman" w:hAnsi="宋体"/>
          <w:color w:val="000000"/>
          <w:szCs w:val="21"/>
        </w:rPr>
        <w:t>；</w:t>
      </w:r>
    </w:p>
    <w:p>
      <w:pPr>
        <w:ind w:firstLine="840" w:firstLineChars="400"/>
        <w:rPr>
          <w:rFonts w:ascii="Times New Roman" w:hAnsi="Times New Roman"/>
          <w:color w:val="000000"/>
          <w:szCs w:val="21"/>
        </w:rPr>
      </w:pPr>
      <w:r>
        <w:rPr>
          <w:rFonts w:ascii="Times New Roman" w:hAnsi="Times New Roman"/>
          <w:color w:val="000000"/>
          <w:szCs w:val="21"/>
        </w:rPr>
        <w:t xml:space="preserve">  </w:t>
      </w:r>
      <w:r>
        <w:rPr>
          <w:rFonts w:ascii="Times New Roman" w:hAnsi="Times New Roman"/>
          <w:color w:val="000000"/>
          <w:szCs w:val="21"/>
        </w:rPr>
        <w:pict>
          <v:shape id="图片 23" o:spid="_x0000_i1055" type="#_x0000_t75" style="width:59.9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G&lt;/m:t&gt;&lt;/m:r&gt;&lt;m:ctrlPr&gt;&lt;w:rPr&gt;&lt;w:rFonts w:ascii=&quot;Cambria Math&quot; w:h-ansi=&quot;Times New Roman&quot; w:fareast=&quot;宋体&quot; w:cs=&quot;Times New Roman&quot; w:hint=&quot;default&quot;/&gt;&lt;w:color w:val=&quot;000000&quot;/&gt;&lt;w:sz-cs w:val=&quot;21&quot;/&gt;&lt;/w:rPr&gt;&lt;/m:ctrlPr&gt;&lt;/m:e&gt;&lt;m:sub&gt;&lt;m:r&gt;&lt;m:rPr&gt;&lt;m:sty m:val=&quot;p&quot;/&gt;&lt;/m:rPr&gt;&lt;w:rPr&gt;&lt;w:rFonts w:ascii=&quot;Cambria Math&quot; w:h-ansi=&quot;Times New Roman&quot; w:fareast=&quot;宋体&quot; w:cs=&quot;Times New Roman&quot; w:hint=&quot;default&quot;/&gt;&lt;w:color w:val=&quot;000000&quot;/&gt;&lt;w:sz-cs w:val=&quot;21&quot;/&gt;&lt;/w:rPr&gt;&lt;m:t&gt;voc&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91"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在一定计量时间内，企业的</w:t>
      </w:r>
      <w:r>
        <w:rPr>
          <w:rFonts w:ascii="Times New Roman" w:hAnsi="Times New Roman"/>
          <w:color w:val="000000"/>
          <w:szCs w:val="21"/>
        </w:rPr>
        <w:t xml:space="preserve"> VOCs </w:t>
      </w:r>
      <w:r>
        <w:rPr>
          <w:rFonts w:ascii="Times New Roman" w:hAnsi="宋体"/>
          <w:color w:val="000000"/>
          <w:szCs w:val="21"/>
        </w:rPr>
        <w:t>产生量，</w:t>
      </w:r>
      <w:r>
        <w:rPr>
          <w:rFonts w:ascii="Times New Roman" w:hAnsi="Times New Roman"/>
          <w:color w:val="000000"/>
          <w:szCs w:val="21"/>
        </w:rPr>
        <w:t>kg</w:t>
      </w:r>
      <w:r>
        <w:rPr>
          <w:rFonts w:ascii="Times New Roman" w:hAnsi="宋体"/>
          <w:color w:val="000000"/>
          <w:szCs w:val="21"/>
        </w:rPr>
        <w:t>；</w:t>
      </w:r>
    </w:p>
    <w:p>
      <w:pPr>
        <w:ind w:firstLine="420" w:firstLineChars="200"/>
        <w:rPr>
          <w:rFonts w:ascii="Times New Roman" w:hAnsi="Times New Roman"/>
          <w:color w:val="000000"/>
          <w:szCs w:val="21"/>
        </w:rPr>
      </w:pPr>
      <w:r>
        <w:rPr>
          <w:rFonts w:ascii="Times New Roman" w:hAnsi="Times New Roman"/>
          <w:color w:val="000000"/>
          <w:szCs w:val="21"/>
        </w:rPr>
        <w:t xml:space="preserve">      </w:t>
      </w:r>
      <w:r>
        <w:rPr>
          <w:rFonts w:ascii="Times New Roman" w:hAnsi="Times New Roman"/>
          <w:color w:val="000000"/>
          <w:szCs w:val="21"/>
        </w:rPr>
        <w:pict>
          <v:shape id="图片 24" o:spid="_x0000_i1056" type="#_x0000_t75" style="width:35.99pt;height:15.59pt;mso-position-horizontal-relative:page;mso-position-vertical-relative:page;mso-wrap-style:square"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doNotEmbedSystemFonts/&gt;&lt;w:bordersDontSurroundHeader/&gt;&lt;w:bordersDontSurroundFooter/&gt;&lt;w:defaultTabStop w:val=&quot;420&quot;/&gt;&lt;w:drawingGridHorizontalSpacing w:val=&quot;105&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gt;&lt;m:sSubPr&gt;&lt;m:ctrlPr&gt;&lt;w:rPr&gt;&lt;w:rFonts w:ascii=&quot;Cambria Math&quot; w:h-ansi=&quot;Times New Roman&quot; w:fareast=&quot;宋体&quot; w:cs=&quot;Times New Roman&quot; w:hint=&quot;default&quot;/&gt;&lt;w:color w:val=&quot;000000&quot;/&gt;&lt;w:sz-cs w:val=&quot;21&quot;/&gt;&lt;/w:rPr&gt;&lt;/m:ctrlPr&gt;&lt;/m:sSubPr&gt;&lt;m:e&gt;&lt;m:r&gt;&lt;w:rPr&gt;&lt;w:rFonts w:ascii=&quot;Cambria Math&quot; w:h-ansi=&quot;Times New Roman&quot; w:fareast=&quot;宋体&quot; w:cs=&quot;Times New Roman&quot; w:hint=&quot;default&quot;/&gt;&lt;w:color w:val=&quot;000000&quot;/&gt;&lt;w:sz-cs w:val=&quot;21&quot;/&gt;&lt;/w:rPr&gt;&lt;m:t&gt;Q&lt;/m:t&gt;&lt;/m:r&gt;&lt;m:ctrlPr&gt;&lt;w:rPr&gt;&lt;w:rFonts w:ascii=&quot;Cambria Math&quot; w:h-ansi=&quot;Times New Roman&quot; w:fareast=&quot;宋体&quot; w:cs=&quot;Times New Roman&quot; w:hint=&quot;default&quot;/&gt;&lt;w:color w:val=&quot;000000&quot;/&gt;&lt;w:sz-cs w:val=&quot;21&quot;/&gt;&lt;/w:rPr&gt;&lt;/m:ctrlPr&gt;&lt;/m:e&gt;&lt;m:sub&gt;&lt;m:r&gt;&lt;m:rPr&gt;&lt;m:sty m:val=&quot;p&quot;/&gt;&lt;/m:rPr&gt;&lt;w:rPr&gt;&lt;w:rFonts w:ascii=&quot;Cambria Math&quot; w:h-ansi=&quot;Times New Roman&quot; w:fareast=&quot;宋体&quot; w:cs=&quot;Times New Roman&quot; w:hint=&quot;default&quot;/&gt;&lt;w:color w:val=&quot;000000&quot;/&gt;&lt;w:sz-cs w:val=&quot;21&quot;/&gt;&lt;/w:rPr&gt;&lt;m:t&gt;bz&lt;/m:t&gt;&lt;/m:r&gt;&lt;m:ctrlPr&gt;&lt;w:rPr&gt;&lt;w:rFonts w:ascii=&quot;Cambria Math&quot; w:h-ansi=&quot;Times New Roman&quot; w:fareast=&quot;宋体&quot; w:cs=&quot;Times New Roman&quot; w:hint=&quot;default&quot;/&gt;&lt;w:color w:val=&quot;000000&quot;/&gt;&lt;w:sz-cs w:val=&quot;21&quot;/&gt;&lt;/w:rPr&gt;&lt;/m:ctrlPr&gt;&lt;/m:sub&gt;&lt;/m:sSub&gt;&lt;/m:oMath&gt;&lt;/m:oMathPara&gt;&lt;/w:p&gt;&lt;/wx:sect&gt;&lt;/w:body&gt;&lt;/w:wordDocument&gt;" o:preferrelative="t" filled="f" stroked="f">
            <v:fill o:detectmouseclick="t"/>
            <v:stroke linestyle="single"/>
            <v:imagedata r:id="rId92" o:title=""/>
            <v:path o:extrusionok="f"/>
            <o:lock v:ext="edit" aspectratio="f"/>
          </v:shape>
        </w:pict>
      </w:r>
      <w:r>
        <w:rPr>
          <w:rFonts w:ascii="Times New Roman" w:hAnsi="Times New Roman"/>
          <w:color w:val="000000"/>
          <w:szCs w:val="21"/>
        </w:rPr>
        <w:t>——</w:t>
      </w:r>
      <w:r>
        <w:rPr>
          <w:rFonts w:ascii="Times New Roman" w:hAnsi="宋体"/>
          <w:color w:val="000000"/>
          <w:szCs w:val="21"/>
        </w:rPr>
        <w:t>在一定计量时间内</w:t>
      </w:r>
      <w:r>
        <w:rPr>
          <w:rFonts w:ascii="宋体" w:eastAsia="宋体" w:hAnsi="宋体" w:cs="宋体" w:hint="eastAsia"/>
          <w:szCs w:val="21"/>
          <w:lang w:val="en-US" w:eastAsia="zh-CN"/>
        </w:rPr>
        <w:t>水性超细纤维聚氨酯合成革</w:t>
      </w:r>
      <w:r>
        <w:rPr>
          <w:rFonts w:ascii="Times New Roman" w:hAnsi="宋体"/>
          <w:color w:val="000000"/>
          <w:szCs w:val="21"/>
        </w:rPr>
        <w:t>产量，</w:t>
      </w:r>
      <w:r>
        <w:rPr>
          <w:rFonts w:ascii="Times New Roman" w:hAnsi="Times New Roman"/>
          <w:color w:val="000000"/>
          <w:szCs w:val="21"/>
        </w:rPr>
        <w:t>10</w:t>
      </w:r>
      <w:r>
        <w:rPr>
          <w:rFonts w:ascii="Times New Roman" w:hAnsi="Times New Roman"/>
          <w:color w:val="000000"/>
          <w:szCs w:val="21"/>
          <w:vertAlign w:val="superscript"/>
        </w:rPr>
        <w:t>4</w:t>
      </w:r>
      <w:r>
        <w:rPr>
          <w:rFonts w:ascii="Times New Roman" w:hAnsi="Times New Roman"/>
          <w:color w:val="000000"/>
          <w:szCs w:val="21"/>
        </w:rPr>
        <w:t>m</w:t>
      </w:r>
      <w:r>
        <w:rPr>
          <w:rFonts w:ascii="Times New Roman" w:hAnsi="宋体"/>
          <w:color w:val="000000"/>
          <w:szCs w:val="21"/>
        </w:rPr>
        <w:t>。</w:t>
      </w:r>
    </w:p>
    <w:p>
      <w:pPr>
        <w:spacing w:line="400" w:lineRule="exact"/>
        <w:rPr>
          <w:rFonts w:ascii="宋体" w:hAnsi="宋体"/>
          <w:color w:val="000000"/>
          <w:szCs w:val="21"/>
        </w:rPr>
      </w:pPr>
    </w:p>
    <w:p>
      <w:pPr>
        <w:spacing w:line="400" w:lineRule="exact"/>
        <w:rPr>
          <w:rFonts w:ascii="宋体" w:hAnsi="宋体"/>
          <w:color w:val="000000"/>
          <w:szCs w:val="21"/>
        </w:rPr>
      </w:pPr>
    </w:p>
    <w:p>
      <w:pPr>
        <w:spacing w:line="400" w:lineRule="exact"/>
        <w:jc w:val="center"/>
        <w:outlineLvl w:val="1"/>
        <w:rPr>
          <w:rFonts w:ascii="黑体" w:eastAsia="黑体" w:hAnsi="黑体" w:hint="eastAsia"/>
          <w:color w:val="000000"/>
          <w:szCs w:val="21"/>
        </w:rPr>
      </w:pPr>
      <w:bookmarkStart w:id="15" w:name="_Toc9416544"/>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sectPr>
          <w:headerReference w:type="even" r:id="rId93"/>
          <w:headerReference w:type="default" r:id="rId94"/>
          <w:footerReference w:type="even" r:id="rId95"/>
          <w:footerReference w:type="default" r:id="rId96"/>
          <w:headerReference w:type="first" r:id="rId97"/>
          <w:footerReference w:type="first" r:id="rId98"/>
          <w:type w:val="nextPage"/>
          <w:pgSz w:w="11906" w:h="16838"/>
          <w:pgMar w:top="1218" w:right="1134" w:bottom="1134" w:left="1418" w:header="851" w:footer="992" w:gutter="0"/>
          <w:pgNumType w:fmt="numberInDash" w:start="10"/>
          <w:cols w:space="708"/>
          <w:titlePg w:val="0"/>
          <w:docGrid w:type="lines" w:linePitch="312"/>
        </w:sect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hint="eastAsia"/>
          <w:color w:val="000000"/>
          <w:szCs w:val="21"/>
        </w:rPr>
      </w:pPr>
    </w:p>
    <w:p>
      <w:pPr>
        <w:spacing w:line="400" w:lineRule="exact"/>
        <w:jc w:val="center"/>
        <w:outlineLvl w:val="1"/>
        <w:rPr>
          <w:rFonts w:ascii="黑体" w:eastAsia="黑体" w:hAnsi="黑体"/>
          <w:color w:val="000000"/>
          <w:szCs w:val="21"/>
        </w:rPr>
      </w:pPr>
      <w:r>
        <w:rPr>
          <w:rFonts w:ascii="黑体" w:eastAsia="黑体" w:hAnsi="黑体" w:hint="eastAsia"/>
          <w:color w:val="000000"/>
          <w:szCs w:val="21"/>
        </w:rPr>
        <w:t xml:space="preserve">附  录  </w:t>
      </w:r>
      <w:r>
        <w:rPr>
          <w:rFonts w:ascii="Times New Roman" w:hAnsi="Times New Roman"/>
          <w:b/>
          <w:color w:val="000000"/>
          <w:szCs w:val="21"/>
        </w:rPr>
        <w:t>B</w:t>
      </w:r>
      <w:r>
        <w:rPr>
          <w:rFonts w:ascii="黑体" w:eastAsia="黑体" w:hAnsi="黑体"/>
          <w:color w:val="000000"/>
          <w:szCs w:val="21"/>
        </w:rPr>
        <w:br/>
      </w:r>
      <w:r>
        <w:rPr>
          <w:rFonts w:ascii="黑体" w:eastAsia="黑体" w:hAnsi="黑体" w:hint="eastAsia"/>
          <w:color w:val="000000"/>
          <w:szCs w:val="21"/>
        </w:rPr>
        <w:t>（资料性附录）</w:t>
      </w:r>
      <w:r>
        <w:rPr>
          <w:rFonts w:ascii="黑体" w:eastAsia="黑体" w:hAnsi="黑体"/>
          <w:color w:val="000000"/>
          <w:szCs w:val="21"/>
        </w:rPr>
        <w:br/>
      </w:r>
      <w:r>
        <w:rPr>
          <w:rFonts w:ascii="宋体" w:eastAsia="宋体" w:hAnsi="宋体" w:cs="宋体" w:hint="eastAsia"/>
          <w:szCs w:val="21"/>
          <w:lang w:val="en-US" w:eastAsia="zh-CN"/>
        </w:rPr>
        <w:t>水性超细纤维聚氨酯合成革</w:t>
      </w:r>
      <w:r>
        <w:rPr>
          <w:rFonts w:ascii="黑体" w:eastAsia="黑体" w:hAnsi="黑体" w:hint="eastAsia"/>
          <w:color w:val="000000"/>
          <w:szCs w:val="21"/>
        </w:rPr>
        <w:t>产品生命周期评价方法</w:t>
      </w:r>
      <w:bookmarkEnd w:id="15"/>
    </w:p>
    <w:p>
      <w:pPr>
        <w:spacing w:before="156" w:beforeLines="50" w:after="156" w:afterLines="50"/>
        <w:rPr>
          <w:rFonts w:ascii="黑体" w:eastAsia="黑体" w:hAnsi="黑体"/>
          <w:bCs/>
          <w:szCs w:val="21"/>
        </w:rPr>
      </w:pPr>
      <w:r>
        <w:rPr>
          <w:rFonts w:ascii="黑体" w:eastAsia="黑体" w:hAnsi="黑体"/>
          <w:bCs/>
          <w:szCs w:val="21"/>
        </w:rPr>
        <w:t>B.1  目的</w:t>
      </w:r>
    </w:p>
    <w:p>
      <w:pPr>
        <w:ind w:firstLine="420" w:firstLineChars="200"/>
        <w:rPr>
          <w:rFonts w:ascii="Times New Roman" w:hAnsi="Times New Roman"/>
          <w:color w:val="000000"/>
          <w:szCs w:val="21"/>
        </w:rPr>
      </w:pPr>
      <w:r>
        <w:rPr>
          <w:rFonts w:ascii="宋体" w:eastAsia="宋体" w:hAnsi="宋体" w:cs="宋体" w:hint="eastAsia"/>
          <w:szCs w:val="21"/>
          <w:lang w:val="en-US" w:eastAsia="zh-CN"/>
        </w:rPr>
        <w:t>水性超细纤维聚氨酯合成革</w:t>
      </w:r>
      <w:r>
        <w:rPr>
          <w:rFonts w:ascii="Times New Roman" w:hAnsi="宋体"/>
          <w:color w:val="000000"/>
          <w:szCs w:val="21"/>
        </w:rPr>
        <w:t>的原料保存、生产、运输、出售（生产、贮存、生产、运输、出售）到最终废弃处理的过程中对环境造成的影响，通过评价</w:t>
      </w:r>
      <w:r>
        <w:rPr>
          <w:rFonts w:ascii="宋体" w:eastAsia="宋体" w:hAnsi="宋体" w:cs="宋体" w:hint="eastAsia"/>
          <w:szCs w:val="21"/>
          <w:lang w:val="en-US" w:eastAsia="zh-CN"/>
        </w:rPr>
        <w:t>水性超细纤维聚氨酯合成革</w:t>
      </w:r>
      <w:r>
        <w:rPr>
          <w:rFonts w:ascii="Times New Roman" w:hAnsi="宋体"/>
          <w:color w:val="000000"/>
          <w:szCs w:val="21"/>
        </w:rPr>
        <w:t>产品全生命周期</w:t>
      </w:r>
      <w:r>
        <w:rPr>
          <w:rFonts w:ascii="Times New Roman" w:hAnsi="Times New Roman"/>
          <w:color w:val="000000"/>
          <w:szCs w:val="21"/>
        </w:rPr>
        <w:t>(life cycle assessment , LCA )</w:t>
      </w:r>
      <w:r>
        <w:rPr>
          <w:rFonts w:ascii="Times New Roman" w:hAnsi="宋体"/>
          <w:color w:val="000000"/>
          <w:szCs w:val="21"/>
        </w:rPr>
        <w:t>的环境影响大小</w:t>
      </w:r>
      <w:r>
        <w:rPr>
          <w:rFonts w:ascii="Times New Roman" w:hAnsi="Times New Roman"/>
          <w:color w:val="000000"/>
          <w:szCs w:val="21"/>
        </w:rPr>
        <w:t>,</w:t>
      </w:r>
      <w:r>
        <w:rPr>
          <w:rFonts w:ascii="Times New Roman" w:hAnsi="宋体"/>
          <w:color w:val="000000"/>
          <w:szCs w:val="21"/>
        </w:rPr>
        <w:t>提出</w:t>
      </w:r>
      <w:r>
        <w:rPr>
          <w:rFonts w:ascii="宋体" w:eastAsia="宋体" w:hAnsi="宋体" w:cs="宋体" w:hint="eastAsia"/>
          <w:szCs w:val="21"/>
          <w:lang w:val="en-US" w:eastAsia="zh-CN"/>
        </w:rPr>
        <w:t>水性超细纤维聚氨酯合成革</w:t>
      </w:r>
      <w:r>
        <w:rPr>
          <w:rFonts w:ascii="Times New Roman" w:hAnsi="宋体"/>
          <w:color w:val="000000"/>
          <w:szCs w:val="21"/>
        </w:rPr>
        <w:t>绿色设计改进方案</w:t>
      </w:r>
      <w:r>
        <w:rPr>
          <w:rFonts w:ascii="Times New Roman" w:hAnsi="Times New Roman"/>
          <w:color w:val="000000"/>
          <w:szCs w:val="21"/>
        </w:rPr>
        <w:t>,</w:t>
      </w:r>
      <w:r>
        <w:rPr>
          <w:rFonts w:ascii="Times New Roman" w:hAnsi="宋体"/>
          <w:color w:val="000000"/>
          <w:szCs w:val="21"/>
        </w:rPr>
        <w:t>从而大幅提升</w:t>
      </w:r>
      <w:r>
        <w:rPr>
          <w:rFonts w:ascii="宋体" w:eastAsia="宋体" w:hAnsi="宋体" w:cs="宋体" w:hint="eastAsia"/>
          <w:szCs w:val="21"/>
          <w:lang w:val="en-US" w:eastAsia="zh-CN"/>
        </w:rPr>
        <w:t>水性超细纤维聚氨酯合成革</w:t>
      </w:r>
      <w:r>
        <w:rPr>
          <w:rFonts w:ascii="Times New Roman" w:hAnsi="宋体"/>
          <w:color w:val="000000"/>
          <w:szCs w:val="21"/>
        </w:rPr>
        <w:t>的环境友好性。</w:t>
      </w:r>
    </w:p>
    <w:p>
      <w:pPr>
        <w:spacing w:before="156" w:beforeLines="50" w:after="156" w:afterLines="50"/>
        <w:rPr>
          <w:rFonts w:ascii="黑体" w:eastAsia="黑体" w:hAnsi="黑体"/>
          <w:bCs/>
          <w:szCs w:val="21"/>
        </w:rPr>
      </w:pPr>
      <w:r>
        <w:rPr>
          <w:rFonts w:ascii="黑体" w:eastAsia="黑体" w:hAnsi="黑体"/>
          <w:bCs/>
          <w:szCs w:val="21"/>
        </w:rPr>
        <w:t>B.2  范围</w:t>
      </w:r>
    </w:p>
    <w:p>
      <w:pPr>
        <w:ind w:firstLine="420" w:firstLineChars="200"/>
        <w:rPr>
          <w:rFonts w:ascii="Times New Roman" w:hAnsi="Times New Roman"/>
          <w:color w:val="000000"/>
          <w:szCs w:val="21"/>
        </w:rPr>
      </w:pPr>
      <w:r>
        <w:rPr>
          <w:rFonts w:ascii="Times New Roman" w:hAnsi="宋体"/>
          <w:color w:val="000000"/>
          <w:szCs w:val="21"/>
        </w:rPr>
        <w:t>根据评价目的确定评价范围，确保两者相适应。定义生命周期评价范围时，应考虑以下内容并做出清晰描述。</w:t>
      </w:r>
    </w:p>
    <w:p>
      <w:pPr>
        <w:rPr>
          <w:rFonts w:ascii="黑体" w:eastAsia="黑体" w:hAnsi="黑体"/>
          <w:bCs/>
          <w:szCs w:val="21"/>
        </w:rPr>
      </w:pPr>
      <w:r>
        <w:rPr>
          <w:rFonts w:ascii="黑体" w:eastAsia="黑体" w:hAnsi="黑体"/>
          <w:bCs/>
          <w:szCs w:val="21"/>
        </w:rPr>
        <w:t>B.2.1  功能单位</w:t>
      </w:r>
    </w:p>
    <w:p>
      <w:pPr>
        <w:ind w:firstLine="420" w:firstLineChars="200"/>
        <w:rPr>
          <w:rFonts w:ascii="Times New Roman" w:hAnsi="Times New Roman"/>
          <w:color w:val="000000"/>
          <w:szCs w:val="21"/>
        </w:rPr>
      </w:pPr>
      <w:r>
        <w:rPr>
          <w:rFonts w:ascii="Times New Roman" w:hAnsi="宋体"/>
          <w:color w:val="000000"/>
          <w:szCs w:val="21"/>
        </w:rPr>
        <w:t>功能单位必须是明确规定并且可测量的。本标准以每万米</w:t>
      </w:r>
      <w:r>
        <w:rPr>
          <w:rFonts w:ascii="宋体" w:eastAsia="宋体" w:hAnsi="宋体" w:cs="宋体" w:hint="eastAsia"/>
          <w:szCs w:val="21"/>
          <w:lang w:val="en-US" w:eastAsia="zh-CN"/>
        </w:rPr>
        <w:t>水性超细纤维聚氨酯合成革</w:t>
      </w:r>
      <w:r>
        <w:rPr>
          <w:rFonts w:ascii="Times New Roman" w:hAnsi="宋体"/>
          <w:color w:val="000000"/>
          <w:szCs w:val="21"/>
        </w:rPr>
        <w:t>为功能单位来表示。</w:t>
      </w:r>
    </w:p>
    <w:p>
      <w:pPr>
        <w:rPr>
          <w:rFonts w:ascii="黑体" w:eastAsia="黑体" w:hAnsi="黑体"/>
          <w:bCs/>
          <w:szCs w:val="21"/>
        </w:rPr>
      </w:pPr>
      <w:r>
        <w:rPr>
          <w:rFonts w:ascii="黑体" w:eastAsia="黑体" w:hAnsi="黑体"/>
          <w:bCs/>
          <w:szCs w:val="21"/>
        </w:rPr>
        <w:t>B.2.2  系统边界</w:t>
      </w:r>
    </w:p>
    <w:p>
      <w:pPr>
        <w:ind w:firstLine="420"/>
        <w:rPr>
          <w:rFonts w:ascii="Times New Roman" w:hAnsi="Times New Roman"/>
          <w:color w:val="000000"/>
          <w:szCs w:val="21"/>
        </w:rPr>
      </w:pPr>
      <w:r>
        <w:rPr>
          <w:rFonts w:ascii="Times New Roman" w:hAnsi="宋体"/>
          <w:color w:val="000000"/>
          <w:szCs w:val="21"/>
        </w:rPr>
        <w:t>本附录界定的</w:t>
      </w:r>
      <w:r>
        <w:rPr>
          <w:rFonts w:ascii="宋体" w:eastAsia="宋体" w:hAnsi="宋体" w:cs="宋体" w:hint="eastAsia"/>
          <w:szCs w:val="21"/>
          <w:lang w:val="en-US" w:eastAsia="zh-CN"/>
        </w:rPr>
        <w:t>水性超细纤维聚氨酯合成革</w:t>
      </w:r>
      <w:r>
        <w:rPr>
          <w:rFonts w:ascii="Times New Roman" w:hAnsi="宋体"/>
          <w:color w:val="000000"/>
          <w:szCs w:val="21"/>
        </w:rPr>
        <w:t>产品生命周期（</w:t>
      </w:r>
      <w:r>
        <w:rPr>
          <w:rFonts w:ascii="Times New Roman" w:hAnsi="Times New Roman"/>
          <w:color w:val="000000"/>
          <w:szCs w:val="21"/>
        </w:rPr>
        <w:t>LCA</w:t>
      </w:r>
      <w:r>
        <w:rPr>
          <w:rFonts w:ascii="Times New Roman" w:hAnsi="宋体"/>
          <w:color w:val="000000"/>
          <w:szCs w:val="21"/>
        </w:rPr>
        <w:t>）系统边界分为</w:t>
      </w:r>
      <w:r>
        <w:rPr>
          <w:rFonts w:ascii="Times New Roman" w:hAnsi="Times New Roman"/>
          <w:color w:val="000000"/>
          <w:szCs w:val="21"/>
        </w:rPr>
        <w:t>3</w:t>
      </w:r>
      <w:r>
        <w:rPr>
          <w:rFonts w:ascii="Times New Roman" w:hAnsi="宋体"/>
          <w:color w:val="000000"/>
          <w:szCs w:val="21"/>
        </w:rPr>
        <w:t>个阶段：原辅材料与能源的开采、生产阶段；人造革合成革产品的生产、销售阶段。如图</w:t>
      </w:r>
      <w:r>
        <w:rPr>
          <w:rFonts w:ascii="Times New Roman" w:hAnsi="Times New Roman"/>
          <w:color w:val="000000"/>
          <w:szCs w:val="21"/>
        </w:rPr>
        <w:t>B.1</w:t>
      </w:r>
      <w:r>
        <w:rPr>
          <w:rFonts w:ascii="Times New Roman" w:hAnsi="宋体"/>
          <w:color w:val="000000"/>
          <w:szCs w:val="21"/>
        </w:rPr>
        <w:t>所示。</w:t>
      </w:r>
    </w:p>
    <w:p>
      <w:pPr>
        <w:rPr>
          <w:rFonts w:ascii="Times New Roman" w:hAnsi="Times New Roman"/>
        </w:rPr>
      </w:pPr>
    </w:p>
    <w:p>
      <w:pPr>
        <w:rPr>
          <w:rFonts w:ascii="Times New Roman" w:hAnsi="Times New Roman"/>
          <w:color w:val="000000"/>
          <w:szCs w:val="21"/>
        </w:rPr>
      </w:pPr>
      <w:r>
        <w:rPr>
          <w:rFonts w:ascii="Times New Roman" w:hAnsi="Times New Roman"/>
        </w:rPr>
        <w:pict>
          <v:shapetype id="_x0000_t32" coordsize="21600,21600" o:spt="32" o:oned="t" path="m,l21600,21600e" filled="f">
            <v:path arrowok="t" fillok="f" o:connecttype="none"/>
            <o:lock v:ext="edit" shapetype="t"/>
          </v:shapetype>
          <v:shape id="自选图形 6" o:spid="_x0000_s1057" type="#_x0000_t32" style="width:19pt;height:0.35pt;margin-top:12.2pt;margin-left:2.3pt;flip:y;mso-wrap-style:square;position:absolute;z-index:251661312" o:connectortype="straight" filled="f">
            <v:stroke linestyle="single" endarrow="block"/>
            <v:path arrowok="t" fillok="f"/>
          </v:shape>
        </w:pict>
      </w:r>
      <w:r>
        <w:rPr>
          <w:rFonts w:ascii="Times New Roman" w:hAnsi="Times New Roman"/>
        </w:rPr>
        <w:pict>
          <v:rect id="矩形 5" o:spid="_x0000_s1058" style="width:54.45pt;height:23.6pt;margin-top:0.1pt;margin-left:21.2pt;mso-wrap-style:square;position:absolute;z-index:251662336">
            <v:stroke linestyle="single"/>
            <v:textbox>
              <w:txbxContent>
                <w:p>
                  <w:pPr>
                    <w:rPr>
                      <w:sz w:val="18"/>
                      <w:szCs w:val="18"/>
                    </w:rPr>
                  </w:pPr>
                  <w:r>
                    <w:rPr>
                      <w:rFonts w:hint="eastAsia"/>
                      <w:sz w:val="18"/>
                      <w:szCs w:val="18"/>
                    </w:rPr>
                    <w:t>基布生产</w:t>
                  </w:r>
                </w:p>
              </w:txbxContent>
            </v:textbox>
          </v:rect>
        </w:pict>
      </w:r>
      <w:r>
        <w:rPr>
          <w:rFonts w:ascii="Times New Roman" w:hAnsi="Times New Roman"/>
        </w:rPr>
        <w:pict>
          <v:shape id="自选图形 12" o:spid="_x0000_s1059" type="#_x0000_t32" style="width:16.95pt;height:0;margin-top:12.1pt;margin-left:75.65pt;mso-wrap-style:square;position:absolute;z-index:251663360" o:connectortype="straight" filled="f">
            <v:stroke linestyle="single"/>
            <v:path arrowok="t" fillok="f"/>
          </v:shape>
        </w:pict>
      </w:r>
      <w:r>
        <w:rPr>
          <w:rFonts w:ascii="Times New Roman" w:hAnsi="Times New Roman"/>
        </w:rPr>
        <w:pict>
          <v:shape id="自选图形 13" o:spid="_x0000_s1060" type="#_x0000_t32" style="width:0;height:74.05pt;margin-top:12.55pt;margin-left:92.6pt;mso-wrap-style:square;position:absolute;z-index:251664384" o:connectortype="straight" filled="f">
            <v:stroke linestyle="single"/>
            <v:path arrowok="t" fillok="f"/>
          </v:shape>
        </w:pict>
      </w:r>
    </w:p>
    <w:p>
      <w:pPr>
        <w:rPr>
          <w:rFonts w:ascii="Times New Roman" w:hAnsi="Times New Roman"/>
          <w:color w:val="000000"/>
          <w:szCs w:val="21"/>
        </w:rPr>
      </w:pPr>
      <w:r>
        <w:rPr>
          <w:rFonts w:ascii="Times New Roman" w:hAnsi="Times New Roman"/>
        </w:rPr>
        <w:pict>
          <v:rect id="矩形 17" o:spid="_x0000_s1061" style="width:83.25pt;height:53.35pt;margin-top:5.9pt;margin-left:382.85pt;mso-wrap-style:square;position:absolute;v-text-anchor:top;z-index:251673600" filled="t" fillcolor="white" stroked="t">
            <v:fill color2="white"/>
            <v:stroke joinstyle="miter" linestyle="single"/>
            <v:shadow color="gray"/>
            <o:lock v:ext="edit" aspectratio="f"/>
            <v:textbox style="layout-flow:horizontal">
              <w:txbxContent>
                <w:p>
                  <w:pPr>
                    <w:rPr>
                      <w:sz w:val="18"/>
                      <w:szCs w:val="18"/>
                    </w:rPr>
                  </w:pPr>
                  <w:r>
                    <w:rPr>
                      <w:rFonts w:ascii="宋体" w:eastAsia="宋体" w:hAnsi="宋体" w:cs="宋体" w:hint="eastAsia"/>
                      <w:sz w:val="18"/>
                      <w:szCs w:val="18"/>
                      <w:lang w:val="en-US" w:eastAsia="zh-CN"/>
                    </w:rPr>
                    <w:t>水性超细纤维聚氨酯合成革</w:t>
                  </w:r>
                  <w:r>
                    <w:rPr>
                      <w:rFonts w:hint="eastAsia"/>
                      <w:sz w:val="18"/>
                      <w:szCs w:val="18"/>
                    </w:rPr>
                    <w:t>产品销售及使用</w:t>
                  </w:r>
                </w:p>
              </w:txbxContent>
            </v:textbox>
          </v:rect>
        </w:pict>
      </w:r>
      <w:r>
        <w:rPr>
          <w:rFonts w:ascii="Times New Roman" w:hAnsi="Times New Roman"/>
        </w:rPr>
        <w:pict>
          <v:rect id="矩形 15" o:spid="_x0000_s1062" style="width:75.95pt;height:50.9pt;margin-top:4.2pt;margin-left:189.8pt;mso-wrap-style:square;position:absolute;v-text-anchor:top;z-index:251671552" filled="t" fillcolor="white" stroked="t">
            <v:fill color2="white"/>
            <v:stroke joinstyle="miter" linestyle="single"/>
            <v:shadow color="gray"/>
            <o:lock v:ext="edit" aspectratio="f"/>
            <v:textbox style="layout-flow:horizontal">
              <w:txbxContent>
                <w:p>
                  <w:pPr>
                    <w:rPr>
                      <w:sz w:val="18"/>
                      <w:szCs w:val="18"/>
                    </w:rPr>
                  </w:pPr>
                  <w:r>
                    <w:rPr>
                      <w:rFonts w:ascii="宋体" w:eastAsia="宋体" w:hAnsi="宋体" w:cs="宋体" w:hint="eastAsia"/>
                      <w:sz w:val="18"/>
                      <w:szCs w:val="18"/>
                      <w:lang w:val="en-US" w:eastAsia="zh-CN"/>
                    </w:rPr>
                    <w:t>水性超细纤维聚氨酯合</w:t>
                  </w:r>
                  <w:r>
                    <w:rPr>
                      <w:rFonts w:ascii="宋体" w:eastAsia="宋体" w:hAnsi="宋体" w:cs="宋体" w:hint="eastAsia"/>
                      <w:szCs w:val="21"/>
                      <w:lang w:val="en-US" w:eastAsia="zh-CN"/>
                    </w:rPr>
                    <w:t>成革</w:t>
                  </w:r>
                  <w:r>
                    <w:rPr>
                      <w:rFonts w:hint="eastAsia"/>
                      <w:sz w:val="18"/>
                      <w:szCs w:val="18"/>
                    </w:rPr>
                    <w:t>产品的生产</w:t>
                  </w:r>
                </w:p>
              </w:txbxContent>
            </v:textbox>
          </v:rect>
        </w:pict>
      </w:r>
      <w:r>
        <w:rPr>
          <w:rFonts w:ascii="Times New Roman" w:hAnsi="Times New Roman"/>
        </w:rPr>
        <w:pict>
          <v:rect id="矩形 16" o:spid="_x0000_s1063" style="width:83.05pt;height:52.5pt;margin-top:6.75pt;margin-left:280.1pt;mso-wrap-style:square;position:absolute;v-text-anchor:top;z-index:251672576" filled="t" fillcolor="white" stroked="t">
            <v:fill color2="white"/>
            <v:stroke joinstyle="miter" linestyle="single"/>
            <v:shadow color="gray"/>
            <o:lock v:ext="edit" aspectratio="f"/>
            <v:textbox style="layout-flow:horizontal">
              <w:txbxContent>
                <w:p>
                  <w:pPr>
                    <w:rPr>
                      <w:sz w:val="18"/>
                      <w:szCs w:val="18"/>
                    </w:rPr>
                  </w:pPr>
                  <w:r>
                    <w:rPr>
                      <w:rFonts w:ascii="宋体" w:eastAsia="宋体" w:hAnsi="宋体" w:cs="宋体" w:hint="eastAsia"/>
                      <w:sz w:val="18"/>
                      <w:szCs w:val="18"/>
                      <w:lang w:val="en-US" w:eastAsia="zh-CN"/>
                    </w:rPr>
                    <w:t>水性超细纤维聚氨酯合成革</w:t>
                  </w:r>
                  <w:r>
                    <w:rPr>
                      <w:rFonts w:hint="eastAsia"/>
                      <w:sz w:val="18"/>
                      <w:szCs w:val="18"/>
                    </w:rPr>
                    <w:t>产品包装及运输</w:t>
                  </w:r>
                </w:p>
              </w:txbxContent>
            </v:textbox>
          </v:rect>
        </w:pict>
      </w:r>
      <w:r>
        <w:rPr>
          <w:rFonts w:ascii="Times New Roman" w:hAnsi="Times New Roman"/>
        </w:rPr>
        <w:pict>
          <v:rect id="矩形 14" o:spid="_x0000_s1064" style="width:63.35pt;height:47.4pt;margin-top:9.1pt;margin-left:106.35pt;mso-wrap-style:square;position:absolute;v-text-anchor:top;z-index:251670528" filled="t" fillcolor="white" stroked="t">
            <v:fill color2="white"/>
            <v:stroke joinstyle="miter" linestyle="single"/>
            <v:shadow color="gray"/>
            <o:lock v:ext="edit" aspectratio="f"/>
            <v:textbox style="layout-flow:horizontal">
              <w:txbxContent>
                <w:p>
                  <w:pPr>
                    <w:rPr>
                      <w:rFonts w:hint="eastAsia"/>
                      <w:sz w:val="18"/>
                      <w:szCs w:val="18"/>
                    </w:rPr>
                  </w:pPr>
                </w:p>
                <w:p>
                  <w:pPr>
                    <w:rPr>
                      <w:sz w:val="18"/>
                      <w:szCs w:val="18"/>
                    </w:rPr>
                  </w:pPr>
                  <w:r>
                    <w:rPr>
                      <w:rFonts w:hint="eastAsia"/>
                      <w:sz w:val="18"/>
                      <w:szCs w:val="18"/>
                    </w:rPr>
                    <w:t>原材料运输</w:t>
                  </w:r>
                </w:p>
              </w:txbxContent>
            </v:textbox>
          </v:rect>
        </w:pict>
      </w:r>
      <w:r>
        <w:rPr>
          <w:rFonts w:ascii="Times New Roman" w:hAnsi="Times New Roman"/>
        </w:rPr>
        <w:pict>
          <v:rect id="矩形 7" o:spid="_x0000_s1065" style="width:54.45pt;height:24.45pt;margin-top:19.2pt;margin-left:21.2pt;mso-wrap-style:square;position:absolute;z-index:251665408">
            <v:stroke linestyle="single"/>
            <v:textbox>
              <w:txbxContent>
                <w:p>
                  <w:pPr>
                    <w:rPr>
                      <w:sz w:val="18"/>
                      <w:szCs w:val="18"/>
                    </w:rPr>
                  </w:pPr>
                  <w:r>
                    <w:rPr>
                      <w:rFonts w:hint="eastAsia"/>
                      <w:sz w:val="18"/>
                      <w:szCs w:val="18"/>
                    </w:rPr>
                    <w:t>浆料生产</w:t>
                  </w:r>
                </w:p>
              </w:txbxContent>
            </v:textbox>
          </v:rect>
        </w:pict>
      </w:r>
    </w:p>
    <w:p>
      <w:pPr>
        <w:rPr>
          <w:rFonts w:ascii="Times New Roman" w:hAnsi="Times New Roman"/>
          <w:color w:val="000000"/>
          <w:szCs w:val="21"/>
        </w:rPr>
      </w:pPr>
      <w:r>
        <w:rPr>
          <w:rFonts w:ascii="Times New Roman" w:hAnsi="Times New Roman"/>
        </w:rPr>
        <w:pict>
          <v:shape id="自选图形 19" o:spid="_x0000_s1066" type="#_x0000_t32" style="width:17.7pt;height:0;margin-top:11.75pt;margin-left:262.4pt;mso-wrap-style:square;position:absolute;z-index:251675648" o:connectortype="straight" filled="f">
            <v:stroke linestyle="single" endarrow="block"/>
            <v:path arrowok="t" fillok="f"/>
          </v:shape>
        </w:pict>
      </w:r>
      <w:r>
        <w:rPr>
          <w:rFonts w:ascii="Times New Roman" w:hAnsi="Times New Roman"/>
        </w:rPr>
        <w:pict>
          <v:shape id="自选图形 20" o:spid="_x0000_s1067" type="#_x0000_t32" style="width:19.7pt;height:0.05pt;margin-top:11.7pt;margin-left:363.15pt;mso-wrap-style:square;position:absolute;z-index:251676672" o:connectortype="straight" filled="f">
            <v:stroke linestyle="single" endarrow="block"/>
            <v:path arrowok="t" fillok="f"/>
          </v:shape>
        </w:pict>
      </w:r>
      <w:r>
        <w:rPr>
          <w:rFonts w:ascii="Times New Roman" w:hAnsi="Times New Roman"/>
        </w:rPr>
        <w:pict>
          <v:shape id="自选图形 8" o:spid="_x0000_s1068" type="#_x0000_t32" style="width:19pt;height:0.05pt;margin-top:11.6pt;margin-left:1.55pt;flip:y;mso-wrap-style:square;position:absolute;z-index:251666432" o:connectortype="straight" filled="f">
            <v:stroke linestyle="single" endarrow="block"/>
            <v:path arrowok="t" fillok="f"/>
          </v:shape>
        </w:pict>
      </w:r>
      <w:r>
        <w:rPr>
          <w:rFonts w:ascii="Times New Roman" w:hAnsi="Times New Roman"/>
        </w:rPr>
        <w:pict>
          <v:shape id="自选图形 11" o:spid="_x0000_s1069" type="#_x0000_t32" style="width:29.2pt;height:0;margin-top:11.55pt;margin-left:76.4pt;mso-wrap-style:square;position:absolute;z-index:251667456" o:connectortype="straight" filled="f">
            <v:stroke linestyle="single" endarrow="block"/>
            <v:path arrowok="t" fillok="f"/>
          </v:shape>
        </w:pict>
      </w:r>
      <w:r>
        <w:rPr>
          <w:rFonts w:ascii="Times New Roman" w:hAnsi="Times New Roman"/>
        </w:rPr>
        <w:pict>
          <v:shape id="自选图形 18" o:spid="_x0000_s1070" type="#_x0000_t32" style="width:16.3pt;height:0;margin-top:11.65pt;margin-left:170.15pt;mso-wrap-style:square;position:absolute;z-index:251674624" o:connectortype="straight" filled="f">
            <v:stroke linestyle="single" endarrow="block"/>
            <v:path arrowok="t" fillok="f"/>
          </v:shape>
        </w:pict>
      </w:r>
    </w:p>
    <w:p>
      <w:pPr>
        <w:rPr>
          <w:rFonts w:ascii="Times New Roman" w:hAnsi="Times New Roman"/>
          <w:color w:val="000000"/>
          <w:szCs w:val="21"/>
        </w:rPr>
      </w:pPr>
      <w:r>
        <w:rPr>
          <w:rFonts w:ascii="Times New Roman" w:hAnsi="Times New Roman"/>
        </w:rPr>
        <w:pict>
          <v:rect id="矩形 9" o:spid="_x0000_s1071" style="width:54.45pt;height:24.45pt;margin-top:13.55pt;margin-left:21.2pt;mso-wrap-style:square;position:absolute;z-index:251668480">
            <v:stroke linestyle="single"/>
            <v:textbox>
              <w:txbxContent>
                <w:p>
                  <w:pPr>
                    <w:rPr>
                      <w:sz w:val="18"/>
                      <w:szCs w:val="18"/>
                    </w:rPr>
                  </w:pPr>
                  <w:r>
                    <w:rPr>
                      <w:rFonts w:hint="eastAsia"/>
                      <w:sz w:val="18"/>
                      <w:szCs w:val="18"/>
                    </w:rPr>
                    <w:t>助剂生产</w:t>
                  </w:r>
                </w:p>
              </w:txbxContent>
            </v:textbox>
          </v:rect>
        </w:pict>
      </w:r>
    </w:p>
    <w:p>
      <w:pPr>
        <w:rPr>
          <w:rFonts w:ascii="Times New Roman" w:hAnsi="Times New Roman"/>
          <w:color w:val="000000"/>
          <w:szCs w:val="21"/>
        </w:rPr>
      </w:pPr>
      <w:r>
        <w:rPr>
          <w:rFonts w:ascii="Times New Roman" w:hAnsi="Times New Roman"/>
        </w:rPr>
        <w:pict>
          <v:shape id="自选图形 10" o:spid="_x0000_s1072" type="#_x0000_t32" style="width:19pt;height:0.15pt;margin-top:6.45pt;margin-left:2.3pt;flip:y;mso-wrap-style:square;position:absolute;z-index:251669504" o:connectortype="straight" filled="f">
            <v:stroke linestyle="single" endarrow="block"/>
            <v:path arrowok="t" fillok="f"/>
          </v:shape>
        </w:pict>
      </w:r>
      <w:r>
        <w:rPr>
          <w:rFonts w:ascii="Times New Roman" w:hAnsi="Times New Roman"/>
        </w:rPr>
        <w:pict>
          <v:shape id="自选图形 21" o:spid="_x0000_s1073" type="#_x0000_t32" style="width:16.95pt;height:0;margin-top:6.35pt;margin-left:75.65pt;mso-wrap-style:square;position:absolute;z-index:251677696" o:connectortype="straight" filled="f">
            <v:stroke linestyle="single"/>
            <v:path arrowok="t" fillok="f"/>
          </v:shape>
        </w:pict>
      </w:r>
    </w:p>
    <w:p>
      <w:pPr>
        <w:pStyle w:val="a2"/>
        <w:tabs>
          <w:tab w:val="left" w:pos="360"/>
        </w:tabs>
        <w:spacing w:before="156" w:after="156"/>
        <w:rPr>
          <w:rFonts w:ascii="Times New Roman"/>
        </w:rPr>
      </w:pPr>
      <w:r>
        <w:rPr>
          <w:rFonts w:ascii="Times New Roman"/>
        </w:rPr>
        <w:t>图</w:t>
      </w:r>
      <w:r>
        <w:rPr>
          <w:rFonts w:ascii="Times New Roman"/>
          <w:b/>
        </w:rPr>
        <w:t>B.1</w:t>
      </w:r>
      <w:r>
        <w:rPr>
          <w:rFonts w:ascii="Times New Roman"/>
        </w:rPr>
        <w:t xml:space="preserve"> </w:t>
      </w:r>
      <w:r>
        <w:rPr>
          <w:rFonts w:ascii="宋体" w:eastAsia="宋体" w:hAnsi="宋体" w:cs="宋体" w:hint="eastAsia"/>
          <w:szCs w:val="21"/>
          <w:lang w:val="en-US" w:eastAsia="zh-CN"/>
        </w:rPr>
        <w:t>水性超细纤维聚氨酯合成革</w:t>
      </w:r>
      <w:r>
        <w:rPr>
          <w:rFonts w:ascii="Times New Roman"/>
        </w:rPr>
        <w:t>产品生命周期（LCA）系统边界图</w:t>
      </w:r>
    </w:p>
    <w:p>
      <w:pPr>
        <w:ind w:firstLine="420"/>
        <w:rPr>
          <w:rFonts w:ascii="Times New Roman" w:hAnsi="Times New Roman"/>
          <w:color w:val="000000"/>
          <w:szCs w:val="21"/>
        </w:rPr>
      </w:pPr>
      <w:r>
        <w:rPr>
          <w:rFonts w:ascii="Times New Roman" w:hAnsi="Times New Roman"/>
          <w:color w:val="000000"/>
          <w:szCs w:val="21"/>
        </w:rPr>
        <w:t>LCA</w:t>
      </w:r>
      <w:r>
        <w:rPr>
          <w:rFonts w:ascii="Times New Roman" w:hAnsi="宋体"/>
          <w:color w:val="000000"/>
          <w:szCs w:val="21"/>
        </w:rPr>
        <w:t>评价的覆盖时间应在规定的期限内。数据应反映具有代表性的时期（取最近</w:t>
      </w:r>
      <w:r>
        <w:rPr>
          <w:rFonts w:ascii="Times New Roman" w:hAnsi="Times New Roman"/>
          <w:color w:val="000000"/>
          <w:szCs w:val="21"/>
        </w:rPr>
        <w:t>3</w:t>
      </w:r>
      <w:r>
        <w:rPr>
          <w:rFonts w:ascii="Times New Roman" w:hAnsi="宋体"/>
          <w:color w:val="000000"/>
          <w:szCs w:val="21"/>
        </w:rPr>
        <w:t>年内有效值）。如果未能取得</w:t>
      </w:r>
      <w:r>
        <w:rPr>
          <w:rFonts w:ascii="Times New Roman" w:hAnsi="Times New Roman"/>
          <w:color w:val="000000"/>
          <w:szCs w:val="21"/>
        </w:rPr>
        <w:t>3</w:t>
      </w:r>
      <w:r>
        <w:rPr>
          <w:rFonts w:ascii="Times New Roman" w:hAnsi="宋体"/>
          <w:color w:val="000000"/>
          <w:szCs w:val="21"/>
        </w:rPr>
        <w:t>年内有效值，应做具体说明。</w:t>
      </w:r>
    </w:p>
    <w:p>
      <w:pPr>
        <w:ind w:firstLine="420"/>
        <w:rPr>
          <w:rFonts w:ascii="Times New Roman" w:hAnsi="Times New Roman"/>
          <w:color w:val="000000"/>
          <w:szCs w:val="21"/>
        </w:rPr>
      </w:pPr>
      <w:r>
        <w:rPr>
          <w:rFonts w:ascii="Times New Roman" w:hAnsi="宋体"/>
          <w:color w:val="000000"/>
          <w:szCs w:val="21"/>
        </w:rPr>
        <w:t>原材料数据应是在参与产品的生产和使用的地点</w:t>
      </w:r>
      <w:r>
        <w:rPr>
          <w:rFonts w:ascii="Times New Roman" w:hAnsi="Times New Roman"/>
          <w:color w:val="000000"/>
          <w:szCs w:val="21"/>
        </w:rPr>
        <w:t>/</w:t>
      </w:r>
      <w:r>
        <w:rPr>
          <w:rFonts w:ascii="Times New Roman" w:hAnsi="宋体"/>
          <w:color w:val="000000"/>
          <w:szCs w:val="21"/>
        </w:rPr>
        <w:t>地区。</w:t>
      </w:r>
    </w:p>
    <w:p>
      <w:pPr>
        <w:ind w:firstLine="420"/>
        <w:rPr>
          <w:rFonts w:ascii="Times New Roman" w:hAnsi="Times New Roman"/>
          <w:color w:val="000000"/>
          <w:szCs w:val="21"/>
        </w:rPr>
      </w:pPr>
      <w:r>
        <w:rPr>
          <w:rFonts w:ascii="Times New Roman" w:hAnsi="宋体"/>
          <w:color w:val="000000"/>
          <w:szCs w:val="21"/>
        </w:rPr>
        <w:t>生产过程数据应是在最终产品的生产中所涉及的地点</w:t>
      </w:r>
      <w:r>
        <w:rPr>
          <w:rFonts w:ascii="Times New Roman" w:hAnsi="Times New Roman"/>
          <w:color w:val="000000"/>
          <w:szCs w:val="21"/>
        </w:rPr>
        <w:t>/</w:t>
      </w:r>
      <w:r>
        <w:rPr>
          <w:rFonts w:ascii="Times New Roman" w:hAnsi="宋体"/>
          <w:color w:val="000000"/>
          <w:szCs w:val="21"/>
        </w:rPr>
        <w:t>地区。</w:t>
      </w:r>
    </w:p>
    <w:p>
      <w:pPr>
        <w:rPr>
          <w:rFonts w:ascii="黑体" w:eastAsia="黑体" w:hAnsi="黑体"/>
          <w:bCs/>
          <w:szCs w:val="21"/>
        </w:rPr>
      </w:pPr>
      <w:r>
        <w:rPr>
          <w:rFonts w:ascii="黑体" w:eastAsia="黑体" w:hAnsi="黑体"/>
          <w:bCs/>
          <w:szCs w:val="21"/>
        </w:rPr>
        <w:t>B.2.3  数据取舍原则</w:t>
      </w:r>
    </w:p>
    <w:p>
      <w:pPr>
        <w:ind w:firstLine="420"/>
        <w:rPr>
          <w:rFonts w:ascii="Times New Roman" w:hAnsi="Times New Roman"/>
          <w:color w:val="000000"/>
          <w:szCs w:val="21"/>
        </w:rPr>
      </w:pPr>
      <w:r>
        <w:rPr>
          <w:rFonts w:ascii="Times New Roman" w:hAnsi="宋体"/>
          <w:color w:val="000000"/>
          <w:szCs w:val="21"/>
        </w:rPr>
        <w:t>单元过程数据种类很多，应对数据进行适当的取舍，原则如下：</w:t>
      </w:r>
    </w:p>
    <w:p>
      <w:pPr>
        <w:pStyle w:val="ListParagraph"/>
        <w:numPr>
          <w:ilvl w:val="0"/>
          <w:numId w:val="2"/>
        </w:numPr>
        <w:ind w:firstLineChars="0"/>
        <w:rPr>
          <w:rFonts w:ascii="Times New Roman" w:hAnsi="Times New Roman"/>
          <w:color w:val="000000"/>
          <w:szCs w:val="21"/>
        </w:rPr>
      </w:pPr>
      <w:r>
        <w:rPr>
          <w:rFonts w:ascii="Times New Roman" w:hAnsi="宋体"/>
          <w:color w:val="000000"/>
          <w:szCs w:val="21"/>
        </w:rPr>
        <w:t>所有能耗均列出；</w:t>
      </w:r>
    </w:p>
    <w:p>
      <w:pPr>
        <w:pStyle w:val="ListParagraph"/>
        <w:numPr>
          <w:ilvl w:val="0"/>
          <w:numId w:val="2"/>
        </w:numPr>
        <w:ind w:firstLineChars="0"/>
        <w:rPr>
          <w:rFonts w:ascii="Times New Roman" w:hAnsi="Times New Roman"/>
          <w:color w:val="000000"/>
          <w:szCs w:val="21"/>
        </w:rPr>
      </w:pPr>
      <w:r>
        <w:rPr>
          <w:rFonts w:ascii="Times New Roman" w:hAnsi="宋体"/>
          <w:color w:val="000000"/>
          <w:szCs w:val="21"/>
        </w:rPr>
        <w:t>所有主要原材料消耗均列出；</w:t>
      </w:r>
    </w:p>
    <w:p>
      <w:pPr>
        <w:pStyle w:val="ListParagraph"/>
        <w:numPr>
          <w:ilvl w:val="0"/>
          <w:numId w:val="2"/>
        </w:numPr>
        <w:ind w:firstLineChars="0"/>
        <w:rPr>
          <w:rFonts w:ascii="Times New Roman" w:hAnsi="Times New Roman"/>
          <w:color w:val="000000"/>
          <w:szCs w:val="21"/>
        </w:rPr>
        <w:sectPr>
          <w:headerReference w:type="even" r:id="rId99"/>
          <w:headerReference w:type="default" r:id="rId100"/>
          <w:footerReference w:type="even" r:id="rId101"/>
          <w:footerReference w:type="default" r:id="rId102"/>
          <w:headerReference w:type="first" r:id="rId103"/>
          <w:footerReference w:type="first" r:id="rId104"/>
          <w:type w:val="nextPage"/>
          <w:pgSz w:w="11906" w:h="16838"/>
          <w:pgMar w:top="1218" w:right="1134" w:bottom="1134" w:left="1418" w:header="851" w:footer="992" w:gutter="0"/>
          <w:pgNumType w:fmt="numberInDash" w:start="11"/>
          <w:cols w:space="708"/>
          <w:titlePg w:val="0"/>
          <w:docGrid w:type="lines" w:linePitch="312"/>
        </w:sectPr>
      </w:pPr>
      <w:r>
        <w:rPr>
          <w:rFonts w:ascii="Times New Roman" w:hAnsi="宋体"/>
          <w:color w:val="000000"/>
          <w:szCs w:val="21"/>
        </w:rPr>
        <w:t>重量小于产品重量</w:t>
      </w:r>
      <w:r>
        <w:rPr>
          <w:rFonts w:ascii="Times New Roman" w:hAnsi="Times New Roman"/>
          <w:color w:val="000000"/>
          <w:szCs w:val="21"/>
        </w:rPr>
        <w:t>1%</w:t>
      </w:r>
      <w:r>
        <w:rPr>
          <w:rFonts w:ascii="Times New Roman" w:hAnsi="宋体"/>
          <w:color w:val="000000"/>
          <w:szCs w:val="21"/>
        </w:rPr>
        <w:t>的辅料可忽略，但总忽略的重量不应超过产品重量的</w:t>
      </w:r>
      <w:r>
        <w:rPr>
          <w:rFonts w:ascii="Times New Roman" w:hAnsi="Times New Roman"/>
          <w:color w:val="000000"/>
          <w:szCs w:val="21"/>
        </w:rPr>
        <w:t>5%</w:t>
      </w:r>
      <w:r>
        <w:rPr>
          <w:rFonts w:ascii="Times New Roman" w:hAnsi="宋体"/>
          <w:color w:val="000000"/>
          <w:szCs w:val="21"/>
        </w:rPr>
        <w:t>；</w:t>
      </w:r>
    </w:p>
    <w:p>
      <w:pPr>
        <w:pStyle w:val="ListParagraph"/>
        <w:numPr>
          <w:ilvl w:val="0"/>
          <w:numId w:val="2"/>
        </w:numPr>
        <w:ind w:firstLineChars="0"/>
        <w:rPr>
          <w:rFonts w:ascii="Times New Roman" w:hAnsi="Times New Roman"/>
          <w:color w:val="000000"/>
          <w:szCs w:val="21"/>
        </w:rPr>
      </w:pPr>
      <w:r>
        <w:rPr>
          <w:rFonts w:ascii="Times New Roman" w:hAnsi="宋体"/>
          <w:color w:val="000000"/>
          <w:szCs w:val="21"/>
        </w:rPr>
        <w:t>已有法规、标准、文件要求监测的大气、水体、土壤等各种排放均列出，如环保法规、行业环境标准、环境监测报告、环境影响评价报告等；</w:t>
      </w:r>
    </w:p>
    <w:p>
      <w:pPr>
        <w:pStyle w:val="ListParagraph"/>
        <w:numPr>
          <w:ilvl w:val="0"/>
          <w:numId w:val="2"/>
        </w:numPr>
        <w:ind w:firstLineChars="0"/>
        <w:rPr>
          <w:rFonts w:ascii="Times New Roman" w:hAnsi="Times New Roman"/>
          <w:color w:val="000000"/>
          <w:szCs w:val="21"/>
        </w:rPr>
      </w:pPr>
      <w:r>
        <w:rPr>
          <w:rFonts w:ascii="Times New Roman" w:hAnsi="宋体"/>
          <w:color w:val="000000"/>
          <w:szCs w:val="21"/>
        </w:rPr>
        <w:t>小于固体废弃物排放量总量</w:t>
      </w:r>
      <w:r>
        <w:rPr>
          <w:rFonts w:ascii="Times New Roman" w:hAnsi="Times New Roman"/>
          <w:color w:val="000000"/>
          <w:szCs w:val="21"/>
        </w:rPr>
        <w:t>1%</w:t>
      </w:r>
      <w:r>
        <w:rPr>
          <w:rFonts w:ascii="Times New Roman" w:hAnsi="宋体"/>
          <w:color w:val="000000"/>
          <w:szCs w:val="21"/>
        </w:rPr>
        <w:t>的一般性固体废弃物可忽略；</w:t>
      </w:r>
    </w:p>
    <w:p>
      <w:pPr>
        <w:pStyle w:val="ListParagraph"/>
        <w:numPr>
          <w:ilvl w:val="0"/>
          <w:numId w:val="2"/>
        </w:numPr>
        <w:ind w:firstLineChars="0"/>
        <w:rPr>
          <w:rFonts w:ascii="Times New Roman" w:hAnsi="Times New Roman"/>
          <w:color w:val="000000"/>
          <w:szCs w:val="21"/>
        </w:rPr>
      </w:pPr>
      <w:r>
        <w:rPr>
          <w:rFonts w:ascii="Times New Roman" w:hAnsi="宋体"/>
          <w:color w:val="000000"/>
          <w:szCs w:val="21"/>
        </w:rPr>
        <w:t>道路与厂房的基础设施、各工序的设备、厂房内人员及生活设施的消耗和排放，均忽略。</w:t>
      </w:r>
    </w:p>
    <w:p>
      <w:pPr>
        <w:spacing w:before="156" w:beforeLines="50" w:after="156" w:afterLines="50"/>
        <w:rPr>
          <w:rFonts w:ascii="黑体" w:eastAsia="黑体" w:hAnsi="黑体"/>
          <w:bCs/>
          <w:szCs w:val="21"/>
        </w:rPr>
      </w:pPr>
      <w:r>
        <w:rPr>
          <w:rFonts w:ascii="黑体" w:eastAsia="黑体" w:hAnsi="黑体"/>
          <w:bCs/>
          <w:szCs w:val="21"/>
        </w:rPr>
        <w:t>B.3  生命周期清单分析</w:t>
      </w:r>
    </w:p>
    <w:p>
      <w:pPr>
        <w:rPr>
          <w:rFonts w:ascii="黑体" w:eastAsia="黑体" w:hAnsi="黑体"/>
          <w:bCs/>
          <w:szCs w:val="21"/>
        </w:rPr>
      </w:pPr>
      <w:r>
        <w:rPr>
          <w:rFonts w:ascii="黑体" w:eastAsia="黑体" w:hAnsi="黑体"/>
          <w:bCs/>
          <w:szCs w:val="21"/>
        </w:rPr>
        <w:t>B.3.1  总则</w:t>
      </w:r>
    </w:p>
    <w:p>
      <w:pPr>
        <w:ind w:firstLine="420"/>
        <w:rPr>
          <w:rFonts w:ascii="Times New Roman" w:hAnsi="Times New Roman"/>
          <w:color w:val="000000"/>
          <w:szCs w:val="21"/>
        </w:rPr>
      </w:pPr>
      <w:r>
        <w:rPr>
          <w:rFonts w:ascii="Times New Roman" w:hAnsi="宋体"/>
          <w:color w:val="000000"/>
          <w:szCs w:val="21"/>
        </w:rPr>
        <w:t>数据收集范围应涵盖系统边界中的每一个单元过程，数据来源应注明出处。数据收集包括现场和背景数据的收集。应在系统边界内的每个单元过程中收集清单中的数据，通过测量、计算或估算用于量化单元过程输入和输出的数据，并给出数据的来源和获取过程。如果数据清单有特殊情况、异常点或其他问题，应在报告中进行明确说明。</w:t>
      </w:r>
    </w:p>
    <w:p>
      <w:pPr>
        <w:ind w:firstLine="420"/>
        <w:rPr>
          <w:rFonts w:ascii="Times New Roman" w:hAnsi="Times New Roman"/>
          <w:color w:val="000000"/>
          <w:szCs w:val="21"/>
        </w:rPr>
      </w:pPr>
      <w:r>
        <w:rPr>
          <w:rFonts w:ascii="Times New Roman" w:hAnsi="宋体"/>
          <w:color w:val="000000"/>
          <w:szCs w:val="21"/>
        </w:rPr>
        <w:t>当数据收集完成后，应对收集的数据进行审定。然后，确定每个单元过程的基本流，并据此计算出单元过程的定量输入和输出。此后，将每个单元过程的输入输出数据除以产品的产量</w:t>
      </w:r>
      <w:r>
        <w:rPr>
          <w:rFonts w:ascii="Times New Roman" w:hAnsi="Times New Roman"/>
          <w:color w:val="000000"/>
          <w:szCs w:val="21"/>
        </w:rPr>
        <w:t>,</w:t>
      </w:r>
      <w:r>
        <w:rPr>
          <w:rFonts w:ascii="Times New Roman" w:hAnsi="宋体"/>
          <w:color w:val="000000"/>
          <w:szCs w:val="21"/>
        </w:rPr>
        <w:t>得到功能单位</w:t>
      </w:r>
      <w:r>
        <w:rPr>
          <w:rFonts w:ascii="Times New Roman" w:hAnsi="Times New Roman"/>
          <w:color w:val="000000"/>
          <w:szCs w:val="21"/>
        </w:rPr>
        <w:t xml:space="preserve"> </w:t>
      </w:r>
      <w:r>
        <w:rPr>
          <w:rFonts w:ascii="Times New Roman" w:hAnsi="宋体"/>
          <w:color w:val="000000"/>
          <w:szCs w:val="21"/>
        </w:rPr>
        <w:t>（即</w:t>
      </w:r>
      <w:r>
        <w:rPr>
          <w:rFonts w:ascii="Times New Roman" w:hAnsi="Times New Roman"/>
          <w:color w:val="000000"/>
          <w:szCs w:val="21"/>
        </w:rPr>
        <w:t>1</w:t>
      </w:r>
      <w:r>
        <w:rPr>
          <w:rFonts w:ascii="Times New Roman" w:hAnsi="宋体"/>
          <w:color w:val="000000"/>
          <w:szCs w:val="21"/>
        </w:rPr>
        <w:t>万米）的资源消耗和环境排放。最后，将产品各单元过程中相同的影响因素的数据求和，以获取该影响因素的总量，为产品级的影响评价提供必要的数据。</w:t>
      </w:r>
    </w:p>
    <w:p>
      <w:pPr>
        <w:rPr>
          <w:rFonts w:ascii="黑体" w:eastAsia="黑体" w:hAnsi="黑体"/>
          <w:bCs/>
          <w:szCs w:val="21"/>
        </w:rPr>
      </w:pPr>
      <w:r>
        <w:rPr>
          <w:rFonts w:ascii="黑体" w:eastAsia="黑体" w:hAnsi="黑体"/>
          <w:bCs/>
          <w:szCs w:val="21"/>
        </w:rPr>
        <w:t xml:space="preserve">B.3.2 </w:t>
      </w:r>
      <w:r>
        <w:rPr>
          <w:rFonts w:ascii="黑体" w:eastAsia="黑体" w:hAnsi="黑体" w:hint="eastAsia"/>
          <w:bCs/>
          <w:szCs w:val="21"/>
        </w:rPr>
        <w:t xml:space="preserve"> </w:t>
      </w:r>
      <w:r>
        <w:rPr>
          <w:rFonts w:ascii="黑体" w:eastAsia="黑体" w:hAnsi="黑体"/>
          <w:bCs/>
          <w:szCs w:val="21"/>
        </w:rPr>
        <w:t>数据收集</w:t>
      </w:r>
    </w:p>
    <w:p>
      <w:pPr>
        <w:rPr>
          <w:rFonts w:ascii="黑体" w:eastAsia="黑体" w:hAnsi="黑体"/>
          <w:bCs/>
          <w:szCs w:val="21"/>
        </w:rPr>
      </w:pPr>
      <w:r>
        <w:rPr>
          <w:rFonts w:ascii="黑体" w:eastAsia="黑体" w:hAnsi="黑体"/>
          <w:bCs/>
          <w:szCs w:val="21"/>
        </w:rPr>
        <w:t>B.3.2.1</w:t>
      </w:r>
      <w:r>
        <w:rPr>
          <w:rFonts w:ascii="黑体" w:eastAsia="黑体" w:hAnsi="黑体" w:hint="eastAsia"/>
          <w:bCs/>
          <w:szCs w:val="21"/>
        </w:rPr>
        <w:t xml:space="preserve">  </w:t>
      </w:r>
      <w:r>
        <w:rPr>
          <w:rFonts w:ascii="黑体" w:eastAsia="黑体" w:hAnsi="黑体"/>
          <w:bCs/>
          <w:szCs w:val="21"/>
        </w:rPr>
        <w:t>概况</w:t>
      </w:r>
    </w:p>
    <w:p>
      <w:pPr>
        <w:ind w:firstLine="420" w:firstLineChars="200"/>
        <w:rPr>
          <w:rFonts w:ascii="Times New Roman" w:hAnsi="Times New Roman"/>
          <w:color w:val="000000"/>
          <w:szCs w:val="21"/>
        </w:rPr>
      </w:pPr>
      <w:r>
        <w:rPr>
          <w:rFonts w:ascii="Times New Roman" w:hAnsi="宋体"/>
          <w:color w:val="000000"/>
          <w:szCs w:val="21"/>
        </w:rPr>
        <w:t>应将以下要素纳入数据清单：</w:t>
      </w:r>
      <w:r>
        <w:rPr>
          <w:rFonts w:ascii="Times New Roman" w:hAnsi="Times New Roman"/>
          <w:color w:val="000000"/>
          <w:szCs w:val="21"/>
        </w:rPr>
        <w:t xml:space="preserve"> </w:t>
      </w:r>
    </w:p>
    <w:p>
      <w:pPr>
        <w:pStyle w:val="ListParagraph"/>
        <w:widowControl/>
        <w:numPr>
          <w:ilvl w:val="0"/>
          <w:numId w:val="3"/>
        </w:numPr>
        <w:tabs>
          <w:tab w:val="left" w:pos="420"/>
        </w:tabs>
        <w:ind w:firstLineChars="0"/>
        <w:rPr>
          <w:rFonts w:ascii="Times New Roman" w:hAnsi="Times New Roman"/>
          <w:kern w:val="0"/>
          <w:szCs w:val="20"/>
        </w:rPr>
      </w:pPr>
      <w:r>
        <w:rPr>
          <w:rFonts w:ascii="Times New Roman" w:hAnsi="宋体"/>
          <w:kern w:val="0"/>
          <w:szCs w:val="20"/>
        </w:rPr>
        <w:t>原材料采购和预加工；</w:t>
      </w:r>
    </w:p>
    <w:p>
      <w:pPr>
        <w:pStyle w:val="ListParagraph"/>
        <w:widowControl/>
        <w:numPr>
          <w:ilvl w:val="0"/>
          <w:numId w:val="3"/>
        </w:numPr>
        <w:tabs>
          <w:tab w:val="left" w:pos="420"/>
        </w:tabs>
        <w:ind w:firstLineChars="0"/>
        <w:rPr>
          <w:rFonts w:ascii="Times New Roman" w:hAnsi="Times New Roman"/>
          <w:kern w:val="0"/>
          <w:szCs w:val="20"/>
        </w:rPr>
      </w:pPr>
      <w:r>
        <w:rPr>
          <w:rFonts w:ascii="Times New Roman" w:hAnsi="宋体"/>
          <w:kern w:val="0"/>
          <w:szCs w:val="20"/>
        </w:rPr>
        <w:t>生产；</w:t>
      </w:r>
    </w:p>
    <w:p>
      <w:pPr>
        <w:pStyle w:val="ListParagraph"/>
        <w:widowControl/>
        <w:numPr>
          <w:ilvl w:val="0"/>
          <w:numId w:val="3"/>
        </w:numPr>
        <w:tabs>
          <w:tab w:val="left" w:pos="420"/>
        </w:tabs>
        <w:ind w:firstLineChars="0"/>
        <w:rPr>
          <w:rFonts w:ascii="Times New Roman" w:hAnsi="Times New Roman"/>
          <w:kern w:val="0"/>
          <w:szCs w:val="20"/>
        </w:rPr>
      </w:pPr>
      <w:r>
        <w:rPr>
          <w:rFonts w:ascii="Times New Roman" w:hAnsi="宋体"/>
          <w:kern w:val="0"/>
          <w:szCs w:val="20"/>
        </w:rPr>
        <w:t>产品分配和储存；</w:t>
      </w:r>
    </w:p>
    <w:p>
      <w:pPr>
        <w:pStyle w:val="ListParagraph"/>
        <w:widowControl/>
        <w:numPr>
          <w:ilvl w:val="0"/>
          <w:numId w:val="3"/>
        </w:numPr>
        <w:tabs>
          <w:tab w:val="left" w:pos="420"/>
        </w:tabs>
        <w:ind w:firstLineChars="0"/>
        <w:rPr>
          <w:rFonts w:ascii="Times New Roman" w:hAnsi="Times New Roman"/>
          <w:kern w:val="0"/>
          <w:szCs w:val="20"/>
        </w:rPr>
      </w:pPr>
      <w:r>
        <w:rPr>
          <w:rFonts w:ascii="Times New Roman" w:hAnsi="宋体"/>
          <w:kern w:val="0"/>
          <w:szCs w:val="20"/>
        </w:rPr>
        <w:t>使用阶段；</w:t>
      </w:r>
    </w:p>
    <w:p>
      <w:pPr>
        <w:pStyle w:val="ListParagraph"/>
        <w:widowControl/>
        <w:numPr>
          <w:ilvl w:val="0"/>
          <w:numId w:val="3"/>
        </w:numPr>
        <w:tabs>
          <w:tab w:val="left" w:pos="420"/>
        </w:tabs>
        <w:ind w:firstLineChars="0"/>
        <w:rPr>
          <w:rFonts w:ascii="Times New Roman" w:hAnsi="Times New Roman"/>
          <w:kern w:val="0"/>
          <w:szCs w:val="20"/>
        </w:rPr>
      </w:pPr>
      <w:r>
        <w:rPr>
          <w:rFonts w:ascii="Times New Roman" w:hAnsi="宋体"/>
          <w:kern w:val="0"/>
          <w:szCs w:val="20"/>
        </w:rPr>
        <w:t>运输。</w:t>
      </w:r>
    </w:p>
    <w:p>
      <w:pPr>
        <w:ind w:firstLine="420" w:firstLineChars="200"/>
        <w:rPr>
          <w:rFonts w:ascii="Times New Roman" w:hAnsi="Times New Roman"/>
          <w:color w:val="000000"/>
          <w:szCs w:val="21"/>
        </w:rPr>
      </w:pPr>
      <w:r>
        <w:rPr>
          <w:rFonts w:ascii="Times New Roman" w:hAnsi="宋体"/>
          <w:color w:val="000000"/>
          <w:szCs w:val="21"/>
        </w:rPr>
        <w:t>基于</w:t>
      </w:r>
      <w:r>
        <w:rPr>
          <w:rFonts w:ascii="Times New Roman" w:hAnsi="Times New Roman"/>
          <w:color w:val="000000"/>
          <w:szCs w:val="21"/>
        </w:rPr>
        <w:t>LCA</w:t>
      </w:r>
      <w:r>
        <w:rPr>
          <w:rFonts w:ascii="Times New Roman" w:hAnsi="宋体"/>
          <w:color w:val="000000"/>
          <w:szCs w:val="21"/>
        </w:rPr>
        <w:t>的信息中要使用的数据可分为两类：现场数据和背景数据。主要数据尽量使用现场数据，如果现场数据收集缺乏，可以选择背景数据。</w:t>
      </w:r>
    </w:p>
    <w:p>
      <w:pPr>
        <w:ind w:firstLine="420" w:firstLineChars="200"/>
        <w:rPr>
          <w:rFonts w:ascii="Times New Roman" w:hAnsi="Times New Roman"/>
          <w:color w:val="000000"/>
          <w:szCs w:val="21"/>
        </w:rPr>
      </w:pPr>
      <w:r>
        <w:rPr>
          <w:rFonts w:ascii="Times New Roman" w:hAnsi="宋体"/>
          <w:color w:val="000000"/>
          <w:szCs w:val="21"/>
        </w:rPr>
        <w:t>现场数据是在现场具体操作过程中收集来的。主要包括生产过程的能源与水消耗、产品原材料的使用量、产品主要包装材料的使用量和废弃物产生量等。现场数据还应包括运输数据</w:t>
      </w:r>
      <w:r>
        <w:rPr>
          <w:rFonts w:ascii="Times New Roman" w:hAnsi="Times New Roman"/>
          <w:color w:val="000000"/>
          <w:szCs w:val="21"/>
        </w:rPr>
        <w:t>,</w:t>
      </w:r>
      <w:r>
        <w:rPr>
          <w:rFonts w:ascii="Times New Roman" w:hAnsi="宋体"/>
          <w:color w:val="000000"/>
          <w:szCs w:val="21"/>
        </w:rPr>
        <w:t>即产品原料、主要包装等从制造地点到最终交货点的运输距离。</w:t>
      </w:r>
    </w:p>
    <w:p>
      <w:pPr>
        <w:ind w:firstLine="420" w:firstLineChars="200"/>
        <w:rPr>
          <w:rFonts w:ascii="Times New Roman" w:hAnsi="Times New Roman"/>
          <w:color w:val="000000"/>
          <w:szCs w:val="21"/>
        </w:rPr>
      </w:pPr>
      <w:r>
        <w:rPr>
          <w:rFonts w:ascii="Times New Roman" w:hAnsi="宋体"/>
          <w:color w:val="000000"/>
          <w:szCs w:val="21"/>
        </w:rPr>
        <w:t>背景数据应当包括主要原料的生产数据、权威的电力的组合的数据</w:t>
      </w:r>
      <w:r>
        <w:rPr>
          <w:rFonts w:ascii="Times New Roman" w:hAnsi="Times New Roman"/>
          <w:color w:val="000000"/>
          <w:szCs w:val="21"/>
        </w:rPr>
        <w:t xml:space="preserve"> (</w:t>
      </w:r>
      <w:r>
        <w:rPr>
          <w:rFonts w:ascii="Times New Roman" w:hAnsi="宋体"/>
          <w:color w:val="000000"/>
          <w:szCs w:val="21"/>
        </w:rPr>
        <w:t>如火力、水、风力发电等</w:t>
      </w:r>
      <w:r>
        <w:rPr>
          <w:rFonts w:ascii="Times New Roman" w:hAnsi="Times New Roman"/>
          <w:color w:val="000000"/>
          <w:szCs w:val="21"/>
        </w:rPr>
        <w:t>)</w:t>
      </w:r>
      <w:r>
        <w:rPr>
          <w:rFonts w:ascii="Times New Roman" w:hAnsi="宋体"/>
          <w:color w:val="000000"/>
          <w:szCs w:val="21"/>
        </w:rPr>
        <w:t>、不同运输类型造成的环境影响以及产品成分在环境中降解或在本企业污水处理设施内处理过程的排放数据。</w:t>
      </w:r>
    </w:p>
    <w:p>
      <w:pPr>
        <w:rPr>
          <w:rFonts w:ascii="黑体" w:eastAsia="黑体" w:hAnsi="黑体"/>
          <w:bCs/>
          <w:szCs w:val="21"/>
        </w:rPr>
      </w:pPr>
      <w:r>
        <w:rPr>
          <w:rFonts w:ascii="黑体" w:eastAsia="黑体" w:hAnsi="黑体"/>
          <w:bCs/>
          <w:szCs w:val="21"/>
        </w:rPr>
        <w:t>B.3.2.2</w:t>
      </w:r>
      <w:r>
        <w:rPr>
          <w:rFonts w:ascii="黑体" w:eastAsia="黑体" w:hAnsi="黑体" w:hint="eastAsia"/>
          <w:bCs/>
          <w:szCs w:val="21"/>
        </w:rPr>
        <w:t xml:space="preserve"> </w:t>
      </w:r>
      <w:r>
        <w:rPr>
          <w:rFonts w:ascii="黑体" w:eastAsia="黑体" w:hAnsi="黑体"/>
          <w:bCs/>
          <w:szCs w:val="21"/>
        </w:rPr>
        <w:t xml:space="preserve"> 现场数据采集</w:t>
      </w:r>
    </w:p>
    <w:p>
      <w:pPr>
        <w:ind w:firstLine="420" w:firstLineChars="200"/>
        <w:rPr>
          <w:rFonts w:ascii="Times New Roman" w:hAnsi="Times New Roman"/>
          <w:color w:val="000000"/>
          <w:szCs w:val="21"/>
        </w:rPr>
      </w:pPr>
      <w:r>
        <w:rPr>
          <w:rFonts w:ascii="Times New Roman" w:hAnsi="宋体"/>
          <w:color w:val="000000"/>
          <w:szCs w:val="21"/>
        </w:rPr>
        <w:t>应描述代表某一特定设施或一组设施的活动而直接测量或收集的数据相关采集规程。可直接对过程进行的测量或者通过采访或问卷调查从经营者处获得的测量值为特定过程最具代表性的数据来源。数据质量要求如下：</w:t>
      </w:r>
    </w:p>
    <w:p>
      <w:pPr>
        <w:pStyle w:val="ListParagraph"/>
        <w:numPr>
          <w:ilvl w:val="0"/>
          <w:numId w:val="4"/>
        </w:numPr>
        <w:ind w:firstLineChars="0"/>
        <w:rPr>
          <w:rFonts w:ascii="Times New Roman" w:hAnsi="Times New Roman"/>
          <w:color w:val="000000"/>
          <w:szCs w:val="21"/>
        </w:rPr>
      </w:pPr>
      <w:r>
        <w:rPr>
          <w:rFonts w:ascii="Times New Roman" w:hAnsi="宋体"/>
          <w:color w:val="000000"/>
          <w:szCs w:val="21"/>
        </w:rPr>
        <w:t>代表性：现场数据应按照企业生产单元收集所确定范围内的生产统计数据；</w:t>
      </w:r>
    </w:p>
    <w:p>
      <w:pPr>
        <w:pStyle w:val="ListParagraph"/>
        <w:numPr>
          <w:ilvl w:val="0"/>
          <w:numId w:val="4"/>
        </w:numPr>
        <w:ind w:firstLineChars="0"/>
        <w:rPr>
          <w:rFonts w:ascii="Times New Roman" w:hAnsi="Times New Roman"/>
          <w:color w:val="000000"/>
          <w:szCs w:val="21"/>
        </w:rPr>
      </w:pPr>
      <w:r>
        <w:rPr>
          <w:rFonts w:ascii="Times New Roman" w:hAnsi="宋体"/>
          <w:color w:val="000000"/>
          <w:szCs w:val="21"/>
        </w:rPr>
        <w:t>完整性：现场数据应采集完整的生命周期要求数据；</w:t>
      </w:r>
    </w:p>
    <w:p>
      <w:pPr>
        <w:pStyle w:val="ListParagraph"/>
        <w:numPr>
          <w:ilvl w:val="0"/>
          <w:numId w:val="4"/>
        </w:numPr>
        <w:ind w:firstLineChars="0"/>
        <w:rPr>
          <w:rFonts w:ascii="Times New Roman" w:hAnsi="Times New Roman"/>
          <w:color w:val="000000"/>
          <w:szCs w:val="21"/>
        </w:rPr>
      </w:pPr>
      <w:r>
        <w:rPr>
          <w:rFonts w:ascii="Times New Roman" w:hAnsi="宋体"/>
          <w:color w:val="000000"/>
          <w:szCs w:val="21"/>
        </w:rPr>
        <w:t>准确性：现场数据中的资源、能源、原材料消耗数据应该来自于生产单元的实际生产统计记录；环境排放数据优先选择相关的环境监测报告，或由排污因子或物料平衡公式计算获得。所有现场数据均应转换为单位产品，即</w:t>
      </w:r>
      <w:r>
        <w:rPr>
          <w:rFonts w:ascii="Times New Roman" w:hAnsi="Times New Roman"/>
          <w:color w:val="000000"/>
          <w:szCs w:val="21"/>
        </w:rPr>
        <w:t>1</w:t>
      </w:r>
      <w:r>
        <w:rPr>
          <w:rFonts w:ascii="Times New Roman" w:hAnsi="宋体"/>
          <w:color w:val="000000"/>
          <w:szCs w:val="21"/>
        </w:rPr>
        <w:t>万米为基准折算，且需要详细记录相关的原始数据、数据来源、计算过程等；</w:t>
      </w:r>
    </w:p>
    <w:p>
      <w:pPr>
        <w:pStyle w:val="ListParagraph"/>
        <w:numPr>
          <w:ilvl w:val="0"/>
          <w:numId w:val="4"/>
        </w:numPr>
        <w:ind w:firstLineChars="0"/>
        <w:rPr>
          <w:rFonts w:ascii="Times New Roman" w:hAnsi="Times New Roman"/>
          <w:color w:val="000000"/>
          <w:szCs w:val="21"/>
        </w:rPr>
      </w:pPr>
      <w:r>
        <w:rPr>
          <w:rFonts w:ascii="Times New Roman" w:hAnsi="宋体"/>
          <w:color w:val="000000"/>
          <w:szCs w:val="21"/>
        </w:rPr>
        <w:t>一致性：企业现场数据收集时应保持相同的数据来源、统计口径、处理规则等。典型的现场数据来源包括：</w:t>
      </w:r>
    </w:p>
    <w:p>
      <w:pPr>
        <w:ind w:firstLine="420"/>
        <w:rPr>
          <w:rFonts w:ascii="Times New Roman" w:hAnsi="Times New Roman"/>
          <w:color w:val="000000"/>
          <w:szCs w:val="21"/>
        </w:rPr>
      </w:pPr>
      <w:r>
        <w:rPr>
          <w:rFonts w:ascii="Times New Roman" w:hAnsi="Times New Roman" w:hint="eastAsia"/>
          <w:color w:val="000000"/>
          <w:szCs w:val="21"/>
        </w:rPr>
        <w:t xml:space="preserve">    </w:t>
      </w:r>
      <w:r>
        <w:rPr>
          <w:rFonts w:ascii="Times New Roman" w:hAnsi="Times New Roman"/>
          <w:color w:val="000000"/>
          <w:szCs w:val="21"/>
        </w:rPr>
        <w:t>——</w:t>
      </w:r>
      <w:r>
        <w:rPr>
          <w:rFonts w:ascii="宋体" w:eastAsia="宋体" w:hAnsi="宋体" w:cs="宋体" w:hint="eastAsia"/>
          <w:szCs w:val="21"/>
          <w:lang w:val="en-US" w:eastAsia="zh-CN"/>
        </w:rPr>
        <w:t>水性超细纤维聚氨酯合成革</w:t>
      </w:r>
      <w:r>
        <w:rPr>
          <w:rFonts w:ascii="Times New Roman" w:hAnsi="宋体"/>
          <w:color w:val="000000"/>
          <w:szCs w:val="21"/>
        </w:rPr>
        <w:t>的原材料采购和预加工；</w:t>
      </w:r>
    </w:p>
    <w:p>
      <w:pPr>
        <w:ind w:firstLine="420"/>
        <w:rPr>
          <w:rFonts w:ascii="Times New Roman" w:hAnsi="Times New Roman"/>
          <w:color w:val="000000"/>
          <w:szCs w:val="21"/>
        </w:rPr>
      </w:pPr>
      <w:r>
        <w:rPr>
          <w:rFonts w:ascii="Times New Roman" w:hAnsi="Times New Roman" w:hint="eastAsia"/>
          <w:color w:val="000000"/>
          <w:szCs w:val="21"/>
        </w:rPr>
        <w:t xml:space="preserve">    </w:t>
      </w:r>
      <w:r>
        <w:rPr>
          <w:rFonts w:ascii="Times New Roman" w:hAnsi="Times New Roman"/>
          <w:color w:val="000000"/>
          <w:szCs w:val="21"/>
        </w:rPr>
        <w:t>——</w:t>
      </w:r>
      <w:r>
        <w:rPr>
          <w:rFonts w:ascii="宋体" w:eastAsia="宋体" w:hAnsi="宋体" w:cs="宋体" w:hint="eastAsia"/>
          <w:szCs w:val="21"/>
          <w:lang w:val="en-US" w:eastAsia="zh-CN"/>
        </w:rPr>
        <w:t>水性超细纤维聚氨酯合成革</w:t>
      </w:r>
      <w:r>
        <w:rPr>
          <w:rFonts w:ascii="Times New Roman" w:hAnsi="宋体"/>
          <w:color w:val="000000"/>
          <w:szCs w:val="21"/>
        </w:rPr>
        <w:t>的原材料由原材料供应商运输至革生产商处的运输数据；</w:t>
      </w:r>
    </w:p>
    <w:p>
      <w:pPr>
        <w:ind w:firstLine="420"/>
        <w:rPr>
          <w:rFonts w:ascii="Times New Roman" w:hAnsi="Times New Roman"/>
          <w:color w:val="000000"/>
          <w:szCs w:val="21"/>
        </w:rPr>
      </w:pPr>
      <w:r>
        <w:rPr>
          <w:rFonts w:ascii="Times New Roman" w:hAnsi="Times New Roman" w:hint="eastAsia"/>
          <w:color w:val="000000"/>
          <w:szCs w:val="21"/>
        </w:rPr>
        <w:t xml:space="preserve">    </w:t>
      </w:r>
      <w:r>
        <w:rPr>
          <w:rFonts w:ascii="Times New Roman" w:hAnsi="Times New Roman"/>
          <w:color w:val="000000"/>
          <w:szCs w:val="21"/>
        </w:rPr>
        <w:t>——</w:t>
      </w:r>
      <w:r>
        <w:rPr>
          <w:rFonts w:ascii="宋体" w:eastAsia="宋体" w:hAnsi="宋体" w:cs="宋体" w:hint="eastAsia"/>
          <w:szCs w:val="21"/>
          <w:lang w:val="en-US" w:eastAsia="zh-CN"/>
        </w:rPr>
        <w:t>水性超细纤维聚氨酯合成革</w:t>
      </w:r>
      <w:r>
        <w:rPr>
          <w:rFonts w:ascii="Times New Roman" w:hAnsi="宋体"/>
          <w:color w:val="000000"/>
          <w:szCs w:val="21"/>
        </w:rPr>
        <w:t>生产过程的碳能源和水资源消耗数据；</w:t>
      </w:r>
      <w:r>
        <w:rPr>
          <w:rFonts w:ascii="Times New Roman" w:hAnsi="Times New Roman"/>
          <w:color w:val="000000"/>
          <w:szCs w:val="21"/>
        </w:rPr>
        <w:br/>
      </w:r>
      <w:r>
        <w:rPr>
          <w:rFonts w:ascii="Times New Roman" w:hAnsi="Times New Roman"/>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5" w:history="1">
        <w:r>
          <w:rPr>
            <w:rFonts w:ascii="SimSun" w:eastAsia="SimSun" w:hAnsi="SimSun" w:cs="SimSun"/>
            <w:b/>
            <w:bCs/>
            <w:color w:val="0000EE"/>
            <w:kern w:val="0"/>
            <w:sz w:val="30"/>
            <w:szCs w:val="30"/>
            <w:u w:val="single" w:color="0000EE"/>
          </w:rPr>
          <w:t>https://d.book118.com/728112025065006047</w:t>
        </w:r>
      </w:hyperlink>
    </w:p>
    <w:p>
      <w:pPr>
        <w:ind w:firstLine="420"/>
        <w:rPr>
          <w:rFonts w:ascii="Times New Roman" w:hAnsi="Times New Roman"/>
          <w:color w:val="000000"/>
          <w:szCs w:val="21"/>
        </w:rPr>
      </w:pPr>
    </w:p>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218" w:right="1134" w:bottom="1134" w:left="1418" w:header="851" w:footer="992" w:gutter="0"/>
      <w:pgNumType w:fmt="numberInDash" w:start="12"/>
      <w:cols w:space="708"/>
      <w:titlePg w:val="0"/>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4002EFF" w:usb1="C000247B" w:usb2="00000009" w:usb3="00000000" w:csb0="200001FF" w:csb1="00000000"/>
  </w:font>
  <w:font w:name="宋体">
    <w:panose1 w:val="02010600030101010101"/>
    <w:charset w:val="86"/>
    <w:family w:val="auto"/>
    <w:pitch w:val="default"/>
    <w:sig w:usb0="00000203" w:usb1="288F0000" w:usb2="00000006" w:usb3="00000000" w:csb0="00040001" w:csb1="00000000"/>
  </w:font>
  <w:font w:name="Times New Roman">
    <w:panose1 w:val="02020603050405020304"/>
    <w:charset w:val="86"/>
    <w:family w:val="roman"/>
    <w:pitch w:val="default"/>
    <w:sig w:usb0="E0002EFF" w:usb1="C000785B" w:usb2="00000009" w:usb3="00000000" w:csb0="4004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49" type="#_x0000_t202" style="width:2in;height:2in;margin-top:0;margin-left:0;mso-position-horizontal:right;mso-position-horizontal-relative:margin;mso-wrap-style:none;position:absolute;z-index:251658240"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- 1 -</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0" type="#_x0000_t202" style="width:2in;height:2in;margin-top:0;margin-left:0;mso-position-horizontal:right;mso-position-horizontal-relative:margin;mso-wrap-style:none;position:absolute;z-index:251659264"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- 2 -</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1" type="#_x0000_t202" style="width:2in;height:2in;margin-top:0;margin-left:0;mso-position-horizontal:right;mso-position-horizontal-relative:margin;mso-wrap-style:none;position:absolute;z-index:251660288"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- 3 -</w:t>
                </w:r>
                <w: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2" type="#_x0000_t202" style="width:2in;height:2in;margin-top:0;margin-left:0;mso-position-horizontal:right;mso-position-horizontal-relative:margin;mso-wrap-style:none;position:absolute;z-index:251661312"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- 5 -</w:t>
                </w:r>
                <w: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3" type="#_x0000_t202" style="width:2in;height:2in;margin-top:0;margin-left:0;mso-position-horizontal:right;mso-position-horizontal-relative:margin;mso-wrap-style:none;position:absolute;z-index:251662336"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- 5 -</w:t>
                </w:r>
                <w: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4" type="#_x0000_t202" style="width:2in;height:2in;margin-top:0;margin-left:0;mso-position-horizontal:right;mso-position-horizontal-relative:margin;mso-wrap-style:none;position:absolute;z-index:251663360"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- 7 -</w:t>
                </w:r>
                <w: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5" type="#_x0000_t202" style="width:2in;height:2in;margin-top:0;margin-left:0;mso-position-horizontal:right;mso-position-horizontal-relative:margin;mso-wrap-style:none;position:absolute;z-index:251664384"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- 8 -</w:t>
                </w:r>
                <w: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6" type="#_x0000_t202" style="width:2in;height:2in;margin-top:0;margin-left:0;mso-position-horizontal:right;mso-position-horizontal-relative:margin;mso-wrap-style:none;position:absolute;z-index:251665408"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- 8 -</w:t>
                </w:r>
                <w: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7" type="#_x0000_t202" style="width:2in;height:2in;margin-top:0;margin-left:0;mso-position-horizontal:right;mso-position-horizontal-relative:margin;mso-wrap-style:none;position:absolute;z-index:251666432"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- 9 -</w:t>
                </w:r>
                <w:r>
                  <w:fldChar w:fldCharType="end"/>
                </w:r>
              </w:p>
            </w:txbxContent>
          </v:textbox>
          <w10:wrap anchorx="margin"/>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8" type="#_x0000_t202" style="width:2in;height:2in;margin-top:0;margin-left:0;mso-position-horizontal:right;mso-position-horizontal-relative:margin;mso-wrap-style:none;position:absolute;z-index:251667456"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- 10 -</w:t>
                </w:r>
                <w: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right;mso-position-horizontal-relative:margin;mso-wrap-style:none;position:absolute;z-index:251668480"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- 11 -</w:t>
                </w:r>
                <w:r>
                  <w:fldChar w:fldCharType="end"/>
                </w:r>
              </w:p>
            </w:txbxContent>
          </v:textbox>
          <w10:wrap anchorx="margin"/>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
    </w:pPr>
    <w:r>
      <w:fldChar w:fldCharType="begin"/>
    </w:r>
    <w:r>
      <w:instrText xml:space="preserve"> PAGE  \* MERGEFORMAT </w:instrText>
    </w:r>
    <w:r>
      <w:fldChar w:fldCharType="separate"/>
    </w:r>
    <w:r>
      <w:t>2</w:t>
    </w:r>
    <w:r>
      <w:fldChar w:fldCharType="end"/>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 o:spid="_x0000_s2060" type="#_x0000_t202" style="width:2in;height:2in;margin-top:0;margin-left:0;mso-position-horizontal:right;mso-position-horizontal-relative:margin;mso-wrap-style:none;position:absolute;z-index:251669504" filled="f" stroked="f">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- 12 -</w:t>
                </w:r>
                <w:r>
                  <w:fldChar w:fldCharType="end"/>
                </w:r>
              </w:p>
            </w:txbxContent>
          </v:textbox>
          <w10:wrap anchorx="margin"/>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7350" w:firstLineChars="3500"/>
    </w:pPr>
    <w:r>
      <w:rPr>
        <w:rFonts w:hint="eastAsia"/>
      </w:rPr>
      <w:t>T/CNLIC  XXXX-XXXX</w:t>
    </w:r>
  </w:p>
  <w:p>
    <w:pPr>
      <w:pStyle w:val="a6"/>
      <w:tabs>
        <w:tab w:val="center" w:pos="4154"/>
        <w:tab w:val="right" w:pos="8306"/>
      </w:tabs>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0"/>
      <w:tabs>
        <w:tab w:val="center" w:pos="4201"/>
        <w:tab w:val="right" w:leader="dot" w:pos="9298"/>
      </w:tabs>
      <w:ind w:firstLine="0" w:firstLineChars="0"/>
      <w:jc w:val="right"/>
    </w:pPr>
    <w:r>
      <w:rPr>
        <w:rFonts w:ascii="Times New Roman"/>
      </w:rPr>
      <w:t>T/CNLIC</w:t>
    </w:r>
    <w:r>
      <w:rPr>
        <w:rFonts w:hint="eastAsia"/>
      </w:rPr>
      <w:t xml:space="preserve">  </w:t>
    </w:r>
    <w:r>
      <w:rPr>
        <w:rFonts w:ascii="Arial Narrow" w:hAnsi="Arial Narrow"/>
      </w:rPr>
      <w:t>XXXX-XXXX</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13C10"/>
    <w:multiLevelType w:val="multilevel"/>
    <w:tmpl w:val="07B13C10"/>
    <w:lvl w:ilvl="0">
      <w:start w:val="1"/>
      <w:numFmt w:val="lowerLetter"/>
      <w:lvlText w:val="%1）"/>
      <w:lvlJc w:val="left"/>
      <w:pPr>
        <w:ind w:left="840" w:hanging="420"/>
      </w:pPr>
      <w:rPr>
        <w:rFonts w:ascii="黑体" w:eastAsia="黑体" w:hAnsi="黑体"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0A354613"/>
    <w:multiLevelType w:val="multilevel"/>
    <w:tmpl w:val="0A354613"/>
    <w:lvl w:ilvl="0">
      <w:start w:val="1"/>
      <w:numFmt w:val="lowerLetter"/>
      <w:lvlText w:val="%1）"/>
      <w:lvlJc w:val="left"/>
      <w:pPr>
        <w:ind w:left="840" w:hanging="420"/>
      </w:pPr>
      <w:rPr>
        <w:rFonts w:ascii="黑体" w:eastAsia="黑体" w:hAnsi="黑体"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115E6AB6"/>
    <w:multiLevelType w:val="multilevel"/>
    <w:tmpl w:val="115E6AB6"/>
    <w:lvl w:ilvl="0">
      <w:start w:val="1"/>
      <w:numFmt w:val="lowerLetter"/>
      <w:lvlText w:val="%1）"/>
      <w:lvlJc w:val="left"/>
      <w:pPr>
        <w:ind w:left="840" w:hanging="420"/>
      </w:pPr>
      <w:rPr>
        <w:rFonts w:ascii="黑体" w:eastAsia="黑体" w:hAnsi="黑体"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15923213"/>
    <w:multiLevelType w:val="multilevel"/>
    <w:tmpl w:val="15923213"/>
    <w:lvl w:ilvl="0">
      <w:start w:val="1"/>
      <w:numFmt w:val="lowerLetter"/>
      <w:lvlText w:val="%1）"/>
      <w:lvlJc w:val="left"/>
      <w:pPr>
        <w:ind w:left="840" w:hanging="420"/>
      </w:pPr>
      <w:rPr>
        <w:rFonts w:ascii="黑体" w:eastAsia="黑体" w:hAnsi="黑体"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50A166BB"/>
    <w:multiLevelType w:val="multilevel"/>
    <w:tmpl w:val="50A166BB"/>
    <w:lvl w:ilvl="0">
      <w:start w:val="1"/>
      <w:numFmt w:val="lowerLetter"/>
      <w:lvlText w:val="%1）"/>
      <w:lvlJc w:val="left"/>
      <w:pPr>
        <w:ind w:left="840" w:hanging="420"/>
      </w:pPr>
      <w:rPr>
        <w:rFonts w:ascii="黑体" w:eastAsia="黑体" w:hAnsi="黑体"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nsid w:val="563D22B4"/>
    <w:multiLevelType w:val="multilevel"/>
    <w:tmpl w:val="563D22B4"/>
    <w:lvl w:ilvl="0">
      <w:start w:val="1"/>
      <w:numFmt w:val="lowerLetter"/>
      <w:lvlText w:val="%1）"/>
      <w:lvlJc w:val="left"/>
      <w:pPr>
        <w:ind w:left="840" w:hanging="420"/>
      </w:pPr>
      <w:rPr>
        <w:rFonts w:ascii="黑体" w:eastAsia="黑体" w:hAnsi="黑体"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nsid w:val="647769B8"/>
    <w:multiLevelType w:val="multilevel"/>
    <w:tmpl w:val="647769B8"/>
    <w:lvl w:ilvl="0">
      <w:start w:val="1"/>
      <w:numFmt w:val="lowerLetter"/>
      <w:lvlText w:val="%1）"/>
      <w:lvlJc w:val="left"/>
      <w:pPr>
        <w:ind w:left="840" w:hanging="420"/>
      </w:pPr>
      <w:rPr>
        <w:rFonts w:ascii="黑体" w:eastAsia="黑体" w:hAnsi="黑体"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06AA"/>
    <w:rsid w:val="0000196E"/>
    <w:rsid w:val="000056C2"/>
    <w:rsid w:val="00007DE8"/>
    <w:rsid w:val="00007E72"/>
    <w:rsid w:val="00013633"/>
    <w:rsid w:val="000137DD"/>
    <w:rsid w:val="00013C57"/>
    <w:rsid w:val="00014B82"/>
    <w:rsid w:val="00014BDD"/>
    <w:rsid w:val="00014D98"/>
    <w:rsid w:val="00016ECC"/>
    <w:rsid w:val="0001736D"/>
    <w:rsid w:val="000173F6"/>
    <w:rsid w:val="00023616"/>
    <w:rsid w:val="0002388B"/>
    <w:rsid w:val="00023B01"/>
    <w:rsid w:val="00024845"/>
    <w:rsid w:val="00025D72"/>
    <w:rsid w:val="00026D3E"/>
    <w:rsid w:val="00030481"/>
    <w:rsid w:val="000316C8"/>
    <w:rsid w:val="00031B6E"/>
    <w:rsid w:val="000322B5"/>
    <w:rsid w:val="00033A54"/>
    <w:rsid w:val="00034474"/>
    <w:rsid w:val="000345AC"/>
    <w:rsid w:val="00035521"/>
    <w:rsid w:val="00036B84"/>
    <w:rsid w:val="00036B86"/>
    <w:rsid w:val="00037B92"/>
    <w:rsid w:val="00043525"/>
    <w:rsid w:val="0004407B"/>
    <w:rsid w:val="00045A9E"/>
    <w:rsid w:val="00045DFB"/>
    <w:rsid w:val="00046498"/>
    <w:rsid w:val="00046990"/>
    <w:rsid w:val="00047074"/>
    <w:rsid w:val="000509CC"/>
    <w:rsid w:val="000514E1"/>
    <w:rsid w:val="00052E31"/>
    <w:rsid w:val="00053BF3"/>
    <w:rsid w:val="00062EA6"/>
    <w:rsid w:val="00063662"/>
    <w:rsid w:val="00063C5A"/>
    <w:rsid w:val="000641F9"/>
    <w:rsid w:val="00064B51"/>
    <w:rsid w:val="00067151"/>
    <w:rsid w:val="000675E4"/>
    <w:rsid w:val="00071A83"/>
    <w:rsid w:val="0007260A"/>
    <w:rsid w:val="00072B43"/>
    <w:rsid w:val="00072F8D"/>
    <w:rsid w:val="000732D4"/>
    <w:rsid w:val="00073C79"/>
    <w:rsid w:val="00074AD0"/>
    <w:rsid w:val="0007539A"/>
    <w:rsid w:val="00076D78"/>
    <w:rsid w:val="00077EB4"/>
    <w:rsid w:val="00080278"/>
    <w:rsid w:val="00080849"/>
    <w:rsid w:val="000822F4"/>
    <w:rsid w:val="00084757"/>
    <w:rsid w:val="00084E14"/>
    <w:rsid w:val="000877DE"/>
    <w:rsid w:val="00090B0A"/>
    <w:rsid w:val="0009149D"/>
    <w:rsid w:val="000933ED"/>
    <w:rsid w:val="00094637"/>
    <w:rsid w:val="00095F23"/>
    <w:rsid w:val="00097063"/>
    <w:rsid w:val="00097423"/>
    <w:rsid w:val="000A043B"/>
    <w:rsid w:val="000A1FFA"/>
    <w:rsid w:val="000A2E7A"/>
    <w:rsid w:val="000A4F4F"/>
    <w:rsid w:val="000A521E"/>
    <w:rsid w:val="000A55D6"/>
    <w:rsid w:val="000A5B77"/>
    <w:rsid w:val="000A5F2B"/>
    <w:rsid w:val="000A666C"/>
    <w:rsid w:val="000A6DDF"/>
    <w:rsid w:val="000B05DF"/>
    <w:rsid w:val="000B1230"/>
    <w:rsid w:val="000B1A87"/>
    <w:rsid w:val="000B2150"/>
    <w:rsid w:val="000B2702"/>
    <w:rsid w:val="000B2B34"/>
    <w:rsid w:val="000B3D86"/>
    <w:rsid w:val="000B5ACF"/>
    <w:rsid w:val="000B720F"/>
    <w:rsid w:val="000B7E0D"/>
    <w:rsid w:val="000C01E5"/>
    <w:rsid w:val="000C1969"/>
    <w:rsid w:val="000C3213"/>
    <w:rsid w:val="000C4E53"/>
    <w:rsid w:val="000C78E5"/>
    <w:rsid w:val="000C7E9F"/>
    <w:rsid w:val="000D0F88"/>
    <w:rsid w:val="000D1761"/>
    <w:rsid w:val="000D1E28"/>
    <w:rsid w:val="000D2946"/>
    <w:rsid w:val="000D2CC8"/>
    <w:rsid w:val="000D4006"/>
    <w:rsid w:val="000D4941"/>
    <w:rsid w:val="000D5B63"/>
    <w:rsid w:val="000D729F"/>
    <w:rsid w:val="000D7755"/>
    <w:rsid w:val="000D79D5"/>
    <w:rsid w:val="000D7C69"/>
    <w:rsid w:val="000E2092"/>
    <w:rsid w:val="000E2509"/>
    <w:rsid w:val="000E34B1"/>
    <w:rsid w:val="000E4462"/>
    <w:rsid w:val="000E4776"/>
    <w:rsid w:val="000E4F23"/>
    <w:rsid w:val="000E5429"/>
    <w:rsid w:val="000E598F"/>
    <w:rsid w:val="000E5E34"/>
    <w:rsid w:val="000E7571"/>
    <w:rsid w:val="000E7AF4"/>
    <w:rsid w:val="000E7EC2"/>
    <w:rsid w:val="000F1A45"/>
    <w:rsid w:val="000F2814"/>
    <w:rsid w:val="000F3DC3"/>
    <w:rsid w:val="000F5F3E"/>
    <w:rsid w:val="000F6F55"/>
    <w:rsid w:val="00102434"/>
    <w:rsid w:val="00102D88"/>
    <w:rsid w:val="00105D12"/>
    <w:rsid w:val="001155DC"/>
    <w:rsid w:val="0011610F"/>
    <w:rsid w:val="001166F5"/>
    <w:rsid w:val="00117F98"/>
    <w:rsid w:val="001204B0"/>
    <w:rsid w:val="0012052E"/>
    <w:rsid w:val="0012091D"/>
    <w:rsid w:val="00122567"/>
    <w:rsid w:val="001232A0"/>
    <w:rsid w:val="001241D7"/>
    <w:rsid w:val="00124BD7"/>
    <w:rsid w:val="00124EE9"/>
    <w:rsid w:val="00125022"/>
    <w:rsid w:val="00125927"/>
    <w:rsid w:val="00125DBD"/>
    <w:rsid w:val="0012720B"/>
    <w:rsid w:val="001273B5"/>
    <w:rsid w:val="00130CFA"/>
    <w:rsid w:val="001327DC"/>
    <w:rsid w:val="00132848"/>
    <w:rsid w:val="00133DC1"/>
    <w:rsid w:val="00135CDC"/>
    <w:rsid w:val="00140138"/>
    <w:rsid w:val="001401A1"/>
    <w:rsid w:val="001430E2"/>
    <w:rsid w:val="00144B3A"/>
    <w:rsid w:val="00145C8B"/>
    <w:rsid w:val="00146CF4"/>
    <w:rsid w:val="001474E5"/>
    <w:rsid w:val="00147583"/>
    <w:rsid w:val="00147B64"/>
    <w:rsid w:val="00147DED"/>
    <w:rsid w:val="001504B5"/>
    <w:rsid w:val="0015119F"/>
    <w:rsid w:val="00152AFC"/>
    <w:rsid w:val="0015367D"/>
    <w:rsid w:val="001564FF"/>
    <w:rsid w:val="00160405"/>
    <w:rsid w:val="00161830"/>
    <w:rsid w:val="00161880"/>
    <w:rsid w:val="00162345"/>
    <w:rsid w:val="0016360F"/>
    <w:rsid w:val="001638AC"/>
    <w:rsid w:val="00172AB4"/>
    <w:rsid w:val="00172FA8"/>
    <w:rsid w:val="00173AFA"/>
    <w:rsid w:val="00173C31"/>
    <w:rsid w:val="00173E60"/>
    <w:rsid w:val="00175191"/>
    <w:rsid w:val="001765EB"/>
    <w:rsid w:val="0018078C"/>
    <w:rsid w:val="00180A38"/>
    <w:rsid w:val="001824FA"/>
    <w:rsid w:val="001832C7"/>
    <w:rsid w:val="00183A55"/>
    <w:rsid w:val="00183DBF"/>
    <w:rsid w:val="0018527B"/>
    <w:rsid w:val="0018552E"/>
    <w:rsid w:val="00186C75"/>
    <w:rsid w:val="00187EB1"/>
    <w:rsid w:val="001916D4"/>
    <w:rsid w:val="00192F5E"/>
    <w:rsid w:val="0019307C"/>
    <w:rsid w:val="00194145"/>
    <w:rsid w:val="001941B9"/>
    <w:rsid w:val="001945DB"/>
    <w:rsid w:val="00196704"/>
    <w:rsid w:val="001977AA"/>
    <w:rsid w:val="001A2713"/>
    <w:rsid w:val="001A42DE"/>
    <w:rsid w:val="001A4DFF"/>
    <w:rsid w:val="001A5CBB"/>
    <w:rsid w:val="001A6BFA"/>
    <w:rsid w:val="001A6FA5"/>
    <w:rsid w:val="001A7002"/>
    <w:rsid w:val="001B2B81"/>
    <w:rsid w:val="001B421F"/>
    <w:rsid w:val="001B4D0A"/>
    <w:rsid w:val="001B4D97"/>
    <w:rsid w:val="001B67AD"/>
    <w:rsid w:val="001B6A9C"/>
    <w:rsid w:val="001B7E53"/>
    <w:rsid w:val="001C0441"/>
    <w:rsid w:val="001C3523"/>
    <w:rsid w:val="001C493D"/>
    <w:rsid w:val="001C54DD"/>
    <w:rsid w:val="001C5B3B"/>
    <w:rsid w:val="001C5E83"/>
    <w:rsid w:val="001C65F8"/>
    <w:rsid w:val="001C6C21"/>
    <w:rsid w:val="001C7AC4"/>
    <w:rsid w:val="001D0401"/>
    <w:rsid w:val="001D0934"/>
    <w:rsid w:val="001D0F16"/>
    <w:rsid w:val="001D132F"/>
    <w:rsid w:val="001D18C8"/>
    <w:rsid w:val="001D32BA"/>
    <w:rsid w:val="001D39FB"/>
    <w:rsid w:val="001D3F74"/>
    <w:rsid w:val="001D45C3"/>
    <w:rsid w:val="001D51E6"/>
    <w:rsid w:val="001D63E9"/>
    <w:rsid w:val="001D6741"/>
    <w:rsid w:val="001D6887"/>
    <w:rsid w:val="001D6C0D"/>
    <w:rsid w:val="001E0DDB"/>
    <w:rsid w:val="001E1545"/>
    <w:rsid w:val="001E1A42"/>
    <w:rsid w:val="001E31E2"/>
    <w:rsid w:val="001E45BB"/>
    <w:rsid w:val="001E6D43"/>
    <w:rsid w:val="001F2484"/>
    <w:rsid w:val="001F2B6E"/>
    <w:rsid w:val="001F2BD4"/>
    <w:rsid w:val="001F2DCA"/>
    <w:rsid w:val="001F3069"/>
    <w:rsid w:val="001F3B4C"/>
    <w:rsid w:val="001F46CD"/>
    <w:rsid w:val="001F60C6"/>
    <w:rsid w:val="001F723E"/>
    <w:rsid w:val="00201A35"/>
    <w:rsid w:val="00202C6C"/>
    <w:rsid w:val="002032B5"/>
    <w:rsid w:val="00205B54"/>
    <w:rsid w:val="002065E5"/>
    <w:rsid w:val="002068C5"/>
    <w:rsid w:val="00207B33"/>
    <w:rsid w:val="00212794"/>
    <w:rsid w:val="00212935"/>
    <w:rsid w:val="00215525"/>
    <w:rsid w:val="00216B37"/>
    <w:rsid w:val="00217EF1"/>
    <w:rsid w:val="00222117"/>
    <w:rsid w:val="00222886"/>
    <w:rsid w:val="002252BF"/>
    <w:rsid w:val="002264C5"/>
    <w:rsid w:val="0023076B"/>
    <w:rsid w:val="00230913"/>
    <w:rsid w:val="00233675"/>
    <w:rsid w:val="00233EC9"/>
    <w:rsid w:val="002342C1"/>
    <w:rsid w:val="002343F2"/>
    <w:rsid w:val="0023472E"/>
    <w:rsid w:val="00234D2B"/>
    <w:rsid w:val="00240A79"/>
    <w:rsid w:val="00240E3D"/>
    <w:rsid w:val="00241E9A"/>
    <w:rsid w:val="00243C0F"/>
    <w:rsid w:val="00243FEB"/>
    <w:rsid w:val="0024591A"/>
    <w:rsid w:val="00247A9A"/>
    <w:rsid w:val="00251DD7"/>
    <w:rsid w:val="0025216F"/>
    <w:rsid w:val="0025294C"/>
    <w:rsid w:val="002529A6"/>
    <w:rsid w:val="00252A1F"/>
    <w:rsid w:val="002555CC"/>
    <w:rsid w:val="00256C85"/>
    <w:rsid w:val="00256F73"/>
    <w:rsid w:val="00260623"/>
    <w:rsid w:val="00262C9C"/>
    <w:rsid w:val="00263DAC"/>
    <w:rsid w:val="00264832"/>
    <w:rsid w:val="002648D6"/>
    <w:rsid w:val="00264A6F"/>
    <w:rsid w:val="00264D15"/>
    <w:rsid w:val="002657A7"/>
    <w:rsid w:val="00266E14"/>
    <w:rsid w:val="00272966"/>
    <w:rsid w:val="00272983"/>
    <w:rsid w:val="00273157"/>
    <w:rsid w:val="00274538"/>
    <w:rsid w:val="00275415"/>
    <w:rsid w:val="00277E97"/>
    <w:rsid w:val="00277EC6"/>
    <w:rsid w:val="00280081"/>
    <w:rsid w:val="0028100A"/>
    <w:rsid w:val="002826F9"/>
    <w:rsid w:val="00282F37"/>
    <w:rsid w:val="002842FD"/>
    <w:rsid w:val="0028540D"/>
    <w:rsid w:val="0028707E"/>
    <w:rsid w:val="00287381"/>
    <w:rsid w:val="00292602"/>
    <w:rsid w:val="002936CD"/>
    <w:rsid w:val="00293C63"/>
    <w:rsid w:val="00293FE5"/>
    <w:rsid w:val="00294E47"/>
    <w:rsid w:val="00295D83"/>
    <w:rsid w:val="002971E3"/>
    <w:rsid w:val="00297845"/>
    <w:rsid w:val="002A1808"/>
    <w:rsid w:val="002A67C2"/>
    <w:rsid w:val="002A6BF3"/>
    <w:rsid w:val="002B4A46"/>
    <w:rsid w:val="002B5583"/>
    <w:rsid w:val="002B6334"/>
    <w:rsid w:val="002B6698"/>
    <w:rsid w:val="002B7132"/>
    <w:rsid w:val="002B7978"/>
    <w:rsid w:val="002B7C83"/>
    <w:rsid w:val="002C0B07"/>
    <w:rsid w:val="002C15AB"/>
    <w:rsid w:val="002C1795"/>
    <w:rsid w:val="002C2D47"/>
    <w:rsid w:val="002C4E20"/>
    <w:rsid w:val="002C50EC"/>
    <w:rsid w:val="002C64D0"/>
    <w:rsid w:val="002C74F3"/>
    <w:rsid w:val="002D1832"/>
    <w:rsid w:val="002D4616"/>
    <w:rsid w:val="002D4DBC"/>
    <w:rsid w:val="002D5309"/>
    <w:rsid w:val="002D7238"/>
    <w:rsid w:val="002E0FC7"/>
    <w:rsid w:val="002E1D2B"/>
    <w:rsid w:val="002E1F20"/>
    <w:rsid w:val="002E202B"/>
    <w:rsid w:val="002E252B"/>
    <w:rsid w:val="002E7AFD"/>
    <w:rsid w:val="002F0DA9"/>
    <w:rsid w:val="002F23E1"/>
    <w:rsid w:val="002F46AC"/>
    <w:rsid w:val="002F7911"/>
    <w:rsid w:val="0030233B"/>
    <w:rsid w:val="003034D5"/>
    <w:rsid w:val="00304256"/>
    <w:rsid w:val="0030457D"/>
    <w:rsid w:val="00305688"/>
    <w:rsid w:val="00305A42"/>
    <w:rsid w:val="00305DAC"/>
    <w:rsid w:val="00306E30"/>
    <w:rsid w:val="00307706"/>
    <w:rsid w:val="00313BD7"/>
    <w:rsid w:val="003140BA"/>
    <w:rsid w:val="00315651"/>
    <w:rsid w:val="0031566D"/>
    <w:rsid w:val="003157F7"/>
    <w:rsid w:val="0031594D"/>
    <w:rsid w:val="003163FD"/>
    <w:rsid w:val="00316460"/>
    <w:rsid w:val="00316804"/>
    <w:rsid w:val="003173E6"/>
    <w:rsid w:val="00317C6A"/>
    <w:rsid w:val="003205A1"/>
    <w:rsid w:val="0032159F"/>
    <w:rsid w:val="00322BFF"/>
    <w:rsid w:val="003230F2"/>
    <w:rsid w:val="003232D9"/>
    <w:rsid w:val="00323FF0"/>
    <w:rsid w:val="003269F0"/>
    <w:rsid w:val="00326B01"/>
    <w:rsid w:val="00326DC5"/>
    <w:rsid w:val="003273AA"/>
    <w:rsid w:val="003314B7"/>
    <w:rsid w:val="0033335B"/>
    <w:rsid w:val="0033656C"/>
    <w:rsid w:val="00336B71"/>
    <w:rsid w:val="00337019"/>
    <w:rsid w:val="00337826"/>
    <w:rsid w:val="00337F1B"/>
    <w:rsid w:val="00340C6B"/>
    <w:rsid w:val="00341B67"/>
    <w:rsid w:val="00342F0B"/>
    <w:rsid w:val="003430B8"/>
    <w:rsid w:val="00343BC4"/>
    <w:rsid w:val="00345724"/>
    <w:rsid w:val="00345B0F"/>
    <w:rsid w:val="003463F7"/>
    <w:rsid w:val="00351B7F"/>
    <w:rsid w:val="00352247"/>
    <w:rsid w:val="00352EF6"/>
    <w:rsid w:val="003536AD"/>
    <w:rsid w:val="00354798"/>
    <w:rsid w:val="003553AB"/>
    <w:rsid w:val="00355B9D"/>
    <w:rsid w:val="00356225"/>
    <w:rsid w:val="00356BFC"/>
    <w:rsid w:val="00356CE0"/>
    <w:rsid w:val="0036137D"/>
    <w:rsid w:val="00361ECE"/>
    <w:rsid w:val="003621C8"/>
    <w:rsid w:val="00365689"/>
    <w:rsid w:val="003659BA"/>
    <w:rsid w:val="00365BC4"/>
    <w:rsid w:val="0036722D"/>
    <w:rsid w:val="003700B7"/>
    <w:rsid w:val="00370155"/>
    <w:rsid w:val="003715CD"/>
    <w:rsid w:val="00374E85"/>
    <w:rsid w:val="0037553F"/>
    <w:rsid w:val="00375EAE"/>
    <w:rsid w:val="003765B3"/>
    <w:rsid w:val="003768A9"/>
    <w:rsid w:val="00376B07"/>
    <w:rsid w:val="00377E81"/>
    <w:rsid w:val="00377EA1"/>
    <w:rsid w:val="003828A0"/>
    <w:rsid w:val="00384624"/>
    <w:rsid w:val="00385D44"/>
    <w:rsid w:val="003866E5"/>
    <w:rsid w:val="00390EDC"/>
    <w:rsid w:val="00391493"/>
    <w:rsid w:val="0039371E"/>
    <w:rsid w:val="00393CBC"/>
    <w:rsid w:val="003940DE"/>
    <w:rsid w:val="003A1797"/>
    <w:rsid w:val="003A1AC9"/>
    <w:rsid w:val="003A41D6"/>
    <w:rsid w:val="003A4874"/>
    <w:rsid w:val="003A54AD"/>
    <w:rsid w:val="003A56B9"/>
    <w:rsid w:val="003A6097"/>
    <w:rsid w:val="003A757A"/>
    <w:rsid w:val="003B0635"/>
    <w:rsid w:val="003B0B6A"/>
    <w:rsid w:val="003B4931"/>
    <w:rsid w:val="003B589A"/>
    <w:rsid w:val="003B6B60"/>
    <w:rsid w:val="003B6D30"/>
    <w:rsid w:val="003B7AF7"/>
    <w:rsid w:val="003B7C7C"/>
    <w:rsid w:val="003C2A9D"/>
    <w:rsid w:val="003C3491"/>
    <w:rsid w:val="003C6866"/>
    <w:rsid w:val="003C73D5"/>
    <w:rsid w:val="003D090B"/>
    <w:rsid w:val="003D2A6A"/>
    <w:rsid w:val="003D5078"/>
    <w:rsid w:val="003D7134"/>
    <w:rsid w:val="003D7470"/>
    <w:rsid w:val="003E1ECF"/>
    <w:rsid w:val="003E2C9A"/>
    <w:rsid w:val="003E2D1D"/>
    <w:rsid w:val="003E5B98"/>
    <w:rsid w:val="003E609C"/>
    <w:rsid w:val="003E6788"/>
    <w:rsid w:val="003E68BC"/>
    <w:rsid w:val="003E6954"/>
    <w:rsid w:val="003E7336"/>
    <w:rsid w:val="003E7CA8"/>
    <w:rsid w:val="003F0410"/>
    <w:rsid w:val="003F11C9"/>
    <w:rsid w:val="003F1C53"/>
    <w:rsid w:val="003F3424"/>
    <w:rsid w:val="003F34C0"/>
    <w:rsid w:val="003F560B"/>
    <w:rsid w:val="00400068"/>
    <w:rsid w:val="00400A60"/>
    <w:rsid w:val="00400C80"/>
    <w:rsid w:val="00401093"/>
    <w:rsid w:val="00402309"/>
    <w:rsid w:val="00402ACC"/>
    <w:rsid w:val="00402FBD"/>
    <w:rsid w:val="00404222"/>
    <w:rsid w:val="00404BD9"/>
    <w:rsid w:val="00406C65"/>
    <w:rsid w:val="0040775A"/>
    <w:rsid w:val="004115CB"/>
    <w:rsid w:val="00411827"/>
    <w:rsid w:val="00413ECA"/>
    <w:rsid w:val="004143A1"/>
    <w:rsid w:val="004149D6"/>
    <w:rsid w:val="00414C2D"/>
    <w:rsid w:val="00423A2A"/>
    <w:rsid w:val="0042535D"/>
    <w:rsid w:val="0042727F"/>
    <w:rsid w:val="004304C2"/>
    <w:rsid w:val="0043117C"/>
    <w:rsid w:val="00431A9F"/>
    <w:rsid w:val="0043486D"/>
    <w:rsid w:val="00436D9C"/>
    <w:rsid w:val="00436E0C"/>
    <w:rsid w:val="0043722A"/>
    <w:rsid w:val="00440B1C"/>
    <w:rsid w:val="0044138A"/>
    <w:rsid w:val="0044185B"/>
    <w:rsid w:val="00441AB1"/>
    <w:rsid w:val="00442DC9"/>
    <w:rsid w:val="00442E59"/>
    <w:rsid w:val="0044394D"/>
    <w:rsid w:val="00444F35"/>
    <w:rsid w:val="00445EDD"/>
    <w:rsid w:val="00445F03"/>
    <w:rsid w:val="004461A5"/>
    <w:rsid w:val="00446F32"/>
    <w:rsid w:val="00447F93"/>
    <w:rsid w:val="00451E73"/>
    <w:rsid w:val="0045286A"/>
    <w:rsid w:val="00453839"/>
    <w:rsid w:val="004544B3"/>
    <w:rsid w:val="00454D24"/>
    <w:rsid w:val="0045673F"/>
    <w:rsid w:val="00456EED"/>
    <w:rsid w:val="00457DF4"/>
    <w:rsid w:val="00460651"/>
    <w:rsid w:val="004606AF"/>
    <w:rsid w:val="00461257"/>
    <w:rsid w:val="004613C4"/>
    <w:rsid w:val="004614C7"/>
    <w:rsid w:val="00461FD2"/>
    <w:rsid w:val="00463140"/>
    <w:rsid w:val="004653E7"/>
    <w:rsid w:val="004675E2"/>
    <w:rsid w:val="00470125"/>
    <w:rsid w:val="00470DD5"/>
    <w:rsid w:val="0047141D"/>
    <w:rsid w:val="00471764"/>
    <w:rsid w:val="00473D9B"/>
    <w:rsid w:val="00475394"/>
    <w:rsid w:val="0047642E"/>
    <w:rsid w:val="0047714F"/>
    <w:rsid w:val="00480CBC"/>
    <w:rsid w:val="00481093"/>
    <w:rsid w:val="00481B08"/>
    <w:rsid w:val="00482468"/>
    <w:rsid w:val="00482A47"/>
    <w:rsid w:val="00483C11"/>
    <w:rsid w:val="0048467D"/>
    <w:rsid w:val="004857D8"/>
    <w:rsid w:val="0049270C"/>
    <w:rsid w:val="00492D7B"/>
    <w:rsid w:val="00494D34"/>
    <w:rsid w:val="00495C5D"/>
    <w:rsid w:val="00495F35"/>
    <w:rsid w:val="00495F4B"/>
    <w:rsid w:val="0049795D"/>
    <w:rsid w:val="00497E2B"/>
    <w:rsid w:val="004A0C5B"/>
    <w:rsid w:val="004A136A"/>
    <w:rsid w:val="004A1643"/>
    <w:rsid w:val="004A1A68"/>
    <w:rsid w:val="004A2C93"/>
    <w:rsid w:val="004A33C0"/>
    <w:rsid w:val="004A5602"/>
    <w:rsid w:val="004A570E"/>
    <w:rsid w:val="004A6B7C"/>
    <w:rsid w:val="004B0110"/>
    <w:rsid w:val="004B0564"/>
    <w:rsid w:val="004B0AC1"/>
    <w:rsid w:val="004B18A3"/>
    <w:rsid w:val="004B6913"/>
    <w:rsid w:val="004C06D1"/>
    <w:rsid w:val="004C24CF"/>
    <w:rsid w:val="004C53CD"/>
    <w:rsid w:val="004C5613"/>
    <w:rsid w:val="004C5A50"/>
    <w:rsid w:val="004C62F3"/>
    <w:rsid w:val="004C652D"/>
    <w:rsid w:val="004D1227"/>
    <w:rsid w:val="004D14A4"/>
    <w:rsid w:val="004D1617"/>
    <w:rsid w:val="004D2BD3"/>
    <w:rsid w:val="004D3AEA"/>
    <w:rsid w:val="004D603F"/>
    <w:rsid w:val="004E11B6"/>
    <w:rsid w:val="004E241C"/>
    <w:rsid w:val="004E26D9"/>
    <w:rsid w:val="004E4EAF"/>
    <w:rsid w:val="004F10BE"/>
    <w:rsid w:val="004F1EB5"/>
    <w:rsid w:val="004F3A57"/>
    <w:rsid w:val="004F3E95"/>
    <w:rsid w:val="004F479E"/>
    <w:rsid w:val="004F4C84"/>
    <w:rsid w:val="004F7A74"/>
    <w:rsid w:val="00500C8F"/>
    <w:rsid w:val="005033C3"/>
    <w:rsid w:val="0050626D"/>
    <w:rsid w:val="00506307"/>
    <w:rsid w:val="005066C2"/>
    <w:rsid w:val="00507507"/>
    <w:rsid w:val="00507BCE"/>
    <w:rsid w:val="00512104"/>
    <w:rsid w:val="0051410B"/>
    <w:rsid w:val="005161FF"/>
    <w:rsid w:val="00517547"/>
    <w:rsid w:val="00517D19"/>
    <w:rsid w:val="005205D5"/>
    <w:rsid w:val="0052269F"/>
    <w:rsid w:val="00523490"/>
    <w:rsid w:val="005267A1"/>
    <w:rsid w:val="005303BB"/>
    <w:rsid w:val="00531758"/>
    <w:rsid w:val="00531AF6"/>
    <w:rsid w:val="005321A3"/>
    <w:rsid w:val="0053320E"/>
    <w:rsid w:val="0053437E"/>
    <w:rsid w:val="00535BB3"/>
    <w:rsid w:val="00536BC5"/>
    <w:rsid w:val="00536CB8"/>
    <w:rsid w:val="005374E9"/>
    <w:rsid w:val="00540776"/>
    <w:rsid w:val="00540C7F"/>
    <w:rsid w:val="005414C3"/>
    <w:rsid w:val="005415E3"/>
    <w:rsid w:val="0054184E"/>
    <w:rsid w:val="00542283"/>
    <w:rsid w:val="005428EE"/>
    <w:rsid w:val="00542CC2"/>
    <w:rsid w:val="00543124"/>
    <w:rsid w:val="005458AD"/>
    <w:rsid w:val="005474A4"/>
    <w:rsid w:val="00547B19"/>
    <w:rsid w:val="0055047C"/>
    <w:rsid w:val="0055081D"/>
    <w:rsid w:val="005514A4"/>
    <w:rsid w:val="0055233E"/>
    <w:rsid w:val="00552B05"/>
    <w:rsid w:val="00552C00"/>
    <w:rsid w:val="00553465"/>
    <w:rsid w:val="00553675"/>
    <w:rsid w:val="00553681"/>
    <w:rsid w:val="00553CAA"/>
    <w:rsid w:val="005550BA"/>
    <w:rsid w:val="00555455"/>
    <w:rsid w:val="00556A7A"/>
    <w:rsid w:val="00556F39"/>
    <w:rsid w:val="00557AC9"/>
    <w:rsid w:val="00561B71"/>
    <w:rsid w:val="00565815"/>
    <w:rsid w:val="00565E26"/>
    <w:rsid w:val="00567AE9"/>
    <w:rsid w:val="00567D6E"/>
    <w:rsid w:val="00570292"/>
    <w:rsid w:val="00572A8F"/>
    <w:rsid w:val="00573FFD"/>
    <w:rsid w:val="00574940"/>
    <w:rsid w:val="00576657"/>
    <w:rsid w:val="00576729"/>
    <w:rsid w:val="00576859"/>
    <w:rsid w:val="00577441"/>
    <w:rsid w:val="00580599"/>
    <w:rsid w:val="005809DA"/>
    <w:rsid w:val="00580E69"/>
    <w:rsid w:val="005815D9"/>
    <w:rsid w:val="005817A9"/>
    <w:rsid w:val="00582222"/>
    <w:rsid w:val="0058324B"/>
    <w:rsid w:val="00583E36"/>
    <w:rsid w:val="0058533C"/>
    <w:rsid w:val="00590783"/>
    <w:rsid w:val="00591B90"/>
    <w:rsid w:val="00592B91"/>
    <w:rsid w:val="00595913"/>
    <w:rsid w:val="00595DB7"/>
    <w:rsid w:val="005A074D"/>
    <w:rsid w:val="005A102A"/>
    <w:rsid w:val="005A3698"/>
    <w:rsid w:val="005A5A4F"/>
    <w:rsid w:val="005A6A16"/>
    <w:rsid w:val="005A6F44"/>
    <w:rsid w:val="005A7CED"/>
    <w:rsid w:val="005B002F"/>
    <w:rsid w:val="005B0158"/>
    <w:rsid w:val="005B017B"/>
    <w:rsid w:val="005B2303"/>
    <w:rsid w:val="005B4E6B"/>
    <w:rsid w:val="005B51F3"/>
    <w:rsid w:val="005B6CF4"/>
    <w:rsid w:val="005B7352"/>
    <w:rsid w:val="005B7914"/>
    <w:rsid w:val="005B7ADA"/>
    <w:rsid w:val="005C08C2"/>
    <w:rsid w:val="005C2E19"/>
    <w:rsid w:val="005C3042"/>
    <w:rsid w:val="005C4826"/>
    <w:rsid w:val="005C49BD"/>
    <w:rsid w:val="005C4C7C"/>
    <w:rsid w:val="005C505B"/>
    <w:rsid w:val="005C5BBF"/>
    <w:rsid w:val="005C6ED2"/>
    <w:rsid w:val="005C71DB"/>
    <w:rsid w:val="005C74B5"/>
    <w:rsid w:val="005C79B8"/>
    <w:rsid w:val="005D14AF"/>
    <w:rsid w:val="005D19E6"/>
    <w:rsid w:val="005D1E29"/>
    <w:rsid w:val="005D26A3"/>
    <w:rsid w:val="005D4979"/>
    <w:rsid w:val="005D49FD"/>
    <w:rsid w:val="005D57BE"/>
    <w:rsid w:val="005D638C"/>
    <w:rsid w:val="005D72CF"/>
    <w:rsid w:val="005D7A81"/>
    <w:rsid w:val="005E0AE9"/>
    <w:rsid w:val="005E0E52"/>
    <w:rsid w:val="005E10ED"/>
    <w:rsid w:val="005E1D47"/>
    <w:rsid w:val="005E3988"/>
    <w:rsid w:val="005E39E4"/>
    <w:rsid w:val="005E3AE5"/>
    <w:rsid w:val="005E3CDB"/>
    <w:rsid w:val="005E5CA1"/>
    <w:rsid w:val="005E6116"/>
    <w:rsid w:val="005F248E"/>
    <w:rsid w:val="005F2BC0"/>
    <w:rsid w:val="005F2DDF"/>
    <w:rsid w:val="005F3826"/>
    <w:rsid w:val="005F6B0F"/>
    <w:rsid w:val="005F6D2A"/>
    <w:rsid w:val="00600752"/>
    <w:rsid w:val="00600C8B"/>
    <w:rsid w:val="00601E92"/>
    <w:rsid w:val="006020B5"/>
    <w:rsid w:val="006021D8"/>
    <w:rsid w:val="00602280"/>
    <w:rsid w:val="00602391"/>
    <w:rsid w:val="0060246B"/>
    <w:rsid w:val="00602ACF"/>
    <w:rsid w:val="00603188"/>
    <w:rsid w:val="00604398"/>
    <w:rsid w:val="00604BBA"/>
    <w:rsid w:val="00604CD4"/>
    <w:rsid w:val="00605861"/>
    <w:rsid w:val="00607F86"/>
    <w:rsid w:val="006126B8"/>
    <w:rsid w:val="0061634E"/>
    <w:rsid w:val="00616E67"/>
    <w:rsid w:val="006176AE"/>
    <w:rsid w:val="006177D5"/>
    <w:rsid w:val="00620449"/>
    <w:rsid w:val="00620DA9"/>
    <w:rsid w:val="00621EA6"/>
    <w:rsid w:val="006256A0"/>
    <w:rsid w:val="006259CF"/>
    <w:rsid w:val="006263F7"/>
    <w:rsid w:val="00626FC5"/>
    <w:rsid w:val="00626FF6"/>
    <w:rsid w:val="00631554"/>
    <w:rsid w:val="00632D6B"/>
    <w:rsid w:val="00632EF1"/>
    <w:rsid w:val="00632FB2"/>
    <w:rsid w:val="0063514D"/>
    <w:rsid w:val="006377FA"/>
    <w:rsid w:val="00637DB0"/>
    <w:rsid w:val="006407CD"/>
    <w:rsid w:val="00643A1B"/>
    <w:rsid w:val="00644124"/>
    <w:rsid w:val="006455AF"/>
    <w:rsid w:val="00647136"/>
    <w:rsid w:val="006476AC"/>
    <w:rsid w:val="00647BE6"/>
    <w:rsid w:val="00651734"/>
    <w:rsid w:val="00652E25"/>
    <w:rsid w:val="00654CFE"/>
    <w:rsid w:val="006553FB"/>
    <w:rsid w:val="00656B47"/>
    <w:rsid w:val="00657B28"/>
    <w:rsid w:val="00657CD8"/>
    <w:rsid w:val="00657D65"/>
    <w:rsid w:val="00657E8B"/>
    <w:rsid w:val="00663862"/>
    <w:rsid w:val="006642A7"/>
    <w:rsid w:val="00664750"/>
    <w:rsid w:val="00665168"/>
    <w:rsid w:val="00666579"/>
    <w:rsid w:val="00670DDD"/>
    <w:rsid w:val="00671CDA"/>
    <w:rsid w:val="0067355A"/>
    <w:rsid w:val="00673577"/>
    <w:rsid w:val="00673E68"/>
    <w:rsid w:val="00675102"/>
    <w:rsid w:val="00685DD7"/>
    <w:rsid w:val="00690BAF"/>
    <w:rsid w:val="00691AD8"/>
    <w:rsid w:val="00692E5F"/>
    <w:rsid w:val="006934CF"/>
    <w:rsid w:val="0069439E"/>
    <w:rsid w:val="006976BC"/>
    <w:rsid w:val="006A0EF1"/>
    <w:rsid w:val="006A1367"/>
    <w:rsid w:val="006A21E1"/>
    <w:rsid w:val="006A2F06"/>
    <w:rsid w:val="006A44B3"/>
    <w:rsid w:val="006A5B5D"/>
    <w:rsid w:val="006A620E"/>
    <w:rsid w:val="006B1BED"/>
    <w:rsid w:val="006B37F0"/>
    <w:rsid w:val="006B7D32"/>
    <w:rsid w:val="006B7D6C"/>
    <w:rsid w:val="006C13C7"/>
    <w:rsid w:val="006C3798"/>
    <w:rsid w:val="006C3B59"/>
    <w:rsid w:val="006C55FE"/>
    <w:rsid w:val="006C5603"/>
    <w:rsid w:val="006C7CE3"/>
    <w:rsid w:val="006C7D58"/>
    <w:rsid w:val="006D178B"/>
    <w:rsid w:val="006D1A2E"/>
    <w:rsid w:val="006D2C50"/>
    <w:rsid w:val="006D3837"/>
    <w:rsid w:val="006D4491"/>
    <w:rsid w:val="006D4617"/>
    <w:rsid w:val="006D4E8E"/>
    <w:rsid w:val="006D590F"/>
    <w:rsid w:val="006D64E2"/>
    <w:rsid w:val="006E027E"/>
    <w:rsid w:val="006E0D8B"/>
    <w:rsid w:val="006E2B13"/>
    <w:rsid w:val="006E2D89"/>
    <w:rsid w:val="006E2F48"/>
    <w:rsid w:val="006E3619"/>
    <w:rsid w:val="006E4271"/>
    <w:rsid w:val="006E5492"/>
    <w:rsid w:val="006E7150"/>
    <w:rsid w:val="006E7BAD"/>
    <w:rsid w:val="006E7D65"/>
    <w:rsid w:val="006F1EF6"/>
    <w:rsid w:val="006F3AB0"/>
    <w:rsid w:val="006F4A5E"/>
    <w:rsid w:val="006F4B82"/>
    <w:rsid w:val="006F5CAF"/>
    <w:rsid w:val="006F60A8"/>
    <w:rsid w:val="006F65FE"/>
    <w:rsid w:val="006F6605"/>
    <w:rsid w:val="00700A3E"/>
    <w:rsid w:val="00701872"/>
    <w:rsid w:val="00702E21"/>
    <w:rsid w:val="00703CB5"/>
    <w:rsid w:val="00707DC8"/>
    <w:rsid w:val="007110CF"/>
    <w:rsid w:val="00713834"/>
    <w:rsid w:val="00714357"/>
    <w:rsid w:val="00716460"/>
    <w:rsid w:val="00717C55"/>
    <w:rsid w:val="007214DD"/>
    <w:rsid w:val="00721CCA"/>
    <w:rsid w:val="007246DB"/>
    <w:rsid w:val="00724AC9"/>
    <w:rsid w:val="00727858"/>
    <w:rsid w:val="00727E02"/>
    <w:rsid w:val="007314B6"/>
    <w:rsid w:val="00733854"/>
    <w:rsid w:val="007340B0"/>
    <w:rsid w:val="0073533E"/>
    <w:rsid w:val="00736A15"/>
    <w:rsid w:val="007376E5"/>
    <w:rsid w:val="00740BF0"/>
    <w:rsid w:val="00741DDA"/>
    <w:rsid w:val="00741EB1"/>
    <w:rsid w:val="00746DC5"/>
    <w:rsid w:val="007509B0"/>
    <w:rsid w:val="00750B82"/>
    <w:rsid w:val="007515D0"/>
    <w:rsid w:val="0075221D"/>
    <w:rsid w:val="00752FDB"/>
    <w:rsid w:val="00755903"/>
    <w:rsid w:val="007566ED"/>
    <w:rsid w:val="00757038"/>
    <w:rsid w:val="00760A85"/>
    <w:rsid w:val="00760B59"/>
    <w:rsid w:val="00760BC0"/>
    <w:rsid w:val="00760E5E"/>
    <w:rsid w:val="0076104F"/>
    <w:rsid w:val="007611A6"/>
    <w:rsid w:val="0076121F"/>
    <w:rsid w:val="0076271D"/>
    <w:rsid w:val="00763A1F"/>
    <w:rsid w:val="00763A70"/>
    <w:rsid w:val="007646B8"/>
    <w:rsid w:val="007676B0"/>
    <w:rsid w:val="00770D02"/>
    <w:rsid w:val="00771637"/>
    <w:rsid w:val="007716DB"/>
    <w:rsid w:val="00771BFF"/>
    <w:rsid w:val="0077796D"/>
    <w:rsid w:val="00777D15"/>
    <w:rsid w:val="0078132B"/>
    <w:rsid w:val="0078148B"/>
    <w:rsid w:val="00781C09"/>
    <w:rsid w:val="007822DD"/>
    <w:rsid w:val="007829A9"/>
    <w:rsid w:val="007854A1"/>
    <w:rsid w:val="00787125"/>
    <w:rsid w:val="00790662"/>
    <w:rsid w:val="00791542"/>
    <w:rsid w:val="007925F6"/>
    <w:rsid w:val="00793FD5"/>
    <w:rsid w:val="007942B1"/>
    <w:rsid w:val="007953C0"/>
    <w:rsid w:val="00797E91"/>
    <w:rsid w:val="00797EA9"/>
    <w:rsid w:val="007A0DA2"/>
    <w:rsid w:val="007A1B87"/>
    <w:rsid w:val="007A1D7B"/>
    <w:rsid w:val="007A21E8"/>
    <w:rsid w:val="007A3455"/>
    <w:rsid w:val="007A43BD"/>
    <w:rsid w:val="007A7405"/>
    <w:rsid w:val="007A7DD8"/>
    <w:rsid w:val="007B0D08"/>
    <w:rsid w:val="007B2582"/>
    <w:rsid w:val="007B5C17"/>
    <w:rsid w:val="007B61C0"/>
    <w:rsid w:val="007B720C"/>
    <w:rsid w:val="007B75A0"/>
    <w:rsid w:val="007B7D77"/>
    <w:rsid w:val="007C36E1"/>
    <w:rsid w:val="007C426A"/>
    <w:rsid w:val="007C4F7A"/>
    <w:rsid w:val="007C5200"/>
    <w:rsid w:val="007C5541"/>
    <w:rsid w:val="007C5E65"/>
    <w:rsid w:val="007C5EEA"/>
    <w:rsid w:val="007C625E"/>
    <w:rsid w:val="007C6C33"/>
    <w:rsid w:val="007D0593"/>
    <w:rsid w:val="007D2200"/>
    <w:rsid w:val="007D6004"/>
    <w:rsid w:val="007D6052"/>
    <w:rsid w:val="007D6351"/>
    <w:rsid w:val="007D6E94"/>
    <w:rsid w:val="007D7FA7"/>
    <w:rsid w:val="007E08C5"/>
    <w:rsid w:val="007E0A44"/>
    <w:rsid w:val="007E22BE"/>
    <w:rsid w:val="007E607E"/>
    <w:rsid w:val="007E707D"/>
    <w:rsid w:val="007E70BB"/>
    <w:rsid w:val="007E747D"/>
    <w:rsid w:val="007E7EFA"/>
    <w:rsid w:val="007F01E5"/>
    <w:rsid w:val="007F0E4C"/>
    <w:rsid w:val="007F0E9A"/>
    <w:rsid w:val="007F1859"/>
    <w:rsid w:val="007F1DAC"/>
    <w:rsid w:val="007F1E0C"/>
    <w:rsid w:val="007F3F64"/>
    <w:rsid w:val="007F4593"/>
    <w:rsid w:val="007F535A"/>
    <w:rsid w:val="007F55DC"/>
    <w:rsid w:val="007F71D8"/>
    <w:rsid w:val="007F74A6"/>
    <w:rsid w:val="008001CE"/>
    <w:rsid w:val="008012CA"/>
    <w:rsid w:val="00801DB9"/>
    <w:rsid w:val="0080215F"/>
    <w:rsid w:val="00802AF8"/>
    <w:rsid w:val="00802C74"/>
    <w:rsid w:val="00804651"/>
    <w:rsid w:val="008051D4"/>
    <w:rsid w:val="00806177"/>
    <w:rsid w:val="008061BA"/>
    <w:rsid w:val="0081032C"/>
    <w:rsid w:val="008107DD"/>
    <w:rsid w:val="008113E2"/>
    <w:rsid w:val="008145A2"/>
    <w:rsid w:val="008145BA"/>
    <w:rsid w:val="008148B6"/>
    <w:rsid w:val="00814E1D"/>
    <w:rsid w:val="00817659"/>
    <w:rsid w:val="0082131B"/>
    <w:rsid w:val="00824DC6"/>
    <w:rsid w:val="008253FB"/>
    <w:rsid w:val="008261AB"/>
    <w:rsid w:val="008277B2"/>
    <w:rsid w:val="00831FBE"/>
    <w:rsid w:val="00832516"/>
    <w:rsid w:val="00832A2C"/>
    <w:rsid w:val="00832ACA"/>
    <w:rsid w:val="00832C38"/>
    <w:rsid w:val="00832D88"/>
    <w:rsid w:val="0083378A"/>
    <w:rsid w:val="00834600"/>
    <w:rsid w:val="00836A32"/>
    <w:rsid w:val="00836B21"/>
    <w:rsid w:val="00837894"/>
    <w:rsid w:val="00840E73"/>
    <w:rsid w:val="00843B16"/>
    <w:rsid w:val="00843D56"/>
    <w:rsid w:val="00843DD2"/>
    <w:rsid w:val="0084532F"/>
    <w:rsid w:val="00847019"/>
    <w:rsid w:val="00852857"/>
    <w:rsid w:val="008528E7"/>
    <w:rsid w:val="0085329A"/>
    <w:rsid w:val="008540BF"/>
    <w:rsid w:val="0085680C"/>
    <w:rsid w:val="0086089B"/>
    <w:rsid w:val="00860E89"/>
    <w:rsid w:val="00860FBB"/>
    <w:rsid w:val="00861FB8"/>
    <w:rsid w:val="00862AB7"/>
    <w:rsid w:val="00864C36"/>
    <w:rsid w:val="0086533F"/>
    <w:rsid w:val="00866F90"/>
    <w:rsid w:val="00867A7A"/>
    <w:rsid w:val="00867C11"/>
    <w:rsid w:val="00867CB1"/>
    <w:rsid w:val="008712C4"/>
    <w:rsid w:val="008729E3"/>
    <w:rsid w:val="008734C2"/>
    <w:rsid w:val="008735FF"/>
    <w:rsid w:val="00873EF2"/>
    <w:rsid w:val="0087460D"/>
    <w:rsid w:val="00874D9A"/>
    <w:rsid w:val="00881538"/>
    <w:rsid w:val="00881A48"/>
    <w:rsid w:val="008840B2"/>
    <w:rsid w:val="00886CBB"/>
    <w:rsid w:val="00891687"/>
    <w:rsid w:val="00891729"/>
    <w:rsid w:val="0089181E"/>
    <w:rsid w:val="00892072"/>
    <w:rsid w:val="008926A3"/>
    <w:rsid w:val="00895C94"/>
    <w:rsid w:val="00896746"/>
    <w:rsid w:val="00896B4A"/>
    <w:rsid w:val="00896BCE"/>
    <w:rsid w:val="00897B52"/>
    <w:rsid w:val="008A089A"/>
    <w:rsid w:val="008A0D40"/>
    <w:rsid w:val="008A0F09"/>
    <w:rsid w:val="008A2C09"/>
    <w:rsid w:val="008A3A77"/>
    <w:rsid w:val="008A4B1C"/>
    <w:rsid w:val="008A5D2B"/>
    <w:rsid w:val="008A701B"/>
    <w:rsid w:val="008A727C"/>
    <w:rsid w:val="008B0CBE"/>
    <w:rsid w:val="008B13FB"/>
    <w:rsid w:val="008B1FAA"/>
    <w:rsid w:val="008B28C9"/>
    <w:rsid w:val="008B6CF1"/>
    <w:rsid w:val="008C0C52"/>
    <w:rsid w:val="008C19E5"/>
    <w:rsid w:val="008C1A2F"/>
    <w:rsid w:val="008C2142"/>
    <w:rsid w:val="008C2272"/>
    <w:rsid w:val="008C335B"/>
    <w:rsid w:val="008C3DD2"/>
    <w:rsid w:val="008C5526"/>
    <w:rsid w:val="008D0068"/>
    <w:rsid w:val="008D0DB3"/>
    <w:rsid w:val="008D1CEF"/>
    <w:rsid w:val="008D234B"/>
    <w:rsid w:val="008D2CF9"/>
    <w:rsid w:val="008D4131"/>
    <w:rsid w:val="008D4F76"/>
    <w:rsid w:val="008D66A8"/>
    <w:rsid w:val="008D70F7"/>
    <w:rsid w:val="008D72C4"/>
    <w:rsid w:val="008E1F4D"/>
    <w:rsid w:val="008E3281"/>
    <w:rsid w:val="008E3AC5"/>
    <w:rsid w:val="008E5783"/>
    <w:rsid w:val="008E5E74"/>
    <w:rsid w:val="008F22C1"/>
    <w:rsid w:val="008F2D0A"/>
    <w:rsid w:val="008F2E08"/>
    <w:rsid w:val="008F3236"/>
    <w:rsid w:val="008F5D89"/>
    <w:rsid w:val="008F73C7"/>
    <w:rsid w:val="008F7D9E"/>
    <w:rsid w:val="0090042F"/>
    <w:rsid w:val="009012C9"/>
    <w:rsid w:val="00902A4F"/>
    <w:rsid w:val="009048E2"/>
    <w:rsid w:val="00905150"/>
    <w:rsid w:val="00905355"/>
    <w:rsid w:val="00905F2A"/>
    <w:rsid w:val="00906DE8"/>
    <w:rsid w:val="009078E1"/>
    <w:rsid w:val="00907CBD"/>
    <w:rsid w:val="00907DFA"/>
    <w:rsid w:val="00907EE9"/>
    <w:rsid w:val="0091066E"/>
    <w:rsid w:val="009106BA"/>
    <w:rsid w:val="00910B52"/>
    <w:rsid w:val="00911957"/>
    <w:rsid w:val="00913E31"/>
    <w:rsid w:val="009143E3"/>
    <w:rsid w:val="00915297"/>
    <w:rsid w:val="0091591A"/>
    <w:rsid w:val="00915CB9"/>
    <w:rsid w:val="0091622F"/>
    <w:rsid w:val="00920AA1"/>
    <w:rsid w:val="0092259C"/>
    <w:rsid w:val="009248AF"/>
    <w:rsid w:val="0092605A"/>
    <w:rsid w:val="00926D74"/>
    <w:rsid w:val="009276FB"/>
    <w:rsid w:val="009304D4"/>
    <w:rsid w:val="00931F54"/>
    <w:rsid w:val="0093308C"/>
    <w:rsid w:val="009331F0"/>
    <w:rsid w:val="0093345C"/>
    <w:rsid w:val="0093648D"/>
    <w:rsid w:val="0094126A"/>
    <w:rsid w:val="009414F0"/>
    <w:rsid w:val="0094196A"/>
    <w:rsid w:val="0094219D"/>
    <w:rsid w:val="0094283C"/>
    <w:rsid w:val="00944212"/>
    <w:rsid w:val="00944A11"/>
    <w:rsid w:val="00944DBF"/>
    <w:rsid w:val="00950DB3"/>
    <w:rsid w:val="00952117"/>
    <w:rsid w:val="00952F78"/>
    <w:rsid w:val="009532FA"/>
    <w:rsid w:val="0095379D"/>
    <w:rsid w:val="009541CB"/>
    <w:rsid w:val="00956443"/>
    <w:rsid w:val="00956C4D"/>
    <w:rsid w:val="009575DD"/>
    <w:rsid w:val="00957A1D"/>
    <w:rsid w:val="00961486"/>
    <w:rsid w:val="0096188D"/>
    <w:rsid w:val="0096368E"/>
    <w:rsid w:val="00963BEB"/>
    <w:rsid w:val="009661D2"/>
    <w:rsid w:val="00967AEA"/>
    <w:rsid w:val="00967C84"/>
    <w:rsid w:val="00971723"/>
    <w:rsid w:val="00971A04"/>
    <w:rsid w:val="00971ECC"/>
    <w:rsid w:val="00972B67"/>
    <w:rsid w:val="00973960"/>
    <w:rsid w:val="009746B6"/>
    <w:rsid w:val="0097632B"/>
    <w:rsid w:val="00976951"/>
    <w:rsid w:val="009776EA"/>
    <w:rsid w:val="00977FEF"/>
    <w:rsid w:val="00984BD9"/>
    <w:rsid w:val="00984C21"/>
    <w:rsid w:val="00985EBC"/>
    <w:rsid w:val="00986AEB"/>
    <w:rsid w:val="00986D42"/>
    <w:rsid w:val="00987314"/>
    <w:rsid w:val="009879C5"/>
    <w:rsid w:val="00987C98"/>
    <w:rsid w:val="009902CD"/>
    <w:rsid w:val="00990455"/>
    <w:rsid w:val="00993701"/>
    <w:rsid w:val="00995E30"/>
    <w:rsid w:val="00996054"/>
    <w:rsid w:val="009A2141"/>
    <w:rsid w:val="009A2360"/>
    <w:rsid w:val="009A47C3"/>
    <w:rsid w:val="009A511A"/>
    <w:rsid w:val="009A5668"/>
    <w:rsid w:val="009A7005"/>
    <w:rsid w:val="009B036A"/>
    <w:rsid w:val="009B05C5"/>
    <w:rsid w:val="009B3367"/>
    <w:rsid w:val="009B5321"/>
    <w:rsid w:val="009B5C2E"/>
    <w:rsid w:val="009B5E1F"/>
    <w:rsid w:val="009B5FC6"/>
    <w:rsid w:val="009B600C"/>
    <w:rsid w:val="009B7199"/>
    <w:rsid w:val="009C0042"/>
    <w:rsid w:val="009C0D7C"/>
    <w:rsid w:val="009C10E8"/>
    <w:rsid w:val="009C12CB"/>
    <w:rsid w:val="009C1A0F"/>
    <w:rsid w:val="009C37BA"/>
    <w:rsid w:val="009C4CFA"/>
    <w:rsid w:val="009C5336"/>
    <w:rsid w:val="009C6044"/>
    <w:rsid w:val="009C7175"/>
    <w:rsid w:val="009C72F2"/>
    <w:rsid w:val="009C7CFE"/>
    <w:rsid w:val="009D0484"/>
    <w:rsid w:val="009D0689"/>
    <w:rsid w:val="009D0794"/>
    <w:rsid w:val="009D1150"/>
    <w:rsid w:val="009D1637"/>
    <w:rsid w:val="009D1838"/>
    <w:rsid w:val="009D1F5A"/>
    <w:rsid w:val="009D2800"/>
    <w:rsid w:val="009D299F"/>
    <w:rsid w:val="009D3666"/>
    <w:rsid w:val="009D3EC5"/>
    <w:rsid w:val="009D463E"/>
    <w:rsid w:val="009D61C5"/>
    <w:rsid w:val="009D7571"/>
    <w:rsid w:val="009D7938"/>
    <w:rsid w:val="009D7F89"/>
    <w:rsid w:val="009D7FB7"/>
    <w:rsid w:val="009E19B1"/>
    <w:rsid w:val="009E261F"/>
    <w:rsid w:val="009E375F"/>
    <w:rsid w:val="009E4C1F"/>
    <w:rsid w:val="009E4DD0"/>
    <w:rsid w:val="009E546C"/>
    <w:rsid w:val="009E561A"/>
    <w:rsid w:val="009E6356"/>
    <w:rsid w:val="009E63B3"/>
    <w:rsid w:val="009E7115"/>
    <w:rsid w:val="009E7B58"/>
    <w:rsid w:val="009F0C65"/>
    <w:rsid w:val="009F1125"/>
    <w:rsid w:val="009F169B"/>
    <w:rsid w:val="009F194E"/>
    <w:rsid w:val="009F4AC8"/>
    <w:rsid w:val="009F4B86"/>
    <w:rsid w:val="009F4CD5"/>
    <w:rsid w:val="009F4E50"/>
    <w:rsid w:val="009F6B5D"/>
    <w:rsid w:val="009F733C"/>
    <w:rsid w:val="009F7BEB"/>
    <w:rsid w:val="00A00F6F"/>
    <w:rsid w:val="00A01B03"/>
    <w:rsid w:val="00A045A4"/>
    <w:rsid w:val="00A045D7"/>
    <w:rsid w:val="00A053F5"/>
    <w:rsid w:val="00A061EE"/>
    <w:rsid w:val="00A069FC"/>
    <w:rsid w:val="00A079AC"/>
    <w:rsid w:val="00A07A95"/>
    <w:rsid w:val="00A116C8"/>
    <w:rsid w:val="00A12EE8"/>
    <w:rsid w:val="00A15DD3"/>
    <w:rsid w:val="00A17C7D"/>
    <w:rsid w:val="00A202D6"/>
    <w:rsid w:val="00A21F3B"/>
    <w:rsid w:val="00A22B9E"/>
    <w:rsid w:val="00A22CF4"/>
    <w:rsid w:val="00A2309C"/>
    <w:rsid w:val="00A30040"/>
    <w:rsid w:val="00A31908"/>
    <w:rsid w:val="00A32C85"/>
    <w:rsid w:val="00A337A0"/>
    <w:rsid w:val="00A360F2"/>
    <w:rsid w:val="00A3693E"/>
    <w:rsid w:val="00A41934"/>
    <w:rsid w:val="00A4436A"/>
    <w:rsid w:val="00A50C24"/>
    <w:rsid w:val="00A51D6D"/>
    <w:rsid w:val="00A54152"/>
    <w:rsid w:val="00A55F26"/>
    <w:rsid w:val="00A60153"/>
    <w:rsid w:val="00A60763"/>
    <w:rsid w:val="00A6091E"/>
    <w:rsid w:val="00A61B89"/>
    <w:rsid w:val="00A63E8B"/>
    <w:rsid w:val="00A652D7"/>
    <w:rsid w:val="00A661BA"/>
    <w:rsid w:val="00A669E5"/>
    <w:rsid w:val="00A67174"/>
    <w:rsid w:val="00A67296"/>
    <w:rsid w:val="00A67D29"/>
    <w:rsid w:val="00A702E9"/>
    <w:rsid w:val="00A721A3"/>
    <w:rsid w:val="00A73D11"/>
    <w:rsid w:val="00A7401B"/>
    <w:rsid w:val="00A76877"/>
    <w:rsid w:val="00A80B84"/>
    <w:rsid w:val="00A825B9"/>
    <w:rsid w:val="00A82993"/>
    <w:rsid w:val="00A82B5B"/>
    <w:rsid w:val="00A83FB9"/>
    <w:rsid w:val="00A843F9"/>
    <w:rsid w:val="00A84848"/>
    <w:rsid w:val="00A84C0D"/>
    <w:rsid w:val="00A85EBD"/>
    <w:rsid w:val="00A87ED1"/>
    <w:rsid w:val="00A913AA"/>
    <w:rsid w:val="00A92039"/>
    <w:rsid w:val="00A920F0"/>
    <w:rsid w:val="00A92950"/>
    <w:rsid w:val="00A94160"/>
    <w:rsid w:val="00A96829"/>
    <w:rsid w:val="00AA1530"/>
    <w:rsid w:val="00AA477A"/>
    <w:rsid w:val="00AA4B38"/>
    <w:rsid w:val="00AA54DA"/>
    <w:rsid w:val="00AA56C7"/>
    <w:rsid w:val="00AA587C"/>
    <w:rsid w:val="00AA6821"/>
    <w:rsid w:val="00AA68DD"/>
    <w:rsid w:val="00AB0996"/>
    <w:rsid w:val="00AB12A7"/>
    <w:rsid w:val="00AB1CF4"/>
    <w:rsid w:val="00AB2849"/>
    <w:rsid w:val="00AB3362"/>
    <w:rsid w:val="00AB37C9"/>
    <w:rsid w:val="00AB5C4F"/>
    <w:rsid w:val="00AB61AE"/>
    <w:rsid w:val="00AB68D2"/>
    <w:rsid w:val="00AC0579"/>
    <w:rsid w:val="00AC093B"/>
    <w:rsid w:val="00AC0D49"/>
    <w:rsid w:val="00AC188E"/>
    <w:rsid w:val="00AC23B5"/>
    <w:rsid w:val="00AC6E3D"/>
    <w:rsid w:val="00AC7654"/>
    <w:rsid w:val="00AD0315"/>
    <w:rsid w:val="00AD09EE"/>
    <w:rsid w:val="00AD20CB"/>
    <w:rsid w:val="00AD24BA"/>
    <w:rsid w:val="00AD3928"/>
    <w:rsid w:val="00AD416F"/>
    <w:rsid w:val="00AD473E"/>
    <w:rsid w:val="00AD4B76"/>
    <w:rsid w:val="00AD59DA"/>
    <w:rsid w:val="00AD6CEA"/>
    <w:rsid w:val="00AD74F2"/>
    <w:rsid w:val="00AE0049"/>
    <w:rsid w:val="00AE244C"/>
    <w:rsid w:val="00AE2DC4"/>
    <w:rsid w:val="00AE4135"/>
    <w:rsid w:val="00AE5142"/>
    <w:rsid w:val="00AE574A"/>
    <w:rsid w:val="00AE6698"/>
    <w:rsid w:val="00AE6E82"/>
    <w:rsid w:val="00AE7DD6"/>
    <w:rsid w:val="00AF1433"/>
    <w:rsid w:val="00AF1B48"/>
    <w:rsid w:val="00AF1DF0"/>
    <w:rsid w:val="00AF2837"/>
    <w:rsid w:val="00AF360F"/>
    <w:rsid w:val="00AF3AF9"/>
    <w:rsid w:val="00AF7735"/>
    <w:rsid w:val="00B01B17"/>
    <w:rsid w:val="00B02632"/>
    <w:rsid w:val="00B038A8"/>
    <w:rsid w:val="00B03BCD"/>
    <w:rsid w:val="00B06EE9"/>
    <w:rsid w:val="00B07369"/>
    <w:rsid w:val="00B07697"/>
    <w:rsid w:val="00B076CA"/>
    <w:rsid w:val="00B106AA"/>
    <w:rsid w:val="00B13915"/>
    <w:rsid w:val="00B140D4"/>
    <w:rsid w:val="00B1422C"/>
    <w:rsid w:val="00B14347"/>
    <w:rsid w:val="00B157CB"/>
    <w:rsid w:val="00B16BA9"/>
    <w:rsid w:val="00B1710D"/>
    <w:rsid w:val="00B20FCA"/>
    <w:rsid w:val="00B224F8"/>
    <w:rsid w:val="00B2257E"/>
    <w:rsid w:val="00B231F3"/>
    <w:rsid w:val="00B23A31"/>
    <w:rsid w:val="00B24234"/>
    <w:rsid w:val="00B30B0B"/>
    <w:rsid w:val="00B30B53"/>
    <w:rsid w:val="00B30F50"/>
    <w:rsid w:val="00B3144C"/>
    <w:rsid w:val="00B31E14"/>
    <w:rsid w:val="00B3266E"/>
    <w:rsid w:val="00B32964"/>
    <w:rsid w:val="00B341B1"/>
    <w:rsid w:val="00B35AC8"/>
    <w:rsid w:val="00B35CB1"/>
    <w:rsid w:val="00B40027"/>
    <w:rsid w:val="00B40FC4"/>
    <w:rsid w:val="00B419FB"/>
    <w:rsid w:val="00B42ED4"/>
    <w:rsid w:val="00B42F06"/>
    <w:rsid w:val="00B43771"/>
    <w:rsid w:val="00B43D64"/>
    <w:rsid w:val="00B4509D"/>
    <w:rsid w:val="00B45E52"/>
    <w:rsid w:val="00B4642C"/>
    <w:rsid w:val="00B47800"/>
    <w:rsid w:val="00B47F22"/>
    <w:rsid w:val="00B511AB"/>
    <w:rsid w:val="00B51A45"/>
    <w:rsid w:val="00B54C19"/>
    <w:rsid w:val="00B55901"/>
    <w:rsid w:val="00B60009"/>
    <w:rsid w:val="00B65E77"/>
    <w:rsid w:val="00B70359"/>
    <w:rsid w:val="00B70592"/>
    <w:rsid w:val="00B71C01"/>
    <w:rsid w:val="00B7216F"/>
    <w:rsid w:val="00B7252B"/>
    <w:rsid w:val="00B73112"/>
    <w:rsid w:val="00B73DA2"/>
    <w:rsid w:val="00B73F7B"/>
    <w:rsid w:val="00B75441"/>
    <w:rsid w:val="00B80144"/>
    <w:rsid w:val="00B80F59"/>
    <w:rsid w:val="00B81751"/>
    <w:rsid w:val="00B83744"/>
    <w:rsid w:val="00B842D5"/>
    <w:rsid w:val="00B842F9"/>
    <w:rsid w:val="00B84BE8"/>
    <w:rsid w:val="00B85594"/>
    <w:rsid w:val="00B85C86"/>
    <w:rsid w:val="00B873D9"/>
    <w:rsid w:val="00B903D0"/>
    <w:rsid w:val="00B90AC8"/>
    <w:rsid w:val="00B90B51"/>
    <w:rsid w:val="00B91162"/>
    <w:rsid w:val="00B935B2"/>
    <w:rsid w:val="00B93BE7"/>
    <w:rsid w:val="00B942DD"/>
    <w:rsid w:val="00B95115"/>
    <w:rsid w:val="00B95C66"/>
    <w:rsid w:val="00B95C67"/>
    <w:rsid w:val="00B966BF"/>
    <w:rsid w:val="00B97076"/>
    <w:rsid w:val="00BA048A"/>
    <w:rsid w:val="00BA086A"/>
    <w:rsid w:val="00BA0BF7"/>
    <w:rsid w:val="00BA5D60"/>
    <w:rsid w:val="00BA6877"/>
    <w:rsid w:val="00BA6FA3"/>
    <w:rsid w:val="00BB116E"/>
    <w:rsid w:val="00BB1A7F"/>
    <w:rsid w:val="00BB1D94"/>
    <w:rsid w:val="00BB3486"/>
    <w:rsid w:val="00BB36CB"/>
    <w:rsid w:val="00BC10EC"/>
    <w:rsid w:val="00BC3538"/>
    <w:rsid w:val="00BC3598"/>
    <w:rsid w:val="00BC37A0"/>
    <w:rsid w:val="00BC4689"/>
    <w:rsid w:val="00BC614B"/>
    <w:rsid w:val="00BC699F"/>
    <w:rsid w:val="00BD132C"/>
    <w:rsid w:val="00BD1AF5"/>
    <w:rsid w:val="00BD3E52"/>
    <w:rsid w:val="00BD535D"/>
    <w:rsid w:val="00BD586D"/>
    <w:rsid w:val="00BD5DFB"/>
    <w:rsid w:val="00BD5E37"/>
    <w:rsid w:val="00BD6AB5"/>
    <w:rsid w:val="00BD7A27"/>
    <w:rsid w:val="00BE1AE6"/>
    <w:rsid w:val="00BE3AC8"/>
    <w:rsid w:val="00BE3B67"/>
    <w:rsid w:val="00BE41C1"/>
    <w:rsid w:val="00BE657F"/>
    <w:rsid w:val="00BF23BB"/>
    <w:rsid w:val="00BF2529"/>
    <w:rsid w:val="00BF3310"/>
    <w:rsid w:val="00BF377E"/>
    <w:rsid w:val="00BF3EB2"/>
    <w:rsid w:val="00BF4052"/>
    <w:rsid w:val="00BF4F81"/>
    <w:rsid w:val="00BF60AD"/>
    <w:rsid w:val="00BF64B2"/>
    <w:rsid w:val="00C00F1C"/>
    <w:rsid w:val="00C04A9B"/>
    <w:rsid w:val="00C04B31"/>
    <w:rsid w:val="00C05BCB"/>
    <w:rsid w:val="00C1261C"/>
    <w:rsid w:val="00C13276"/>
    <w:rsid w:val="00C13691"/>
    <w:rsid w:val="00C1543E"/>
    <w:rsid w:val="00C15EFC"/>
    <w:rsid w:val="00C21409"/>
    <w:rsid w:val="00C21CBB"/>
    <w:rsid w:val="00C230BA"/>
    <w:rsid w:val="00C233DE"/>
    <w:rsid w:val="00C24A93"/>
    <w:rsid w:val="00C2566A"/>
    <w:rsid w:val="00C2671B"/>
    <w:rsid w:val="00C26C6A"/>
    <w:rsid w:val="00C278E7"/>
    <w:rsid w:val="00C32325"/>
    <w:rsid w:val="00C33A96"/>
    <w:rsid w:val="00C340A7"/>
    <w:rsid w:val="00C3464C"/>
    <w:rsid w:val="00C3465A"/>
    <w:rsid w:val="00C34F3B"/>
    <w:rsid w:val="00C366BF"/>
    <w:rsid w:val="00C37070"/>
    <w:rsid w:val="00C377DB"/>
    <w:rsid w:val="00C4064F"/>
    <w:rsid w:val="00C424A9"/>
    <w:rsid w:val="00C42B55"/>
    <w:rsid w:val="00C44CFD"/>
    <w:rsid w:val="00C475C6"/>
    <w:rsid w:val="00C4780D"/>
    <w:rsid w:val="00C505B6"/>
    <w:rsid w:val="00C50B85"/>
    <w:rsid w:val="00C52331"/>
    <w:rsid w:val="00C52F7C"/>
    <w:rsid w:val="00C54C81"/>
    <w:rsid w:val="00C55A4C"/>
    <w:rsid w:val="00C55A5B"/>
    <w:rsid w:val="00C56088"/>
    <w:rsid w:val="00C5766F"/>
    <w:rsid w:val="00C576F8"/>
    <w:rsid w:val="00C61348"/>
    <w:rsid w:val="00C614D4"/>
    <w:rsid w:val="00C619A5"/>
    <w:rsid w:val="00C62B8D"/>
    <w:rsid w:val="00C62FAB"/>
    <w:rsid w:val="00C6532C"/>
    <w:rsid w:val="00C65B29"/>
    <w:rsid w:val="00C67268"/>
    <w:rsid w:val="00C67666"/>
    <w:rsid w:val="00C709B6"/>
    <w:rsid w:val="00C72005"/>
    <w:rsid w:val="00C72228"/>
    <w:rsid w:val="00C72373"/>
    <w:rsid w:val="00C72623"/>
    <w:rsid w:val="00C72815"/>
    <w:rsid w:val="00C75686"/>
    <w:rsid w:val="00C769DB"/>
    <w:rsid w:val="00C76D99"/>
    <w:rsid w:val="00C77519"/>
    <w:rsid w:val="00C777D1"/>
    <w:rsid w:val="00C811FF"/>
    <w:rsid w:val="00C81392"/>
    <w:rsid w:val="00C81992"/>
    <w:rsid w:val="00C81D4B"/>
    <w:rsid w:val="00C821D4"/>
    <w:rsid w:val="00C84221"/>
    <w:rsid w:val="00C85ADC"/>
    <w:rsid w:val="00C873F3"/>
    <w:rsid w:val="00C87AAE"/>
    <w:rsid w:val="00C92643"/>
    <w:rsid w:val="00C92C1D"/>
    <w:rsid w:val="00C94653"/>
    <w:rsid w:val="00C96583"/>
    <w:rsid w:val="00C97DCF"/>
    <w:rsid w:val="00CA0DBF"/>
    <w:rsid w:val="00CA2C24"/>
    <w:rsid w:val="00CA3E7D"/>
    <w:rsid w:val="00CA463B"/>
    <w:rsid w:val="00CA77D3"/>
    <w:rsid w:val="00CB000A"/>
    <w:rsid w:val="00CB0B33"/>
    <w:rsid w:val="00CB18D1"/>
    <w:rsid w:val="00CB503F"/>
    <w:rsid w:val="00CB50FC"/>
    <w:rsid w:val="00CB65A9"/>
    <w:rsid w:val="00CB72F8"/>
    <w:rsid w:val="00CC027F"/>
    <w:rsid w:val="00CC057C"/>
    <w:rsid w:val="00CC0610"/>
    <w:rsid w:val="00CC0D3A"/>
    <w:rsid w:val="00CC0D95"/>
    <w:rsid w:val="00CC1CC4"/>
    <w:rsid w:val="00CC1D20"/>
    <w:rsid w:val="00CC2736"/>
    <w:rsid w:val="00CC2E22"/>
    <w:rsid w:val="00CC33FA"/>
    <w:rsid w:val="00CC39F0"/>
    <w:rsid w:val="00CC6DD8"/>
    <w:rsid w:val="00CC7E2E"/>
    <w:rsid w:val="00CD00AE"/>
    <w:rsid w:val="00CD11E1"/>
    <w:rsid w:val="00CD1B9D"/>
    <w:rsid w:val="00CD251F"/>
    <w:rsid w:val="00CD2CA9"/>
    <w:rsid w:val="00CD2D78"/>
    <w:rsid w:val="00CD37CA"/>
    <w:rsid w:val="00CD7E1C"/>
    <w:rsid w:val="00CE0F79"/>
    <w:rsid w:val="00CE25E1"/>
    <w:rsid w:val="00CE2920"/>
    <w:rsid w:val="00CE2D2A"/>
    <w:rsid w:val="00CE60F7"/>
    <w:rsid w:val="00CE6C97"/>
    <w:rsid w:val="00CE6F8A"/>
    <w:rsid w:val="00CF113D"/>
    <w:rsid w:val="00CF49C8"/>
    <w:rsid w:val="00D005F5"/>
    <w:rsid w:val="00D00756"/>
    <w:rsid w:val="00D02BE2"/>
    <w:rsid w:val="00D039BB"/>
    <w:rsid w:val="00D042F8"/>
    <w:rsid w:val="00D053C7"/>
    <w:rsid w:val="00D05DE4"/>
    <w:rsid w:val="00D05FA9"/>
    <w:rsid w:val="00D0739D"/>
    <w:rsid w:val="00D11101"/>
    <w:rsid w:val="00D11142"/>
    <w:rsid w:val="00D114B5"/>
    <w:rsid w:val="00D1190B"/>
    <w:rsid w:val="00D11F66"/>
    <w:rsid w:val="00D14522"/>
    <w:rsid w:val="00D14823"/>
    <w:rsid w:val="00D16804"/>
    <w:rsid w:val="00D17460"/>
    <w:rsid w:val="00D17EF8"/>
    <w:rsid w:val="00D2258E"/>
    <w:rsid w:val="00D22FF4"/>
    <w:rsid w:val="00D23EF5"/>
    <w:rsid w:val="00D241C1"/>
    <w:rsid w:val="00D25127"/>
    <w:rsid w:val="00D25BB1"/>
    <w:rsid w:val="00D25C2D"/>
    <w:rsid w:val="00D2658A"/>
    <w:rsid w:val="00D306C6"/>
    <w:rsid w:val="00D30844"/>
    <w:rsid w:val="00D33A58"/>
    <w:rsid w:val="00D343BC"/>
    <w:rsid w:val="00D35F69"/>
    <w:rsid w:val="00D36B2C"/>
    <w:rsid w:val="00D36B6A"/>
    <w:rsid w:val="00D40990"/>
    <w:rsid w:val="00D417E5"/>
    <w:rsid w:val="00D42888"/>
    <w:rsid w:val="00D44042"/>
    <w:rsid w:val="00D450B2"/>
    <w:rsid w:val="00D453A2"/>
    <w:rsid w:val="00D45DDC"/>
    <w:rsid w:val="00D46F68"/>
    <w:rsid w:val="00D46F6D"/>
    <w:rsid w:val="00D51355"/>
    <w:rsid w:val="00D51758"/>
    <w:rsid w:val="00D52D54"/>
    <w:rsid w:val="00D536D8"/>
    <w:rsid w:val="00D564A6"/>
    <w:rsid w:val="00D57D58"/>
    <w:rsid w:val="00D62045"/>
    <w:rsid w:val="00D63CA7"/>
    <w:rsid w:val="00D63D8F"/>
    <w:rsid w:val="00D640DA"/>
    <w:rsid w:val="00D67160"/>
    <w:rsid w:val="00D6721D"/>
    <w:rsid w:val="00D71DDA"/>
    <w:rsid w:val="00D72553"/>
    <w:rsid w:val="00D7541C"/>
    <w:rsid w:val="00D76FA4"/>
    <w:rsid w:val="00D8026F"/>
    <w:rsid w:val="00D8207E"/>
    <w:rsid w:val="00D823C1"/>
    <w:rsid w:val="00D826F4"/>
    <w:rsid w:val="00D839D9"/>
    <w:rsid w:val="00D85D18"/>
    <w:rsid w:val="00D8658D"/>
    <w:rsid w:val="00D86AA2"/>
    <w:rsid w:val="00D86E52"/>
    <w:rsid w:val="00D91EF7"/>
    <w:rsid w:val="00D92AD9"/>
    <w:rsid w:val="00D95482"/>
    <w:rsid w:val="00D955CA"/>
    <w:rsid w:val="00DA0539"/>
    <w:rsid w:val="00DA0EB3"/>
    <w:rsid w:val="00DA0EE3"/>
    <w:rsid w:val="00DA26CA"/>
    <w:rsid w:val="00DA436B"/>
    <w:rsid w:val="00DA5E14"/>
    <w:rsid w:val="00DA64D4"/>
    <w:rsid w:val="00DB047E"/>
    <w:rsid w:val="00DB0F17"/>
    <w:rsid w:val="00DB3073"/>
    <w:rsid w:val="00DB5D07"/>
    <w:rsid w:val="00DB6F19"/>
    <w:rsid w:val="00DC079E"/>
    <w:rsid w:val="00DC0FDD"/>
    <w:rsid w:val="00DC12D5"/>
    <w:rsid w:val="00DC4732"/>
    <w:rsid w:val="00DC5CF5"/>
    <w:rsid w:val="00DC6717"/>
    <w:rsid w:val="00DC75F3"/>
    <w:rsid w:val="00DD0BBB"/>
    <w:rsid w:val="00DD175D"/>
    <w:rsid w:val="00DD18D5"/>
    <w:rsid w:val="00DD2B4D"/>
    <w:rsid w:val="00DD474E"/>
    <w:rsid w:val="00DD699E"/>
    <w:rsid w:val="00DE0BB3"/>
    <w:rsid w:val="00DE2249"/>
    <w:rsid w:val="00DE42E9"/>
    <w:rsid w:val="00DE4396"/>
    <w:rsid w:val="00DE46D7"/>
    <w:rsid w:val="00DE5181"/>
    <w:rsid w:val="00DE6011"/>
    <w:rsid w:val="00DE7686"/>
    <w:rsid w:val="00DE78B8"/>
    <w:rsid w:val="00DF172E"/>
    <w:rsid w:val="00DF17E3"/>
    <w:rsid w:val="00DF1D32"/>
    <w:rsid w:val="00DF2950"/>
    <w:rsid w:val="00DF2C78"/>
    <w:rsid w:val="00DF3CA7"/>
    <w:rsid w:val="00DF554C"/>
    <w:rsid w:val="00DF5F9B"/>
    <w:rsid w:val="00DF6034"/>
    <w:rsid w:val="00DF68AE"/>
    <w:rsid w:val="00DF768E"/>
    <w:rsid w:val="00E008B4"/>
    <w:rsid w:val="00E0312A"/>
    <w:rsid w:val="00E03528"/>
    <w:rsid w:val="00E046EF"/>
    <w:rsid w:val="00E05D26"/>
    <w:rsid w:val="00E06EC1"/>
    <w:rsid w:val="00E12E16"/>
    <w:rsid w:val="00E13062"/>
    <w:rsid w:val="00E130D8"/>
    <w:rsid w:val="00E16B2F"/>
    <w:rsid w:val="00E17170"/>
    <w:rsid w:val="00E17BFD"/>
    <w:rsid w:val="00E20FC6"/>
    <w:rsid w:val="00E25771"/>
    <w:rsid w:val="00E258E1"/>
    <w:rsid w:val="00E300AC"/>
    <w:rsid w:val="00E31680"/>
    <w:rsid w:val="00E31F7F"/>
    <w:rsid w:val="00E3330A"/>
    <w:rsid w:val="00E33BBB"/>
    <w:rsid w:val="00E3401F"/>
    <w:rsid w:val="00E35041"/>
    <w:rsid w:val="00E36511"/>
    <w:rsid w:val="00E374B9"/>
    <w:rsid w:val="00E4020F"/>
    <w:rsid w:val="00E40321"/>
    <w:rsid w:val="00E40C0A"/>
    <w:rsid w:val="00E432CB"/>
    <w:rsid w:val="00E43428"/>
    <w:rsid w:val="00E43494"/>
    <w:rsid w:val="00E437D4"/>
    <w:rsid w:val="00E4386B"/>
    <w:rsid w:val="00E4410B"/>
    <w:rsid w:val="00E4641D"/>
    <w:rsid w:val="00E47C18"/>
    <w:rsid w:val="00E5099C"/>
    <w:rsid w:val="00E52EEA"/>
    <w:rsid w:val="00E53B09"/>
    <w:rsid w:val="00E61697"/>
    <w:rsid w:val="00E61EFA"/>
    <w:rsid w:val="00E61FB1"/>
    <w:rsid w:val="00E61FB4"/>
    <w:rsid w:val="00E624DB"/>
    <w:rsid w:val="00E62A9E"/>
    <w:rsid w:val="00E661DD"/>
    <w:rsid w:val="00E71BEE"/>
    <w:rsid w:val="00E721B4"/>
    <w:rsid w:val="00E72F7E"/>
    <w:rsid w:val="00E731DA"/>
    <w:rsid w:val="00E7541D"/>
    <w:rsid w:val="00E756C1"/>
    <w:rsid w:val="00E773B4"/>
    <w:rsid w:val="00E77914"/>
    <w:rsid w:val="00E823D1"/>
    <w:rsid w:val="00E83216"/>
    <w:rsid w:val="00E83986"/>
    <w:rsid w:val="00E839CD"/>
    <w:rsid w:val="00E84F14"/>
    <w:rsid w:val="00E871C5"/>
    <w:rsid w:val="00E87CE6"/>
    <w:rsid w:val="00E9106B"/>
    <w:rsid w:val="00E910F2"/>
    <w:rsid w:val="00E91C13"/>
    <w:rsid w:val="00E91D62"/>
    <w:rsid w:val="00E91DA1"/>
    <w:rsid w:val="00E926C2"/>
    <w:rsid w:val="00E92DC6"/>
    <w:rsid w:val="00EA0281"/>
    <w:rsid w:val="00EA5F77"/>
    <w:rsid w:val="00EA6702"/>
    <w:rsid w:val="00EA6817"/>
    <w:rsid w:val="00EA6A02"/>
    <w:rsid w:val="00EB642D"/>
    <w:rsid w:val="00EB6A93"/>
    <w:rsid w:val="00EC01DD"/>
    <w:rsid w:val="00EC1783"/>
    <w:rsid w:val="00EC1C9A"/>
    <w:rsid w:val="00EC24AA"/>
    <w:rsid w:val="00EC5A63"/>
    <w:rsid w:val="00EC6167"/>
    <w:rsid w:val="00EC61DD"/>
    <w:rsid w:val="00EC634B"/>
    <w:rsid w:val="00EC6440"/>
    <w:rsid w:val="00ED0841"/>
    <w:rsid w:val="00ED1CFD"/>
    <w:rsid w:val="00ED24EA"/>
    <w:rsid w:val="00ED3EDA"/>
    <w:rsid w:val="00ED63EC"/>
    <w:rsid w:val="00ED674F"/>
    <w:rsid w:val="00ED6AAF"/>
    <w:rsid w:val="00EE263A"/>
    <w:rsid w:val="00EE4447"/>
    <w:rsid w:val="00EE5702"/>
    <w:rsid w:val="00EE5B01"/>
    <w:rsid w:val="00EE67B7"/>
    <w:rsid w:val="00EF0B08"/>
    <w:rsid w:val="00EF3CF9"/>
    <w:rsid w:val="00EF52E0"/>
    <w:rsid w:val="00EF6A99"/>
    <w:rsid w:val="00EF7A28"/>
    <w:rsid w:val="00F02808"/>
    <w:rsid w:val="00F03BD4"/>
    <w:rsid w:val="00F044BA"/>
    <w:rsid w:val="00F0518E"/>
    <w:rsid w:val="00F06884"/>
    <w:rsid w:val="00F07791"/>
    <w:rsid w:val="00F07F3E"/>
    <w:rsid w:val="00F10020"/>
    <w:rsid w:val="00F14971"/>
    <w:rsid w:val="00F14F05"/>
    <w:rsid w:val="00F163D4"/>
    <w:rsid w:val="00F1674C"/>
    <w:rsid w:val="00F16A90"/>
    <w:rsid w:val="00F17580"/>
    <w:rsid w:val="00F20992"/>
    <w:rsid w:val="00F2108C"/>
    <w:rsid w:val="00F2256F"/>
    <w:rsid w:val="00F22B97"/>
    <w:rsid w:val="00F22F8D"/>
    <w:rsid w:val="00F2319E"/>
    <w:rsid w:val="00F23277"/>
    <w:rsid w:val="00F249ED"/>
    <w:rsid w:val="00F24F52"/>
    <w:rsid w:val="00F26AEC"/>
    <w:rsid w:val="00F3294D"/>
    <w:rsid w:val="00F33657"/>
    <w:rsid w:val="00F34FF3"/>
    <w:rsid w:val="00F35348"/>
    <w:rsid w:val="00F36A33"/>
    <w:rsid w:val="00F36BD9"/>
    <w:rsid w:val="00F3729D"/>
    <w:rsid w:val="00F37F9A"/>
    <w:rsid w:val="00F37FA3"/>
    <w:rsid w:val="00F42807"/>
    <w:rsid w:val="00F43386"/>
    <w:rsid w:val="00F44474"/>
    <w:rsid w:val="00F4489A"/>
    <w:rsid w:val="00F50E2A"/>
    <w:rsid w:val="00F516FF"/>
    <w:rsid w:val="00F52335"/>
    <w:rsid w:val="00F52A2D"/>
    <w:rsid w:val="00F52B65"/>
    <w:rsid w:val="00F53D9E"/>
    <w:rsid w:val="00F548C3"/>
    <w:rsid w:val="00F55393"/>
    <w:rsid w:val="00F56408"/>
    <w:rsid w:val="00F57189"/>
    <w:rsid w:val="00F572E7"/>
    <w:rsid w:val="00F57703"/>
    <w:rsid w:val="00F609EB"/>
    <w:rsid w:val="00F6141E"/>
    <w:rsid w:val="00F6246F"/>
    <w:rsid w:val="00F63C1F"/>
    <w:rsid w:val="00F64364"/>
    <w:rsid w:val="00F65391"/>
    <w:rsid w:val="00F6550B"/>
    <w:rsid w:val="00F66688"/>
    <w:rsid w:val="00F6685A"/>
    <w:rsid w:val="00F6777F"/>
    <w:rsid w:val="00F70F63"/>
    <w:rsid w:val="00F714CD"/>
    <w:rsid w:val="00F715A1"/>
    <w:rsid w:val="00F7261A"/>
    <w:rsid w:val="00F734AD"/>
    <w:rsid w:val="00F74DD9"/>
    <w:rsid w:val="00F750C0"/>
    <w:rsid w:val="00F758F2"/>
    <w:rsid w:val="00F761D8"/>
    <w:rsid w:val="00F76D5C"/>
    <w:rsid w:val="00F77797"/>
    <w:rsid w:val="00F81E30"/>
    <w:rsid w:val="00F83B83"/>
    <w:rsid w:val="00F83E02"/>
    <w:rsid w:val="00F853EF"/>
    <w:rsid w:val="00F93F99"/>
    <w:rsid w:val="00F95B82"/>
    <w:rsid w:val="00F963D6"/>
    <w:rsid w:val="00F96527"/>
    <w:rsid w:val="00F97026"/>
    <w:rsid w:val="00F972FD"/>
    <w:rsid w:val="00F97647"/>
    <w:rsid w:val="00FA14B9"/>
    <w:rsid w:val="00FA1E1A"/>
    <w:rsid w:val="00FA2EB5"/>
    <w:rsid w:val="00FA3745"/>
    <w:rsid w:val="00FA3D6B"/>
    <w:rsid w:val="00FA4E78"/>
    <w:rsid w:val="00FB02D5"/>
    <w:rsid w:val="00FB0747"/>
    <w:rsid w:val="00FB1A34"/>
    <w:rsid w:val="00FB434B"/>
    <w:rsid w:val="00FB4BD9"/>
    <w:rsid w:val="00FB615D"/>
    <w:rsid w:val="00FB75E5"/>
    <w:rsid w:val="00FC3CFB"/>
    <w:rsid w:val="00FC3DF5"/>
    <w:rsid w:val="00FC4400"/>
    <w:rsid w:val="00FC5153"/>
    <w:rsid w:val="00FC618F"/>
    <w:rsid w:val="00FD2576"/>
    <w:rsid w:val="00FD2EFE"/>
    <w:rsid w:val="00FD3381"/>
    <w:rsid w:val="00FD4BCC"/>
    <w:rsid w:val="00FD69E6"/>
    <w:rsid w:val="00FD74F3"/>
    <w:rsid w:val="00FE0558"/>
    <w:rsid w:val="00FE17B7"/>
    <w:rsid w:val="00FE2294"/>
    <w:rsid w:val="00FE3011"/>
    <w:rsid w:val="00FE3BA5"/>
    <w:rsid w:val="00FE43E5"/>
    <w:rsid w:val="00FE6118"/>
    <w:rsid w:val="00FE6868"/>
    <w:rsid w:val="00FF1A0B"/>
    <w:rsid w:val="00FF1E67"/>
    <w:rsid w:val="00FF221A"/>
    <w:rsid w:val="00FF2DF7"/>
    <w:rsid w:val="00FF44D0"/>
    <w:rsid w:val="00FF65AF"/>
    <w:rsid w:val="00FF777C"/>
    <w:rsid w:val="07516591"/>
    <w:rsid w:val="14775A75"/>
    <w:rsid w:val="22D63580"/>
    <w:rsid w:val="237B378C"/>
    <w:rsid w:val="25A849C4"/>
    <w:rsid w:val="2B0139D5"/>
    <w:rsid w:val="3BB43D40"/>
    <w:rsid w:val="44B82216"/>
    <w:rsid w:val="55D94145"/>
    <w:rsid w:val="5DB5299F"/>
    <w:rsid w:val="5EDC0FB3"/>
    <w:rsid w:val="7DE226C9"/>
    <w:rsid w:val="7DE35FFB"/>
    <w:rsid w:val="7E4076E7"/>
  </w:rsids>
  <w:docVars>
    <w:docVar w:name="commondata" w:val="eyJoZGlkIjoiNzgyYjI0MGRkMmY4NDE0YjgxYzdjMzBiNDQ0OTk1MmM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page number" w:semiHidden="0" w:uiPriority="0" w:unhideWhenUsed="0"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Balloon Text" w:semiHidden="0" w:qFormat="1"/>
    <w:lsdException w:name="Table Grid" w:semiHidden="0" w:uiPriority="59" w:unhideWhenUsed="0" w:qFormat="1"/>
    <w:lsdException w:name="Placeholder Text"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3"/>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340" w:after="330" w:line="578" w:lineRule="auto"/>
      <w:outlineLvl w:val="0"/>
    </w:pPr>
    <w:rPr>
      <w:b/>
      <w:bCs/>
      <w:kern w:val="44"/>
      <w:sz w:val="44"/>
      <w:szCs w:val="44"/>
    </w:rPr>
  </w:style>
  <w:style w:type="paragraph" w:styleId="Heading3">
    <w:name w:val="heading 3"/>
    <w:basedOn w:val="Normal"/>
    <w:next w:val="Normal"/>
    <w:link w:val="3Char"/>
    <w:uiPriority w:val="9"/>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customStyle="1" w:styleId="3Char">
    <w:name w:val="标题 3 Char"/>
    <w:link w:val="Heading3"/>
    <w:uiPriority w:val="9"/>
    <w:semiHidden/>
    <w:qFormat/>
    <w:rPr>
      <w:b/>
      <w:bCs/>
      <w:sz w:val="32"/>
      <w:szCs w:val="32"/>
    </w:rPr>
  </w:style>
  <w:style w:type="character" w:customStyle="1" w:styleId="1Char">
    <w:name w:val="标题 1 Char"/>
    <w:link w:val="Heading1"/>
    <w:uiPriority w:val="9"/>
    <w:qFormat/>
    <w:rPr>
      <w:b/>
      <w:bCs/>
      <w:kern w:val="44"/>
      <w:sz w:val="44"/>
      <w:szCs w:val="44"/>
    </w:rPr>
  </w:style>
  <w:style w:type="paragraph" w:styleId="TOC3">
    <w:name w:val="toc 3"/>
    <w:basedOn w:val="Normal"/>
    <w:next w:val="Normal"/>
    <w:uiPriority w:val="39"/>
    <w:unhideWhenUsed/>
    <w:qFormat/>
    <w:pPr>
      <w:widowControl/>
      <w:spacing w:after="100" w:line="276" w:lineRule="auto"/>
      <w:ind w:left="440"/>
      <w:jc w:val="left"/>
    </w:pPr>
    <w:rPr>
      <w:kern w:val="0"/>
      <w:sz w:val="22"/>
    </w:rPr>
  </w:style>
  <w:style w:type="paragraph" w:styleId="BalloonText">
    <w:name w:val="Balloon Text"/>
    <w:basedOn w:val="Normal"/>
    <w:link w:val="Char"/>
    <w:uiPriority w:val="99"/>
    <w:unhideWhenUsed/>
    <w:qFormat/>
    <w:rPr>
      <w:sz w:val="18"/>
      <w:szCs w:val="18"/>
    </w:rPr>
  </w:style>
  <w:style w:type="character" w:customStyle="1" w:styleId="Char">
    <w:name w:val="批注框文本 Char"/>
    <w:link w:val="BalloonText"/>
    <w:uiPriority w:val="99"/>
    <w:semiHidden/>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character" w:customStyle="1" w:styleId="Char0">
    <w:name w:val="页脚 Char"/>
    <w:link w:val="Footer"/>
    <w:uiPriority w:val="99"/>
    <w:qFormat/>
    <w:rPr>
      <w:sz w:val="18"/>
      <w:szCs w:val="18"/>
    </w:rPr>
  </w:style>
  <w:style w:type="paragraph" w:styleId="Header">
    <w:name w:val="header"/>
    <w:basedOn w:val="Normal"/>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1">
    <w:name w:val="页眉 Char"/>
    <w:link w:val="Header"/>
    <w:uiPriority w:val="99"/>
    <w:qFormat/>
    <w:rPr>
      <w:sz w:val="18"/>
      <w:szCs w:val="18"/>
    </w:rPr>
  </w:style>
  <w:style w:type="paragraph" w:styleId="TOC1">
    <w:name w:val="toc 1"/>
    <w:basedOn w:val="Normal"/>
    <w:next w:val="Normal"/>
    <w:uiPriority w:val="39"/>
    <w:unhideWhenUsed/>
    <w:qFormat/>
  </w:style>
  <w:style w:type="paragraph" w:styleId="TOC2">
    <w:name w:val="toc 2"/>
    <w:basedOn w:val="Normal"/>
    <w:next w:val="Normal"/>
    <w:uiPriority w:val="39"/>
    <w:unhideWhenUsed/>
    <w:qFormat/>
    <w:pPr>
      <w:ind w:left="420" w:leftChars="200"/>
    </w:p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qFormat/>
    <w:rPr>
      <w:rFonts w:ascii="Times New Roman" w:eastAsia="宋体" w:hAnsi="Times New Roman"/>
      <w:sz w:val="18"/>
    </w:rPr>
  </w:style>
  <w:style w:type="character" w:styleId="Hyperlink">
    <w:name w:val="Hyperlink"/>
    <w:uiPriority w:val="99"/>
    <w:unhideWhenUsed/>
    <w:qFormat/>
    <w:rPr>
      <w:color w:val="0000FF"/>
      <w:u w:val="single"/>
    </w:rPr>
  </w:style>
  <w:style w:type="character" w:customStyle="1" w:styleId="Char2">
    <w:name w:val="章标题 Char"/>
    <w:link w:val="a"/>
    <w:qFormat/>
    <w:rPr>
      <w:rFonts w:ascii="黑体" w:eastAsia="黑体" w:hAnsi="Times New Roman" w:cs="Times New Roman"/>
      <w:kern w:val="0"/>
      <w:szCs w:val="20"/>
    </w:rPr>
  </w:style>
  <w:style w:type="paragraph" w:customStyle="1" w:styleId="a">
    <w:name w:val="章标题"/>
    <w:next w:val="a0"/>
    <w:link w:val="Char2"/>
    <w:qFormat/>
    <w:pPr>
      <w:spacing w:beforeLines="100" w:afterLines="100"/>
      <w:jc w:val="both"/>
      <w:outlineLvl w:val="1"/>
    </w:pPr>
    <w:rPr>
      <w:rFonts w:ascii="黑体" w:eastAsia="黑体" w:hAnsi="Times New Roman"/>
      <w:sz w:val="21"/>
      <w:lang w:val="en-US" w:eastAsia="zh-CN" w:bidi="ar-SA"/>
    </w:rPr>
  </w:style>
  <w:style w:type="paragraph" w:customStyle="1" w:styleId="a0">
    <w:name w:val="段"/>
    <w:link w:val="Char3"/>
    <w:qFormat/>
    <w:pPr>
      <w:tabs>
        <w:tab w:val="center" w:pos="4201"/>
        <w:tab w:val="right" w:leader="dot" w:pos="9298"/>
      </w:tabs>
      <w:autoSpaceDE w:val="0"/>
      <w:autoSpaceDN w:val="0"/>
      <w:ind w:firstLine="420" w:firstLineChars="200"/>
      <w:jc w:val="both"/>
    </w:pPr>
    <w:rPr>
      <w:rFonts w:ascii="宋体" w:hAnsi="Times New Roman"/>
      <w:sz w:val="21"/>
      <w:lang w:val="en-US" w:eastAsia="zh-CN" w:bidi="ar-SA"/>
    </w:rPr>
  </w:style>
  <w:style w:type="character" w:customStyle="1" w:styleId="Char3">
    <w:name w:val="段 Char"/>
    <w:link w:val="a0"/>
    <w:qFormat/>
    <w:rPr>
      <w:rFonts w:ascii="宋体" w:eastAsia="宋体" w:hAnsi="Times New Roman" w:cs="Times New Roman"/>
      <w:kern w:val="0"/>
      <w:szCs w:val="20"/>
    </w:rPr>
  </w:style>
  <w:style w:type="character" w:styleId="PlaceholderText">
    <w:name w:val="Placeholder Text"/>
    <w:uiPriority w:val="99"/>
    <w:semiHidden/>
    <w:qFormat/>
    <w:rPr>
      <w:color w:val="808080"/>
    </w:rPr>
  </w:style>
  <w:style w:type="character" w:customStyle="1" w:styleId="high-light-bg4">
    <w:name w:val="high-light-bg4"/>
    <w:basedOn w:val="DefaultParagraphFont"/>
    <w:qFormat/>
  </w:style>
  <w:style w:type="paragraph" w:customStyle="1" w:styleId="a1">
    <w:name w:val="标准书脚_偶数页"/>
    <w:qFormat/>
    <w:pPr>
      <w:spacing w:before="120"/>
      <w:ind w:left="221"/>
    </w:pPr>
    <w:rPr>
      <w:rFonts w:ascii="宋体" w:hAnsi="Times New Roman"/>
      <w:sz w:val="18"/>
      <w:szCs w:val="18"/>
      <w:lang w:val="en-US" w:eastAsia="zh-CN" w:bidi="ar-SA"/>
    </w:rPr>
  </w:style>
  <w:style w:type="paragraph" w:customStyle="1" w:styleId="TableBody">
    <w:name w:val="Table Body"/>
    <w:basedOn w:val="Normal"/>
    <w:qFormat/>
    <w:pPr>
      <w:widowControl/>
      <w:spacing w:before="80" w:after="80"/>
      <w:jc w:val="left"/>
    </w:pPr>
    <w:rPr>
      <w:rFonts w:ascii="Calibri" w:eastAsia="宋体" w:hAnsi="Calibri" w:cs="Times New Roman"/>
      <w:snapToGrid w:val="0"/>
      <w:kern w:val="0"/>
      <w:sz w:val="18"/>
      <w:szCs w:val="20"/>
    </w:rPr>
  </w:style>
  <w:style w:type="paragraph" w:customStyle="1" w:styleId="a2">
    <w:name w:val="正文图标题"/>
    <w:next w:val="a0"/>
    <w:uiPriority w:val="99"/>
    <w:qFormat/>
    <w:pPr>
      <w:tabs>
        <w:tab w:val="left" w:pos="360"/>
      </w:tabs>
      <w:spacing w:beforeLines="50" w:afterLines="50"/>
      <w:jc w:val="center"/>
    </w:pPr>
    <w:rPr>
      <w:rFonts w:ascii="黑体" w:eastAsia="黑体" w:hAnsi="Times New Roman"/>
      <w:sz w:val="21"/>
      <w:lang w:val="en-US" w:eastAsia="zh-CN" w:bidi="ar-SA"/>
    </w:rPr>
  </w:style>
  <w:style w:type="paragraph" w:customStyle="1" w:styleId="a3">
    <w:name w:val="终结线"/>
    <w:basedOn w:val="Normal"/>
    <w:qFormat/>
    <w:pPr>
      <w:framePr w:hSpace="181" w:vSpace="181" w:wrap="around" w:vAnchor="text" w:hAnchor="margin" w:xAlign="center" w:y="285"/>
    </w:pPr>
    <w:rPr>
      <w:rFonts w:ascii="Times New Roman" w:eastAsia="宋体" w:hAnsi="Times New Roman" w:cs="Times New Roman"/>
      <w:szCs w:val="24"/>
    </w:rPr>
  </w:style>
  <w:style w:type="paragraph" w:customStyle="1" w:styleId="a4">
    <w:name w:val="封面标准名称"/>
    <w:qFormat/>
    <w:pPr>
      <w:widowControl w:val="0"/>
      <w:spacing w:line="680" w:lineRule="exact"/>
      <w:jc w:val="center"/>
      <w:textAlignment w:val="center"/>
    </w:pPr>
    <w:rPr>
      <w:rFonts w:ascii="黑体" w:eastAsia="黑体" w:hAnsi="Times New Roman"/>
      <w:sz w:val="52"/>
      <w:lang w:val="en-US" w:eastAsia="zh-CN" w:bidi="ar-SA"/>
    </w:rPr>
  </w:style>
  <w:style w:type="paragraph" w:styleId="ListParagraph">
    <w:name w:val="List Paragraph"/>
    <w:basedOn w:val="Normal"/>
    <w:uiPriority w:val="99"/>
    <w:qFormat/>
    <w:pPr>
      <w:ind w:firstLine="420" w:firstLineChars="200"/>
    </w:pPr>
  </w:style>
  <w:style w:type="paragraph" w:customStyle="1" w:styleId="a5">
    <w:name w:val="前言、引言标题"/>
    <w:next w:val="a0"/>
    <w:qFormat/>
    <w:pPr>
      <w:shd w:val="clear" w:color="FFFFFF" w:fill="FFFFFF"/>
      <w:spacing w:before="640" w:after="560"/>
      <w:jc w:val="center"/>
      <w:outlineLvl w:val="0"/>
    </w:pPr>
    <w:rPr>
      <w:rFonts w:ascii="黑体" w:eastAsia="黑体" w:hAnsi="Times New Roman"/>
      <w:sz w:val="32"/>
      <w:lang w:val="en-US" w:eastAsia="zh-CN" w:bidi="ar-SA"/>
    </w:rPr>
  </w:style>
  <w:style w:type="paragraph" w:customStyle="1" w:styleId="TOCHeading">
    <w:name w:val="TOC Heading"/>
    <w:basedOn w:val="Heading1"/>
    <w:next w:val="Normal"/>
    <w:uiPriority w:val="39"/>
    <w:unhideWhenUsed/>
    <w:qFormat/>
    <w:pPr>
      <w:widowControl/>
      <w:spacing w:before="480" w:after="0" w:line="276" w:lineRule="auto"/>
      <w:jc w:val="left"/>
      <w:outlineLvl w:val="9"/>
    </w:pPr>
    <w:rPr>
      <w:rFonts w:ascii="Cambria" w:eastAsia="宋体" w:hAnsi="Cambria" w:cs="Times New Roman"/>
      <w:color w:val="366091"/>
      <w:kern w:val="0"/>
      <w:sz w:val="28"/>
      <w:szCs w:val="28"/>
    </w:rPr>
  </w:style>
  <w:style w:type="paragraph" w:customStyle="1" w:styleId="a6">
    <w:name w:val="标准书眉_偶数页"/>
    <w:basedOn w:val="Normal"/>
    <w:next w:val="Normal"/>
    <w:qFormat/>
    <w:pPr>
      <w:widowControl/>
      <w:tabs>
        <w:tab w:val="center" w:pos="4154"/>
        <w:tab w:val="right" w:pos="8306"/>
      </w:tabs>
      <w:spacing w:after="220"/>
      <w:jc w:val="left"/>
    </w:pPr>
    <w:rPr>
      <w:rFonts w:ascii="黑体" w:eastAsia="黑体" w:hAnsi="Times New Roman" w:cs="Times New Roman"/>
      <w:kern w:val="0"/>
      <w:szCs w:val="21"/>
    </w:rPr>
  </w:style>
</w:styles>
</file>

<file path=word/webSettings.xml><?xml version="1.0" encoding="utf-8"?>
<w:webSettings xmlns:r="http://schemas.openxmlformats.org/officeDocument/2006/relationships" xmlns:w="http://schemas.openxmlformats.org/wordprocessingml/2006/main"/>
</file>

<file path=word/_rels/customizations.xml.rels><?xml version="1.0" encoding="utf-8" standalone="yes"?><Relationships xmlns="http://schemas.openxmlformats.org/package/2006/relationships"><Relationship Id="rId1" Type="http://schemas.microsoft.com/office/2006/relationships/attachedToolbars" Target="attachedToolbars.bin" /></Relationship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35.xml" /><Relationship Id="rId101" Type="http://schemas.openxmlformats.org/officeDocument/2006/relationships/footer" Target="footer34.xml" /><Relationship Id="rId102" Type="http://schemas.openxmlformats.org/officeDocument/2006/relationships/footer" Target="footer35.xml" /><Relationship Id="rId103" Type="http://schemas.openxmlformats.org/officeDocument/2006/relationships/header" Target="header36.xml" /><Relationship Id="rId104" Type="http://schemas.openxmlformats.org/officeDocument/2006/relationships/footer" Target="footer36.xml" /><Relationship Id="rId105" Type="http://schemas.openxmlformats.org/officeDocument/2006/relationships/hyperlink" Target="https://d.book118.com/728112025065006047" TargetMode="External" /><Relationship Id="rId106" Type="http://schemas.openxmlformats.org/officeDocument/2006/relationships/header" Target="header37.xml" /><Relationship Id="rId107" Type="http://schemas.openxmlformats.org/officeDocument/2006/relationships/header" Target="header38.xml" /><Relationship Id="rId108" Type="http://schemas.openxmlformats.org/officeDocument/2006/relationships/footer" Target="footer37.xml" /><Relationship Id="rId109" Type="http://schemas.openxmlformats.org/officeDocument/2006/relationships/footer" Target="footer38.xml" /><Relationship Id="rId11" Type="http://schemas.openxmlformats.org/officeDocument/2006/relationships/header" Target="header5.xml" /><Relationship Id="rId110" Type="http://schemas.openxmlformats.org/officeDocument/2006/relationships/header" Target="header39.xml" /><Relationship Id="rId111" Type="http://schemas.openxmlformats.org/officeDocument/2006/relationships/footer" Target="footer39.xml" /><Relationship Id="rId112" Type="http://schemas.microsoft.com/office/2006/relationships/keyMapCustomizations" Target="customizations.xml" /><Relationship Id="rId113" Type="http://schemas.openxmlformats.org/officeDocument/2006/relationships/theme" Target="theme/theme1.xml" /><Relationship Id="rId114" Type="http://schemas.openxmlformats.org/officeDocument/2006/relationships/numbering" Target="numbering.xml" /><Relationship Id="rId115"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image" Target="media/image1.png" /><Relationship Id="rId53" Type="http://schemas.openxmlformats.org/officeDocument/2006/relationships/image" Target="media/image2.png" /><Relationship Id="rId54" Type="http://schemas.openxmlformats.org/officeDocument/2006/relationships/image" Target="media/image3.png" /><Relationship Id="rId55" Type="http://schemas.openxmlformats.org/officeDocument/2006/relationships/image" Target="media/image4.png" /><Relationship Id="rId56" Type="http://schemas.openxmlformats.org/officeDocument/2006/relationships/image" Target="media/image5.png" /><Relationship Id="rId57" Type="http://schemas.openxmlformats.org/officeDocument/2006/relationships/image" Target="media/image6.png" /><Relationship Id="rId58" Type="http://schemas.openxmlformats.org/officeDocument/2006/relationships/image" Target="media/image7.png" /><Relationship Id="rId59" Type="http://schemas.openxmlformats.org/officeDocument/2006/relationships/header" Target="header25.xml" /><Relationship Id="rId6" Type="http://schemas.openxmlformats.org/officeDocument/2006/relationships/footer" Target="footer1.xml" /><Relationship Id="rId60" Type="http://schemas.openxmlformats.org/officeDocument/2006/relationships/header" Target="header26.xml" /><Relationship Id="rId61" Type="http://schemas.openxmlformats.org/officeDocument/2006/relationships/footer" Target="footer25.xml" /><Relationship Id="rId62" Type="http://schemas.openxmlformats.org/officeDocument/2006/relationships/footer" Target="footer26.xml" /><Relationship Id="rId63" Type="http://schemas.openxmlformats.org/officeDocument/2006/relationships/header" Target="header27.xml" /><Relationship Id="rId64" Type="http://schemas.openxmlformats.org/officeDocument/2006/relationships/footer" Target="footer27.xml" /><Relationship Id="rId65" Type="http://schemas.openxmlformats.org/officeDocument/2006/relationships/image" Target="media/image8.png" /><Relationship Id="rId66" Type="http://schemas.openxmlformats.org/officeDocument/2006/relationships/image" Target="media/image9.png" /><Relationship Id="rId67" Type="http://schemas.openxmlformats.org/officeDocument/2006/relationships/image" Target="media/image10.png" /><Relationship Id="rId68" Type="http://schemas.openxmlformats.org/officeDocument/2006/relationships/image" Target="media/image11.png" /><Relationship Id="rId69" Type="http://schemas.openxmlformats.org/officeDocument/2006/relationships/image" Target="media/image12.png" /><Relationship Id="rId7" Type="http://schemas.openxmlformats.org/officeDocument/2006/relationships/footer" Target="footer2.xml" /><Relationship Id="rId70" Type="http://schemas.openxmlformats.org/officeDocument/2006/relationships/image" Target="media/image13.png" /><Relationship Id="rId71" Type="http://schemas.openxmlformats.org/officeDocument/2006/relationships/image" Target="media/image14.png" /><Relationship Id="rId72" Type="http://schemas.openxmlformats.org/officeDocument/2006/relationships/image" Target="media/image15.png" /><Relationship Id="rId73" Type="http://schemas.openxmlformats.org/officeDocument/2006/relationships/image" Target="media/image16.png" /><Relationship Id="rId74" Type="http://schemas.openxmlformats.org/officeDocument/2006/relationships/image" Target="media/image17.png" /><Relationship Id="rId75" Type="http://schemas.openxmlformats.org/officeDocument/2006/relationships/image" Target="media/image18.png" /><Relationship Id="rId76" Type="http://schemas.openxmlformats.org/officeDocument/2006/relationships/image" Target="media/image19.png" /><Relationship Id="rId77" Type="http://schemas.openxmlformats.org/officeDocument/2006/relationships/image" Target="media/image20.png" /><Relationship Id="rId78" Type="http://schemas.openxmlformats.org/officeDocument/2006/relationships/image" Target="media/image21.png" /><Relationship Id="rId79" Type="http://schemas.openxmlformats.org/officeDocument/2006/relationships/image" Target="media/image22.png" /><Relationship Id="rId8" Type="http://schemas.openxmlformats.org/officeDocument/2006/relationships/header" Target="header3.xml" /><Relationship Id="rId80" Type="http://schemas.openxmlformats.org/officeDocument/2006/relationships/image" Target="media/image23.png" /><Relationship Id="rId81" Type="http://schemas.openxmlformats.org/officeDocument/2006/relationships/header" Target="header28.xml" /><Relationship Id="rId82" Type="http://schemas.openxmlformats.org/officeDocument/2006/relationships/header" Target="header29.xml" /><Relationship Id="rId83" Type="http://schemas.openxmlformats.org/officeDocument/2006/relationships/footer" Target="footer28.xml" /><Relationship Id="rId84" Type="http://schemas.openxmlformats.org/officeDocument/2006/relationships/footer" Target="footer29.xml" /><Relationship Id="rId85" Type="http://schemas.openxmlformats.org/officeDocument/2006/relationships/header" Target="header30.xml" /><Relationship Id="rId86" Type="http://schemas.openxmlformats.org/officeDocument/2006/relationships/footer" Target="footer30.xml" /><Relationship Id="rId87" Type="http://schemas.openxmlformats.org/officeDocument/2006/relationships/image" Target="media/image24.png" /><Relationship Id="rId88" Type="http://schemas.openxmlformats.org/officeDocument/2006/relationships/image" Target="media/image25.png" /><Relationship Id="rId89" Type="http://schemas.openxmlformats.org/officeDocument/2006/relationships/image" Target="media/image26.png" /><Relationship Id="rId9" Type="http://schemas.openxmlformats.org/officeDocument/2006/relationships/footer" Target="footer3.xml" /><Relationship Id="rId90" Type="http://schemas.openxmlformats.org/officeDocument/2006/relationships/image" Target="media/image27.png" /><Relationship Id="rId91" Type="http://schemas.openxmlformats.org/officeDocument/2006/relationships/image" Target="media/image28.png" /><Relationship Id="rId92" Type="http://schemas.openxmlformats.org/officeDocument/2006/relationships/image" Target="media/image29.png" /><Relationship Id="rId93" Type="http://schemas.openxmlformats.org/officeDocument/2006/relationships/header" Target="header31.xml" /><Relationship Id="rId94" Type="http://schemas.openxmlformats.org/officeDocument/2006/relationships/header" Target="header32.xml" /><Relationship Id="rId95" Type="http://schemas.openxmlformats.org/officeDocument/2006/relationships/footer" Target="footer31.xml" /><Relationship Id="rId96" Type="http://schemas.openxmlformats.org/officeDocument/2006/relationships/footer" Target="footer32.xml" /><Relationship Id="rId97" Type="http://schemas.openxmlformats.org/officeDocument/2006/relationships/header" Target="header33.xml" /><Relationship Id="rId98" Type="http://schemas.openxmlformats.org/officeDocument/2006/relationships/footer" Target="footer33.xml" /><Relationship Id="rId99" Type="http://schemas.openxmlformats.org/officeDocument/2006/relationships/header" Target="header3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157274880</TotalTime>
  <Pages>16</Pages>
  <Words>5016</Words>
  <Characters>28593</Characters>
  <Application>Microsoft Office Word</Application>
  <DocSecurity>0</DocSecurity>
  <Lines>238</Lines>
  <Paragraphs>67</Paragraphs>
  <ScaleCrop>false</ScaleCrop>
  <Company/>
  <LinksUpToDate>false</LinksUpToDate>
  <CharactersWithSpaces>33542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NIEBO</dc:creator>
  <cp:lastModifiedBy>xwbjl</cp:lastModifiedBy>
  <cp:revision>2</cp:revision>
  <cp:lastPrinted>2019-05-29T00:00:00Z</cp:lastPrinted>
  <dcterms:created xsi:type="dcterms:W3CDTF">2018-01-10T01:55:00Z</dcterms:created>
  <dcterms:modified xsi:type="dcterms:W3CDTF">2024-03-19T11:46:19Z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09BC8E3D5F4F4E9DAB3F93C4E04984EC_12</vt:lpwstr>
  </property>
  <property fmtid="{D5CDD505-2E9C-101B-9397-08002B2CF9AE}" pid="3" name="KSOProductBuildVer">
    <vt:lpwstr>2052-12.1.0.16388</vt:lpwstr>
  </property>
</Properties>
</file>