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不锈钢板材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156875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(二)、不锈钢板材项目技术工艺分析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不锈钢板材项目技术流程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三、不锈钢板材项目建设背景及必要性分析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、不锈钢板材项目可行性研究报告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、不锈钢板材项目实施保障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59694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三)、不锈钢板材项目对环境的主要影响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969934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项目商业计划书是为了规范不锈钢板材项目的实施步骤和计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而编写的。通过详细描述不锈钢板材项目的背景和目标，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不锈钢板材项目技术工艺分析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提供优质产品和服务。保障工艺流程能够满足不锈钢板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不锈钢板材项目建设贯彻“三同时”的原则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不锈钢板材项目拟采用国内成熟的生产工艺，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2" w:right="4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不锈钢板材项目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以确保不锈钢板材项目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确保不锈钢板材项目的可持续发展和高效运营。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(三)、不锈钢板材项目技术流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在不锈钢板材项目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据分析工具监测和分析不锈钢板材项目各环节数据。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共同构建了高效、稳定的不锈钢板材项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施框架，确保不锈钢板材项目顺利推进。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保选用的设备能够满足不锈钢板材项目的技术要求，例如：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选设备与不锈钢板材项目工艺流程相匹配，例如：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备的生产能力是否符合不锈钢板材项目的产能需求。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5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三、不锈钢板材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不锈钢板材项目可行性研究报告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在不</w:t>
      </w:r>
      <w:r>
        <w:rPr>
          <w:rFonts w:ascii="FangSong" w:eastAsia="FangSong" w:hAnsi="FangSong" w:cs="FangSong"/>
          <w:spacing w:val="-15"/>
          <w:sz w:val="28"/>
          <w:szCs w:val="28"/>
        </w:rPr>
        <w:t>锈</w:t>
      </w:r>
      <w:r>
        <w:rPr>
          <w:rFonts w:ascii="FangSong" w:eastAsia="FangSong" w:hAnsi="FangSong" w:cs="FangSong"/>
          <w:spacing w:val="-8"/>
          <w:sz w:val="28"/>
          <w:szCs w:val="28"/>
        </w:rPr>
        <w:t>钢板材行业，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26" w:lineRule="auto"/>
        <w:ind w:left="34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成为消费者首选的不锈钢板材产品。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不锈钢板材项目总投资</w:t>
      </w:r>
    </w:p>
    <w:p>
      <w:pPr>
        <w:spacing w:before="288" w:line="411" w:lineRule="auto"/>
        <w:ind w:left="3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规模旨在实现一个全面、可持续的不锈钢板材项目。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不锈钢板材项目总投资将主要用于以下几个方面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31" w:right="5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锈</w:t>
      </w:r>
      <w:r>
        <w:rPr>
          <w:rFonts w:ascii="FangSong" w:eastAsia="FangSong" w:hAnsi="FangSong" w:cs="FangSong"/>
          <w:spacing w:val="-4"/>
          <w:sz w:val="28"/>
          <w:szCs w:val="28"/>
        </w:rPr>
        <w:t>钢板材项目的顺利进行。</w:t>
      </w:r>
    </w:p>
    <w:p>
      <w:pPr>
        <w:spacing w:before="1" w:line="411" w:lineRule="auto"/>
        <w:ind w:left="81" w:right="56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一部分资金将用于技术研发，以确保不锈钢板材项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不锈钢板材项目规模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我们计划在不锈钢板材项目建设后的第一年实现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56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不</w:t>
      </w:r>
      <w:r>
        <w:rPr>
          <w:rFonts w:ascii="FangSong" w:eastAsia="FangSong" w:hAnsi="FangSong" w:cs="FangSong"/>
          <w:spacing w:val="-25"/>
          <w:sz w:val="28"/>
          <w:szCs w:val="28"/>
        </w:rPr>
        <w:t>锈</w:t>
      </w:r>
      <w:r>
        <w:rPr>
          <w:rFonts w:ascii="FangSong" w:eastAsia="FangSong" w:hAnsi="FangSong" w:cs="FangSong"/>
          <w:spacing w:val="-16"/>
          <w:sz w:val="28"/>
          <w:szCs w:val="28"/>
        </w:rPr>
        <w:t>钢板材项目规模：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不锈钢板材项目将建设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产厂房、办公区域、仓储设施等。这将确保不锈钢板材项目能够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5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理、废气处理等，以确保不锈钢板材项目的环保性。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不锈钢板材项目总投资与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该不锈</w:t>
      </w:r>
      <w:r>
        <w:rPr>
          <w:rFonts w:ascii="FangSong" w:eastAsia="FangSong" w:hAnsi="FangSong" w:cs="FangSong"/>
          <w:spacing w:val="-5"/>
          <w:sz w:val="28"/>
          <w:szCs w:val="28"/>
        </w:rPr>
        <w:t>钢</w:t>
      </w:r>
      <w:r>
        <w:rPr>
          <w:rFonts w:ascii="FangSong" w:eastAsia="FangSong" w:hAnsi="FangSong" w:cs="FangSong"/>
          <w:spacing w:val="-3"/>
          <w:sz w:val="28"/>
          <w:szCs w:val="28"/>
        </w:rPr>
        <w:t>板材项目总征地面积为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亩)。不锈钢板材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不锈钢板材项目计划购置设备共计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</w:t>
      </w:r>
      <w:r>
        <w:rPr>
          <w:rFonts w:ascii="FangSong" w:eastAsia="FangSong" w:hAnsi="FangSong" w:cs="FangSong"/>
          <w:spacing w:val="-1"/>
          <w:sz w:val="28"/>
          <w:szCs w:val="28"/>
        </w:rPr>
        <w:t>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元。这些设备将在不锈钢板材项目运营中发挥关键作用，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不锈钢板材项目计划总投资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，这将为不锈钢板材项目未来的发展提供可观的经济回报。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不锈钢板材行业作为一个充满活力的领域，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不锈钢板材行业在技术上取得了显著的突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4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向</w:t>
      </w:r>
      <w:r>
        <w:rPr>
          <w:rFonts w:ascii="FangSong" w:eastAsia="FangSong" w:hAnsi="FangSong" w:cs="FangSong"/>
          <w:spacing w:val="-12"/>
          <w:sz w:val="28"/>
          <w:szCs w:val="28"/>
        </w:rPr>
        <w:t>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**不锈钢板材行业**是一片充满活力的领域，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不锈钢板材行业市场规模庞大，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pacing w:val="-8"/>
          <w:sz w:val="28"/>
          <w:szCs w:val="28"/>
        </w:rPr>
        <w:t>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4" w:lineRule="auto"/>
        <w:ind w:left="31" w:right="73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不锈钢板材行业在技术上取得了显著的突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源配置是确保不锈钢板材项目成功实施的核心要素之一。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我们根据不锈钢板材项目规模和复杂性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员具备应对不锈钢板材项目挑战的能力。通过这些人力资源配置策略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为不锈钢板材项目的顺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确保不锈钢板材项目团队的协调运作和高效执行，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并采用灵活的策略来满足不锈钢板材项目需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确保招募到最适合不锈钢板材项目的人才。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岗位分工：明确不锈钢板材项目各个岗位的职责和任务，根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2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助力其在不锈钢板材项目中不断成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1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锈钢板材项目、角色扮演等方式，提高团队成员的协同工作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1" w:lineRule="auto"/>
        <w:ind w:left="37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不锈钢板材项目将严格遵守国家和地方劳动安全法规，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3" w:line="415" w:lineRule="auto"/>
        <w:ind w:left="35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不锈钢板材项目团队将定期审核国家和地方的劳动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ectPr>
          <w:pgSz w:w="11906" w:h="16839"/>
          <w:pgMar w:top="1431" w:right="1750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应对不锈钢板材项目所在行业的特殊性，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不锈钢板材项目将参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不锈钢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板</w:t>
      </w:r>
      <w:r>
        <w:rPr>
          <w:rFonts w:ascii="FangSong" w:eastAsia="FangSong" w:hAnsi="FangSong" w:cs="FangSong"/>
          <w:spacing w:val="-6"/>
          <w:sz w:val="28"/>
          <w:szCs w:val="28"/>
        </w:rPr>
        <w:t>材项目将采取以下措施：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通过进行全员劳动安全培训，不锈钢板材项目将覆盖以下方面：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不锈钢板材项目将提供适当的个人防护用具，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pacing w:val="-8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不锈钢板材项目将采取以下措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不锈钢板材项目将确保工作环境符合</w:t>
      </w:r>
      <w:r>
        <w:rPr>
          <w:rFonts w:ascii="FangSong" w:eastAsia="FangSong" w:hAnsi="FangSong" w:cs="FangSong"/>
          <w:spacing w:val="-5"/>
          <w:sz w:val="28"/>
          <w:szCs w:val="28"/>
        </w:rPr>
        <w:t>安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before="287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不锈钢板材项目将最大程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全卫生专用设施设计：在不锈钢板材项目建设过程中，我们对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确保不锈钢板材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工提供一个安全的工作场所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取与生产工艺相匹配：针对不锈钢板材项目特有的生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2" w:right="14" w:firstLine="2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用先进、成熟、可靠的生产技术：不锈钢板材项目设计中采用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确保工程不锈钢板材项目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不锈钢板材项目的建设周期被设定为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个月，其中包括不锈钢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板材项目前期准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、工程勘察与设计、土建工程施工、设备采购、设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备安装调试等关</w:t>
      </w:r>
      <w:r>
        <w:rPr>
          <w:rFonts w:ascii="FangSong" w:eastAsia="FangSong" w:hAnsi="FangSong" w:cs="FangSong"/>
          <w:spacing w:val="-4"/>
          <w:sz w:val="28"/>
          <w:szCs w:val="28"/>
        </w:rPr>
        <w:t>键</w:t>
      </w:r>
      <w:r>
        <w:rPr>
          <w:rFonts w:ascii="FangSong" w:eastAsia="FangSong" w:hAnsi="FangSong" w:cs="FangSong"/>
          <w:spacing w:val="-3"/>
          <w:sz w:val="28"/>
          <w:szCs w:val="28"/>
        </w:rPr>
        <w:t>阶段。这个时间框架将充分考虑到各个阶段的工作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内容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交叉影响，以确保不锈钢板材项目的高效推进。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6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具体的建设进度将在不锈钢板材项目启动时明确制定，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程碑计划进行监测和调整。各个阶段的完成情况将通过定期的进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报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https://d.book118.com/735100131324011122</w:t>
        </w:r>
      </w:hyperlink>
    </w:p>
    <w:p/>
    <w:sectPr>
      <w:pgSz w:w="11906" w:h="16839"/>
      <w:pgMar w:top="1431" w:right="1785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5100131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2024-03-14T08:24:50Z</vt:filetime>
  </property>
  <property fmtid="{D5CDD505-2E9C-101B-9397-08002B2CF9AE}" pid="3" name="CRO">
    <vt:lpwstr>wqlLaW5nc29mdCBQREYgdG8gV1BTIDgw</vt:lpwstr>
  </property>
</Properties>
</file>