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高精度数字电流表项目规划设计纲要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7" w:history="1">
        <w:r>
          <w:rPr>
            <w:rFonts w:ascii="仿宋" w:eastAsia="仿宋" w:hAnsi="仿宋" w:cs="仿宋" w:hint="eastAsia"/>
            <w:lang w:eastAsia="zh-CN"/>
          </w:rPr>
          <w:t>前言</w:t>
        </w:r>
        <w:r>
          <w:tab/>
        </w:r>
        <w:r>
          <w:fldChar w:fldCharType="begin"/>
        </w:r>
        <w:r>
          <w:instrText xml:space="preserve"> PAGEREF _Toc20567 \h </w:instrText>
        </w:r>
        <w:r>
          <w:fldChar w:fldCharType="separate"/>
        </w:r>
        <w:r>
          <w:t>3</w:t>
        </w:r>
        <w:r>
          <w:fldChar w:fldCharType="end"/>
        </w:r>
      </w:hyperlink>
    </w:p>
    <w:p>
      <w:pPr>
        <w:pStyle w:val="TOC1"/>
        <w:tabs>
          <w:tab w:val="right" w:leader="dot" w:pos="8306"/>
        </w:tabs>
      </w:pPr>
      <w:hyperlink w:anchor="_Toc24907" w:history="1">
        <w:r>
          <w:rPr>
            <w:rFonts w:ascii="仿宋" w:eastAsia="仿宋" w:hAnsi="仿宋" w:cs="仿宋" w:hint="eastAsia"/>
            <w:lang w:eastAsia="zh-CN"/>
          </w:rPr>
          <w:t>一、高精度数字电流表项目绩效评估</w:t>
        </w:r>
        <w:r>
          <w:tab/>
        </w:r>
        <w:r>
          <w:fldChar w:fldCharType="begin"/>
        </w:r>
        <w:r>
          <w:instrText xml:space="preserve"> PAGEREF _Toc24907 \h </w:instrText>
        </w:r>
        <w:r>
          <w:fldChar w:fldCharType="separate"/>
        </w:r>
        <w:r>
          <w:t>3</w:t>
        </w:r>
        <w:r>
          <w:fldChar w:fldCharType="end"/>
        </w:r>
      </w:hyperlink>
    </w:p>
    <w:p>
      <w:pPr>
        <w:pStyle w:val="TOC2"/>
        <w:tabs>
          <w:tab w:val="right" w:leader="dot" w:pos="8306"/>
        </w:tabs>
      </w:pPr>
      <w:hyperlink w:anchor="_Toc18697" w:history="1">
        <w:r>
          <w:rPr>
            <w:rFonts w:ascii="仿宋" w:eastAsia="仿宋" w:hAnsi="仿宋" w:cs="仿宋" w:hint="eastAsia"/>
            <w:lang w:eastAsia="zh-CN"/>
          </w:rPr>
          <w:t>(一)、绩效评估指标</w:t>
        </w:r>
        <w:r>
          <w:tab/>
        </w:r>
        <w:r>
          <w:fldChar w:fldCharType="begin"/>
        </w:r>
        <w:r>
          <w:instrText xml:space="preserve"> PAGEREF _Toc18697 \h </w:instrText>
        </w:r>
        <w:r>
          <w:fldChar w:fldCharType="separate"/>
        </w:r>
        <w:r>
          <w:t>3</w:t>
        </w:r>
        <w:r>
          <w:fldChar w:fldCharType="end"/>
        </w:r>
      </w:hyperlink>
    </w:p>
    <w:p>
      <w:pPr>
        <w:pStyle w:val="TOC2"/>
        <w:tabs>
          <w:tab w:val="right" w:leader="dot" w:pos="8306"/>
        </w:tabs>
      </w:pPr>
      <w:hyperlink w:anchor="_Toc22770" w:history="1">
        <w:r>
          <w:rPr>
            <w:rFonts w:ascii="仿宋" w:eastAsia="仿宋" w:hAnsi="仿宋" w:cs="仿宋" w:hint="eastAsia"/>
            <w:lang w:eastAsia="zh-CN"/>
          </w:rPr>
          <w:t>(二)、绩效评估方法</w:t>
        </w:r>
        <w:r>
          <w:tab/>
        </w:r>
        <w:r>
          <w:fldChar w:fldCharType="begin"/>
        </w:r>
        <w:r>
          <w:instrText xml:space="preserve"> PAGEREF _Toc22770 \h </w:instrText>
        </w:r>
        <w:r>
          <w:fldChar w:fldCharType="separate"/>
        </w:r>
        <w:r>
          <w:t>4</w:t>
        </w:r>
        <w:r>
          <w:fldChar w:fldCharType="end"/>
        </w:r>
      </w:hyperlink>
    </w:p>
    <w:p>
      <w:pPr>
        <w:pStyle w:val="TOC2"/>
        <w:tabs>
          <w:tab w:val="right" w:leader="dot" w:pos="8306"/>
        </w:tabs>
      </w:pPr>
      <w:hyperlink w:anchor="_Toc20215" w:history="1">
        <w:r>
          <w:rPr>
            <w:rFonts w:ascii="仿宋" w:eastAsia="仿宋" w:hAnsi="仿宋" w:cs="仿宋" w:hint="eastAsia"/>
            <w:lang w:eastAsia="zh-CN"/>
          </w:rPr>
          <w:t>(三)、绩效评估周期</w:t>
        </w:r>
        <w:r>
          <w:tab/>
        </w:r>
        <w:r>
          <w:fldChar w:fldCharType="begin"/>
        </w:r>
        <w:r>
          <w:instrText xml:space="preserve"> PAGEREF _Toc20215 \h </w:instrText>
        </w:r>
        <w:r>
          <w:fldChar w:fldCharType="separate"/>
        </w:r>
        <w:r>
          <w:t>5</w:t>
        </w:r>
        <w:r>
          <w:fldChar w:fldCharType="end"/>
        </w:r>
      </w:hyperlink>
    </w:p>
    <w:p>
      <w:pPr>
        <w:pStyle w:val="TOC1"/>
        <w:tabs>
          <w:tab w:val="right" w:leader="dot" w:pos="8306"/>
        </w:tabs>
      </w:pPr>
      <w:hyperlink w:anchor="_Toc18966" w:history="1">
        <w:r>
          <w:rPr>
            <w:rFonts w:ascii="仿宋" w:eastAsia="仿宋" w:hAnsi="仿宋" w:cs="仿宋" w:hint="eastAsia"/>
            <w:lang w:eastAsia="zh-CN"/>
          </w:rPr>
          <w:t>二、高精度数字电流表项目选址可行性分析</w:t>
        </w:r>
        <w:r>
          <w:tab/>
        </w:r>
        <w:r>
          <w:fldChar w:fldCharType="begin"/>
        </w:r>
        <w:r>
          <w:instrText xml:space="preserve"> PAGEREF _Toc18966 \h </w:instrText>
        </w:r>
        <w:r>
          <w:fldChar w:fldCharType="separate"/>
        </w:r>
        <w:r>
          <w:t>6</w:t>
        </w:r>
        <w:r>
          <w:fldChar w:fldCharType="end"/>
        </w:r>
      </w:hyperlink>
    </w:p>
    <w:p>
      <w:pPr>
        <w:pStyle w:val="TOC2"/>
        <w:tabs>
          <w:tab w:val="right" w:leader="dot" w:pos="8306"/>
        </w:tabs>
      </w:pPr>
      <w:hyperlink w:anchor="_Toc5600" w:history="1">
        <w:r>
          <w:rPr>
            <w:rFonts w:ascii="仿宋" w:eastAsia="仿宋" w:hAnsi="仿宋" w:cs="仿宋" w:hint="eastAsia"/>
            <w:lang w:eastAsia="zh-CN"/>
          </w:rPr>
          <w:t>(一)、高精度数字电流表项目选址</w:t>
        </w:r>
        <w:r>
          <w:tab/>
        </w:r>
        <w:r>
          <w:fldChar w:fldCharType="begin"/>
        </w:r>
        <w:r>
          <w:instrText xml:space="preserve"> PAGEREF _Toc5600 \h </w:instrText>
        </w:r>
        <w:r>
          <w:fldChar w:fldCharType="separate"/>
        </w:r>
        <w:r>
          <w:t>6</w:t>
        </w:r>
        <w:r>
          <w:fldChar w:fldCharType="end"/>
        </w:r>
      </w:hyperlink>
    </w:p>
    <w:p>
      <w:pPr>
        <w:pStyle w:val="TOC2"/>
        <w:tabs>
          <w:tab w:val="right" w:leader="dot" w:pos="8306"/>
        </w:tabs>
      </w:pPr>
      <w:hyperlink w:anchor="_Toc15612" w:history="1">
        <w:r>
          <w:rPr>
            <w:rFonts w:ascii="仿宋" w:eastAsia="仿宋" w:hAnsi="仿宋" w:cs="仿宋" w:hint="eastAsia"/>
            <w:lang w:eastAsia="zh-CN"/>
          </w:rPr>
          <w:t>(二)、用地控制指标</w:t>
        </w:r>
        <w:r>
          <w:tab/>
        </w:r>
        <w:r>
          <w:fldChar w:fldCharType="begin"/>
        </w:r>
        <w:r>
          <w:instrText xml:space="preserve"> PAGEREF _Toc15612 \h </w:instrText>
        </w:r>
        <w:r>
          <w:fldChar w:fldCharType="separate"/>
        </w:r>
        <w:r>
          <w:t>6</w:t>
        </w:r>
        <w:r>
          <w:fldChar w:fldCharType="end"/>
        </w:r>
      </w:hyperlink>
    </w:p>
    <w:p>
      <w:pPr>
        <w:pStyle w:val="TOC2"/>
        <w:tabs>
          <w:tab w:val="right" w:leader="dot" w:pos="8306"/>
        </w:tabs>
      </w:pPr>
      <w:hyperlink w:anchor="_Toc8815" w:history="1">
        <w:r>
          <w:rPr>
            <w:rFonts w:ascii="仿宋" w:eastAsia="仿宋" w:hAnsi="仿宋" w:cs="仿宋" w:hint="eastAsia"/>
            <w:lang w:eastAsia="zh-CN"/>
          </w:rPr>
          <w:t>(三)、节约用地措施</w:t>
        </w:r>
        <w:r>
          <w:tab/>
        </w:r>
        <w:r>
          <w:fldChar w:fldCharType="begin"/>
        </w:r>
        <w:r>
          <w:instrText xml:space="preserve"> PAGEREF _Toc8815 \h </w:instrText>
        </w:r>
        <w:r>
          <w:fldChar w:fldCharType="separate"/>
        </w:r>
        <w:r>
          <w:t>8</w:t>
        </w:r>
        <w:r>
          <w:fldChar w:fldCharType="end"/>
        </w:r>
      </w:hyperlink>
    </w:p>
    <w:p>
      <w:pPr>
        <w:pStyle w:val="TOC2"/>
        <w:tabs>
          <w:tab w:val="right" w:leader="dot" w:pos="8306"/>
        </w:tabs>
      </w:pPr>
      <w:hyperlink w:anchor="_Toc13108" w:history="1">
        <w:r>
          <w:rPr>
            <w:rFonts w:ascii="仿宋" w:eastAsia="仿宋" w:hAnsi="仿宋" w:cs="仿宋" w:hint="eastAsia"/>
            <w:lang w:eastAsia="zh-CN"/>
          </w:rPr>
          <w:t>(四)、总图布置方案</w:t>
        </w:r>
        <w:r>
          <w:tab/>
        </w:r>
        <w:r>
          <w:fldChar w:fldCharType="begin"/>
        </w:r>
        <w:r>
          <w:instrText xml:space="preserve"> PAGEREF _Toc13108 \h </w:instrText>
        </w:r>
        <w:r>
          <w:fldChar w:fldCharType="separate"/>
        </w:r>
        <w:r>
          <w:t>10</w:t>
        </w:r>
        <w:r>
          <w:fldChar w:fldCharType="end"/>
        </w:r>
      </w:hyperlink>
    </w:p>
    <w:p>
      <w:pPr>
        <w:pStyle w:val="TOC2"/>
        <w:tabs>
          <w:tab w:val="right" w:leader="dot" w:pos="8306"/>
        </w:tabs>
      </w:pPr>
      <w:hyperlink w:anchor="_Toc2360" w:history="1">
        <w:r>
          <w:rPr>
            <w:rFonts w:ascii="仿宋" w:eastAsia="仿宋" w:hAnsi="仿宋" w:cs="仿宋" w:hint="eastAsia"/>
            <w:lang w:eastAsia="zh-CN"/>
          </w:rPr>
          <w:t>(五)、选址综合评价</w:t>
        </w:r>
        <w:r>
          <w:tab/>
        </w:r>
        <w:r>
          <w:fldChar w:fldCharType="begin"/>
        </w:r>
        <w:r>
          <w:instrText xml:space="preserve"> PAGEREF _Toc2360 \h </w:instrText>
        </w:r>
        <w:r>
          <w:fldChar w:fldCharType="separate"/>
        </w:r>
        <w:r>
          <w:t>11</w:t>
        </w:r>
        <w:r>
          <w:fldChar w:fldCharType="end"/>
        </w:r>
      </w:hyperlink>
    </w:p>
    <w:p>
      <w:pPr>
        <w:pStyle w:val="TOC1"/>
        <w:tabs>
          <w:tab w:val="right" w:leader="dot" w:pos="8306"/>
        </w:tabs>
      </w:pPr>
      <w:hyperlink w:anchor="_Toc19235" w:history="1">
        <w:r>
          <w:rPr>
            <w:rFonts w:ascii="仿宋" w:eastAsia="仿宋" w:hAnsi="仿宋" w:cs="仿宋" w:hint="eastAsia"/>
            <w:lang w:eastAsia="zh-CN"/>
          </w:rPr>
          <w:t>三、高精度数字电流表项目可持续发展</w:t>
        </w:r>
        <w:r>
          <w:tab/>
        </w:r>
        <w:r>
          <w:fldChar w:fldCharType="begin"/>
        </w:r>
        <w:r>
          <w:instrText xml:space="preserve"> PAGEREF _Toc19235 \h </w:instrText>
        </w:r>
        <w:r>
          <w:fldChar w:fldCharType="separate"/>
        </w:r>
        <w:r>
          <w:t>12</w:t>
        </w:r>
        <w:r>
          <w:fldChar w:fldCharType="end"/>
        </w:r>
      </w:hyperlink>
    </w:p>
    <w:p>
      <w:pPr>
        <w:pStyle w:val="TOC2"/>
        <w:tabs>
          <w:tab w:val="right" w:leader="dot" w:pos="8306"/>
        </w:tabs>
      </w:pPr>
      <w:hyperlink w:anchor="_Toc25258" w:history="1">
        <w:r>
          <w:rPr>
            <w:rFonts w:ascii="仿宋" w:eastAsia="仿宋" w:hAnsi="仿宋" w:cs="仿宋" w:hint="eastAsia"/>
            <w:lang w:eastAsia="zh-CN"/>
          </w:rPr>
          <w:t>(一)、可持续战略与实践</w:t>
        </w:r>
        <w:r>
          <w:tab/>
        </w:r>
        <w:r>
          <w:fldChar w:fldCharType="begin"/>
        </w:r>
        <w:r>
          <w:instrText xml:space="preserve"> PAGEREF _Toc25258 \h </w:instrText>
        </w:r>
        <w:r>
          <w:fldChar w:fldCharType="separate"/>
        </w:r>
        <w:r>
          <w:t>12</w:t>
        </w:r>
        <w:r>
          <w:fldChar w:fldCharType="end"/>
        </w:r>
      </w:hyperlink>
    </w:p>
    <w:p>
      <w:pPr>
        <w:pStyle w:val="TOC2"/>
        <w:tabs>
          <w:tab w:val="right" w:leader="dot" w:pos="8306"/>
        </w:tabs>
      </w:pPr>
      <w:hyperlink w:anchor="_Toc18610" w:history="1">
        <w:r>
          <w:rPr>
            <w:rFonts w:ascii="仿宋" w:eastAsia="仿宋" w:hAnsi="仿宋" w:cs="仿宋" w:hint="eastAsia"/>
            <w:lang w:eastAsia="zh-CN"/>
          </w:rPr>
          <w:t>(二)、环保与社会责任</w:t>
        </w:r>
        <w:r>
          <w:tab/>
        </w:r>
        <w:r>
          <w:fldChar w:fldCharType="begin"/>
        </w:r>
        <w:r>
          <w:instrText xml:space="preserve"> PAGEREF _Toc18610 \h </w:instrText>
        </w:r>
        <w:r>
          <w:fldChar w:fldCharType="separate"/>
        </w:r>
        <w:r>
          <w:t>13</w:t>
        </w:r>
        <w:r>
          <w:fldChar w:fldCharType="end"/>
        </w:r>
      </w:hyperlink>
    </w:p>
    <w:p>
      <w:pPr>
        <w:pStyle w:val="TOC1"/>
        <w:tabs>
          <w:tab w:val="right" w:leader="dot" w:pos="8306"/>
        </w:tabs>
      </w:pPr>
      <w:hyperlink w:anchor="_Toc882" w:history="1">
        <w:r>
          <w:rPr>
            <w:rFonts w:ascii="仿宋" w:eastAsia="仿宋" w:hAnsi="仿宋" w:cs="仿宋" w:hint="eastAsia"/>
            <w:lang w:eastAsia="zh-CN"/>
          </w:rPr>
          <w:t>四、市场分析、调研</w:t>
        </w:r>
        <w:r>
          <w:tab/>
        </w:r>
        <w:r>
          <w:fldChar w:fldCharType="begin"/>
        </w:r>
        <w:r>
          <w:instrText xml:space="preserve"> PAGEREF _Toc882 \h </w:instrText>
        </w:r>
        <w:r>
          <w:fldChar w:fldCharType="separate"/>
        </w:r>
        <w:r>
          <w:t>14</w:t>
        </w:r>
        <w:r>
          <w:fldChar w:fldCharType="end"/>
        </w:r>
      </w:hyperlink>
    </w:p>
    <w:p>
      <w:pPr>
        <w:pStyle w:val="TOC2"/>
        <w:tabs>
          <w:tab w:val="right" w:leader="dot" w:pos="8306"/>
        </w:tabs>
      </w:pPr>
      <w:hyperlink w:anchor="_Toc29847" w:history="1">
        <w:r>
          <w:rPr>
            <w:rFonts w:ascii="仿宋" w:eastAsia="仿宋" w:hAnsi="仿宋" w:cs="仿宋" w:hint="eastAsia"/>
            <w:lang w:eastAsia="zh-CN"/>
          </w:rPr>
          <w:t>(一)、高精度数字电流表行业分析</w:t>
        </w:r>
        <w:r>
          <w:tab/>
        </w:r>
        <w:r>
          <w:fldChar w:fldCharType="begin"/>
        </w:r>
        <w:r>
          <w:instrText xml:space="preserve"> PAGEREF _Toc29847 \h </w:instrText>
        </w:r>
        <w:r>
          <w:fldChar w:fldCharType="separate"/>
        </w:r>
        <w:r>
          <w:t>14</w:t>
        </w:r>
        <w:r>
          <w:fldChar w:fldCharType="end"/>
        </w:r>
      </w:hyperlink>
    </w:p>
    <w:p>
      <w:pPr>
        <w:pStyle w:val="TOC2"/>
        <w:tabs>
          <w:tab w:val="right" w:leader="dot" w:pos="8306"/>
        </w:tabs>
      </w:pPr>
      <w:hyperlink w:anchor="_Toc17706" w:history="1">
        <w:r>
          <w:rPr>
            <w:rFonts w:ascii="仿宋" w:eastAsia="仿宋" w:hAnsi="仿宋" w:cs="仿宋" w:hint="eastAsia"/>
            <w:lang w:eastAsia="zh-CN"/>
          </w:rPr>
          <w:t>(二)、高精度数字电流表市场分析预测</w:t>
        </w:r>
        <w:r>
          <w:tab/>
        </w:r>
        <w:r>
          <w:fldChar w:fldCharType="begin"/>
        </w:r>
        <w:r>
          <w:instrText xml:space="preserve"> PAGEREF _Toc17706 \h </w:instrText>
        </w:r>
        <w:r>
          <w:fldChar w:fldCharType="separate"/>
        </w:r>
        <w:r>
          <w:t>14</w:t>
        </w:r>
        <w:r>
          <w:fldChar w:fldCharType="end"/>
        </w:r>
      </w:hyperlink>
    </w:p>
    <w:p>
      <w:pPr>
        <w:pStyle w:val="TOC1"/>
        <w:tabs>
          <w:tab w:val="right" w:leader="dot" w:pos="8306"/>
        </w:tabs>
      </w:pPr>
      <w:hyperlink w:anchor="_Toc3801" w:history="1">
        <w:r>
          <w:rPr>
            <w:rFonts w:ascii="仿宋" w:eastAsia="仿宋" w:hAnsi="仿宋" w:cs="仿宋" w:hint="eastAsia"/>
            <w:lang w:eastAsia="zh-CN"/>
          </w:rPr>
          <w:t>五、高精度数字电流表项目土建工程</w:t>
        </w:r>
        <w:r>
          <w:tab/>
        </w:r>
        <w:r>
          <w:fldChar w:fldCharType="begin"/>
        </w:r>
        <w:r>
          <w:instrText xml:space="preserve"> PAGEREF _Toc3801 \h </w:instrText>
        </w:r>
        <w:r>
          <w:fldChar w:fldCharType="separate"/>
        </w:r>
        <w:r>
          <w:t>15</w:t>
        </w:r>
        <w:r>
          <w:fldChar w:fldCharType="end"/>
        </w:r>
      </w:hyperlink>
    </w:p>
    <w:p>
      <w:pPr>
        <w:pStyle w:val="TOC2"/>
        <w:tabs>
          <w:tab w:val="right" w:leader="dot" w:pos="8306"/>
        </w:tabs>
      </w:pPr>
      <w:hyperlink w:anchor="_Toc18759" w:history="1">
        <w:r>
          <w:rPr>
            <w:rFonts w:ascii="仿宋" w:eastAsia="仿宋" w:hAnsi="仿宋" w:cs="仿宋" w:hint="eastAsia"/>
            <w:lang w:eastAsia="zh-CN"/>
          </w:rPr>
          <w:t>(一)、建筑工程设计原则</w:t>
        </w:r>
        <w:r>
          <w:tab/>
        </w:r>
        <w:r>
          <w:fldChar w:fldCharType="begin"/>
        </w:r>
        <w:r>
          <w:instrText xml:space="preserve"> PAGEREF _Toc18759 \h </w:instrText>
        </w:r>
        <w:r>
          <w:fldChar w:fldCharType="separate"/>
        </w:r>
        <w:r>
          <w:t>15</w:t>
        </w:r>
        <w:r>
          <w:fldChar w:fldCharType="end"/>
        </w:r>
      </w:hyperlink>
    </w:p>
    <w:p>
      <w:pPr>
        <w:pStyle w:val="TOC2"/>
        <w:tabs>
          <w:tab w:val="right" w:leader="dot" w:pos="8306"/>
        </w:tabs>
      </w:pPr>
      <w:hyperlink w:anchor="_Toc13945" w:history="1">
        <w:r>
          <w:rPr>
            <w:rFonts w:ascii="仿宋" w:eastAsia="仿宋" w:hAnsi="仿宋" w:cs="仿宋" w:hint="eastAsia"/>
            <w:lang w:eastAsia="zh-CN"/>
          </w:rPr>
          <w:t>(二)、土建工程设计年限及安全等级</w:t>
        </w:r>
        <w:r>
          <w:tab/>
        </w:r>
        <w:r>
          <w:fldChar w:fldCharType="begin"/>
        </w:r>
        <w:r>
          <w:instrText xml:space="preserve"> PAGEREF _Toc13945 \h </w:instrText>
        </w:r>
        <w:r>
          <w:fldChar w:fldCharType="separate"/>
        </w:r>
        <w:r>
          <w:t>16</w:t>
        </w:r>
        <w:r>
          <w:fldChar w:fldCharType="end"/>
        </w:r>
      </w:hyperlink>
    </w:p>
    <w:p>
      <w:pPr>
        <w:pStyle w:val="TOC2"/>
        <w:tabs>
          <w:tab w:val="right" w:leader="dot" w:pos="8306"/>
        </w:tabs>
      </w:pPr>
      <w:hyperlink w:anchor="_Toc12447" w:history="1">
        <w:r>
          <w:rPr>
            <w:rFonts w:ascii="仿宋" w:eastAsia="仿宋" w:hAnsi="仿宋" w:cs="仿宋" w:hint="eastAsia"/>
            <w:lang w:eastAsia="zh-CN"/>
          </w:rPr>
          <w:t>(三)、建筑工程设计总体要求</w:t>
        </w:r>
        <w:r>
          <w:tab/>
        </w:r>
        <w:r>
          <w:fldChar w:fldCharType="begin"/>
        </w:r>
        <w:r>
          <w:instrText xml:space="preserve"> PAGEREF _Toc12447 \h </w:instrText>
        </w:r>
        <w:r>
          <w:fldChar w:fldCharType="separate"/>
        </w:r>
        <w:r>
          <w:t>18</w:t>
        </w:r>
        <w:r>
          <w:fldChar w:fldCharType="end"/>
        </w:r>
      </w:hyperlink>
    </w:p>
    <w:p>
      <w:pPr>
        <w:pStyle w:val="TOC2"/>
        <w:tabs>
          <w:tab w:val="right" w:leader="dot" w:pos="8306"/>
        </w:tabs>
      </w:pPr>
      <w:hyperlink w:anchor="_Toc30571" w:history="1">
        <w:r>
          <w:rPr>
            <w:rFonts w:ascii="仿宋" w:eastAsia="仿宋" w:hAnsi="仿宋" w:cs="仿宋" w:hint="eastAsia"/>
            <w:lang w:eastAsia="zh-CN"/>
          </w:rPr>
          <w:t>(四)、土建工程建设指标</w:t>
        </w:r>
        <w:r>
          <w:tab/>
        </w:r>
        <w:r>
          <w:fldChar w:fldCharType="begin"/>
        </w:r>
        <w:r>
          <w:instrText xml:space="preserve"> PAGEREF _Toc30571 \h </w:instrText>
        </w:r>
        <w:r>
          <w:fldChar w:fldCharType="separate"/>
        </w:r>
        <w:r>
          <w:t>18</w:t>
        </w:r>
        <w:r>
          <w:fldChar w:fldCharType="end"/>
        </w:r>
      </w:hyperlink>
    </w:p>
    <w:p>
      <w:pPr>
        <w:pStyle w:val="TOC1"/>
        <w:tabs>
          <w:tab w:val="right" w:leader="dot" w:pos="8306"/>
        </w:tabs>
      </w:pPr>
      <w:hyperlink w:anchor="_Toc21505" w:history="1">
        <w:r>
          <w:rPr>
            <w:rFonts w:ascii="仿宋" w:eastAsia="仿宋" w:hAnsi="仿宋" w:cs="仿宋" w:hint="eastAsia"/>
            <w:lang w:eastAsia="zh-CN"/>
          </w:rPr>
          <w:t>六、高精度数字电流表项目危机管理</w:t>
        </w:r>
        <w:r>
          <w:tab/>
        </w:r>
        <w:r>
          <w:fldChar w:fldCharType="begin"/>
        </w:r>
        <w:r>
          <w:instrText xml:space="preserve"> PAGEREF _Toc21505 \h </w:instrText>
        </w:r>
        <w:r>
          <w:fldChar w:fldCharType="separate"/>
        </w:r>
        <w:r>
          <w:t>19</w:t>
        </w:r>
        <w:r>
          <w:fldChar w:fldCharType="end"/>
        </w:r>
      </w:hyperlink>
    </w:p>
    <w:p>
      <w:pPr>
        <w:pStyle w:val="TOC2"/>
        <w:tabs>
          <w:tab w:val="right" w:leader="dot" w:pos="8306"/>
        </w:tabs>
      </w:pPr>
      <w:hyperlink w:anchor="_Toc31038" w:history="1">
        <w:r>
          <w:rPr>
            <w:rFonts w:ascii="仿宋" w:eastAsia="仿宋" w:hAnsi="仿宋" w:cs="仿宋" w:hint="eastAsia"/>
            <w:lang w:eastAsia="zh-CN"/>
          </w:rPr>
          <w:t>(一)、危机预警与识别</w:t>
        </w:r>
        <w:r>
          <w:tab/>
        </w:r>
        <w:r>
          <w:fldChar w:fldCharType="begin"/>
        </w:r>
        <w:r>
          <w:instrText xml:space="preserve"> PAGEREF _Toc31038 \h </w:instrText>
        </w:r>
        <w:r>
          <w:fldChar w:fldCharType="separate"/>
        </w:r>
        <w:r>
          <w:t>19</w:t>
        </w:r>
        <w:r>
          <w:fldChar w:fldCharType="end"/>
        </w:r>
      </w:hyperlink>
    </w:p>
    <w:p>
      <w:pPr>
        <w:pStyle w:val="TOC2"/>
        <w:tabs>
          <w:tab w:val="right" w:leader="dot" w:pos="8306"/>
        </w:tabs>
      </w:pPr>
      <w:hyperlink w:anchor="_Toc11960" w:history="1">
        <w:r>
          <w:rPr>
            <w:rFonts w:ascii="仿宋" w:eastAsia="仿宋" w:hAnsi="仿宋" w:cs="仿宋" w:hint="eastAsia"/>
            <w:lang w:eastAsia="zh-CN"/>
          </w:rPr>
          <w:t>(二)、危机应对与恢复</w:t>
        </w:r>
        <w:r>
          <w:tab/>
        </w:r>
        <w:r>
          <w:fldChar w:fldCharType="begin"/>
        </w:r>
        <w:r>
          <w:instrText xml:space="preserve"> PAGEREF _Toc11960 \h </w:instrText>
        </w:r>
        <w:r>
          <w:fldChar w:fldCharType="separate"/>
        </w:r>
        <w:r>
          <w:t>20</w:t>
        </w:r>
        <w:r>
          <w:fldChar w:fldCharType="end"/>
        </w:r>
      </w:hyperlink>
    </w:p>
    <w:p>
      <w:pPr>
        <w:pStyle w:val="TOC1"/>
        <w:tabs>
          <w:tab w:val="right" w:leader="dot" w:pos="8306"/>
        </w:tabs>
      </w:pPr>
      <w:hyperlink w:anchor="_Toc23593" w:history="1">
        <w:r>
          <w:rPr>
            <w:rFonts w:ascii="仿宋" w:eastAsia="仿宋" w:hAnsi="仿宋" w:cs="仿宋" w:hint="eastAsia"/>
            <w:lang w:eastAsia="zh-CN"/>
          </w:rPr>
          <w:t>七、高精度数字电流表项目人力资源培养与发展</w:t>
        </w:r>
        <w:r>
          <w:tab/>
        </w:r>
        <w:r>
          <w:fldChar w:fldCharType="begin"/>
        </w:r>
        <w:r>
          <w:instrText xml:space="preserve"> PAGEREF _Toc23593 \h </w:instrText>
        </w:r>
        <w:r>
          <w:fldChar w:fldCharType="separate"/>
        </w:r>
        <w:r>
          <w:t>21</w:t>
        </w:r>
        <w:r>
          <w:fldChar w:fldCharType="end"/>
        </w:r>
      </w:hyperlink>
    </w:p>
    <w:p>
      <w:pPr>
        <w:pStyle w:val="TOC2"/>
        <w:tabs>
          <w:tab w:val="right" w:leader="dot" w:pos="8306"/>
        </w:tabs>
      </w:pPr>
      <w:hyperlink w:anchor="_Toc29163" w:history="1">
        <w:r>
          <w:rPr>
            <w:rFonts w:ascii="仿宋" w:eastAsia="仿宋" w:hAnsi="仿宋" w:cs="仿宋" w:hint="eastAsia"/>
            <w:lang w:eastAsia="zh-CN"/>
          </w:rPr>
          <w:t>(一)、人才需求与规划</w:t>
        </w:r>
        <w:r>
          <w:tab/>
        </w:r>
        <w:r>
          <w:fldChar w:fldCharType="begin"/>
        </w:r>
        <w:r>
          <w:instrText xml:space="preserve"> PAGEREF _Toc29163 \h </w:instrText>
        </w:r>
        <w:r>
          <w:fldChar w:fldCharType="separate"/>
        </w:r>
        <w:r>
          <w:t>21</w:t>
        </w:r>
        <w:r>
          <w:fldChar w:fldCharType="end"/>
        </w:r>
      </w:hyperlink>
    </w:p>
    <w:p>
      <w:pPr>
        <w:pStyle w:val="TOC2"/>
        <w:tabs>
          <w:tab w:val="right" w:leader="dot" w:pos="8306"/>
        </w:tabs>
      </w:pPr>
      <w:hyperlink w:anchor="_Toc32597" w:history="1">
        <w:r>
          <w:rPr>
            <w:rFonts w:ascii="仿宋" w:eastAsia="仿宋" w:hAnsi="仿宋" w:cs="仿宋" w:hint="eastAsia"/>
            <w:lang w:eastAsia="zh-CN"/>
          </w:rPr>
          <w:t>(二)、培训与发展计划</w:t>
        </w:r>
        <w:r>
          <w:tab/>
        </w:r>
        <w:r>
          <w:fldChar w:fldCharType="begin"/>
        </w:r>
        <w:r>
          <w:instrText xml:space="preserve"> PAGEREF _Toc32597 \h </w:instrText>
        </w:r>
        <w:r>
          <w:fldChar w:fldCharType="separate"/>
        </w:r>
        <w:r>
          <w:t>22</w:t>
        </w:r>
        <w:r>
          <w:fldChar w:fldCharType="end"/>
        </w:r>
      </w:hyperlink>
    </w:p>
    <w:p>
      <w:pPr>
        <w:pStyle w:val="TOC1"/>
        <w:tabs>
          <w:tab w:val="right" w:leader="dot" w:pos="8306"/>
        </w:tabs>
      </w:pPr>
      <w:hyperlink w:anchor="_Toc12345" w:history="1">
        <w:r>
          <w:rPr>
            <w:rFonts w:ascii="仿宋" w:eastAsia="仿宋" w:hAnsi="仿宋" w:cs="仿宋" w:hint="eastAsia"/>
            <w:lang w:eastAsia="zh-CN"/>
          </w:rPr>
          <w:t>八、高精度数字电流表项目创新与研发</w:t>
        </w:r>
        <w:r>
          <w:tab/>
        </w:r>
        <w:r>
          <w:fldChar w:fldCharType="begin"/>
        </w:r>
        <w:r>
          <w:instrText xml:space="preserve"> PAGEREF _Toc12345 \h </w:instrText>
        </w:r>
        <w:r>
          <w:fldChar w:fldCharType="separate"/>
        </w:r>
        <w:r>
          <w:t>22</w:t>
        </w:r>
        <w:r>
          <w:fldChar w:fldCharType="end"/>
        </w:r>
      </w:hyperlink>
    </w:p>
    <w:p>
      <w:pPr>
        <w:pStyle w:val="TOC2"/>
        <w:tabs>
          <w:tab w:val="right" w:leader="dot" w:pos="8306"/>
        </w:tabs>
      </w:pPr>
      <w:hyperlink w:anchor="_Toc664" w:history="1">
        <w:r>
          <w:rPr>
            <w:rFonts w:ascii="仿宋" w:eastAsia="仿宋" w:hAnsi="仿宋" w:cs="仿宋" w:hint="eastAsia"/>
            <w:lang w:eastAsia="zh-CN"/>
          </w:rPr>
          <w:t>(一)、创新策略与方向</w:t>
        </w:r>
        <w:r>
          <w:tab/>
        </w:r>
        <w:r>
          <w:fldChar w:fldCharType="begin"/>
        </w:r>
        <w:r>
          <w:instrText xml:space="preserve"> PAGEREF _Toc664 \h </w:instrText>
        </w:r>
        <w:r>
          <w:fldChar w:fldCharType="separate"/>
        </w:r>
        <w:r>
          <w:t>22</w:t>
        </w:r>
        <w:r>
          <w:fldChar w:fldCharType="end"/>
        </w:r>
      </w:hyperlink>
    </w:p>
    <w:p>
      <w:pPr>
        <w:pStyle w:val="TOC2"/>
        <w:tabs>
          <w:tab w:val="right" w:leader="dot" w:pos="8306"/>
        </w:tabs>
      </w:pPr>
      <w:hyperlink w:anchor="_Toc19206" w:history="1">
        <w:r>
          <w:rPr>
            <w:rFonts w:ascii="仿宋" w:eastAsia="仿宋" w:hAnsi="仿宋" w:cs="仿宋" w:hint="eastAsia"/>
            <w:lang w:eastAsia="zh-CN"/>
          </w:rPr>
          <w:t>(二)、研发规划与投入</w:t>
        </w:r>
        <w:r>
          <w:tab/>
        </w:r>
        <w:r>
          <w:fldChar w:fldCharType="begin"/>
        </w:r>
        <w:r>
          <w:instrText xml:space="preserve"> PAGEREF _Toc19206 \h </w:instrText>
        </w:r>
        <w:r>
          <w:fldChar w:fldCharType="separate"/>
        </w:r>
        <w:r>
          <w:t>24</w:t>
        </w:r>
        <w:r>
          <w:fldChar w:fldCharType="end"/>
        </w:r>
      </w:hyperlink>
    </w:p>
    <w:p>
      <w:pPr>
        <w:pStyle w:val="TOC1"/>
        <w:tabs>
          <w:tab w:val="right" w:leader="dot" w:pos="8306"/>
        </w:tabs>
      </w:pPr>
      <w:hyperlink w:anchor="_Toc9993" w:history="1">
        <w:r>
          <w:rPr>
            <w:rFonts w:ascii="仿宋" w:eastAsia="仿宋" w:hAnsi="仿宋" w:cs="仿宋" w:hint="eastAsia"/>
            <w:lang w:eastAsia="zh-CN"/>
          </w:rPr>
          <w:t>九、高精度数字电流表项目人力资源管理</w:t>
        </w:r>
        <w:r>
          <w:tab/>
        </w:r>
        <w:r>
          <w:fldChar w:fldCharType="begin"/>
        </w:r>
        <w:r>
          <w:instrText xml:space="preserve"> PAGEREF _Toc9993 \h </w:instrText>
        </w:r>
        <w:r>
          <w:fldChar w:fldCharType="separate"/>
        </w:r>
        <w:r>
          <w:t>26</w:t>
        </w:r>
        <w:r>
          <w:fldChar w:fldCharType="end"/>
        </w:r>
      </w:hyperlink>
    </w:p>
    <w:p>
      <w:pPr>
        <w:pStyle w:val="TOC2"/>
        <w:tabs>
          <w:tab w:val="right" w:leader="dot" w:pos="8306"/>
        </w:tabs>
      </w:pPr>
      <w:hyperlink w:anchor="_Toc22350" w:history="1">
        <w:r>
          <w:rPr>
            <w:rFonts w:ascii="仿宋" w:eastAsia="仿宋" w:hAnsi="仿宋" w:cs="仿宋" w:hint="eastAsia"/>
            <w:lang w:eastAsia="zh-CN"/>
          </w:rPr>
          <w:t>(一)、建立健全的预算管理制度</w:t>
        </w:r>
        <w:r>
          <w:tab/>
        </w:r>
        <w:r>
          <w:fldChar w:fldCharType="begin"/>
        </w:r>
        <w:r>
          <w:instrText xml:space="preserve"> PAGEREF _Toc22350 \h </w:instrText>
        </w:r>
        <w:r>
          <w:fldChar w:fldCharType="separate"/>
        </w:r>
        <w:r>
          <w:t>26</w:t>
        </w:r>
        <w:r>
          <w:fldChar w:fldCharType="end"/>
        </w:r>
      </w:hyperlink>
    </w:p>
    <w:p>
      <w:pPr>
        <w:pStyle w:val="TOC2"/>
        <w:tabs>
          <w:tab w:val="right" w:leader="dot" w:pos="8306"/>
        </w:tabs>
      </w:pPr>
      <w:hyperlink w:anchor="_Toc3333" w:history="1">
        <w:r>
          <w:rPr>
            <w:rFonts w:ascii="仿宋" w:eastAsia="仿宋" w:hAnsi="仿宋" w:cs="仿宋" w:hint="eastAsia"/>
            <w:lang w:eastAsia="zh-CN"/>
          </w:rPr>
          <w:t>(二)、加强资金流动监控</w:t>
        </w:r>
        <w:r>
          <w:tab/>
        </w:r>
        <w:r>
          <w:fldChar w:fldCharType="begin"/>
        </w:r>
        <w:r>
          <w:instrText xml:space="preserve"> PAGEREF _Toc3333 \h </w:instrText>
        </w:r>
        <w:r>
          <w:fldChar w:fldCharType="separate"/>
        </w:r>
        <w:r>
          <w:t>27</w:t>
        </w:r>
        <w:r>
          <w:fldChar w:fldCharType="end"/>
        </w:r>
      </w:hyperlink>
    </w:p>
    <w:p>
      <w:pPr>
        <w:pStyle w:val="TOC2"/>
        <w:tabs>
          <w:tab w:val="right" w:leader="dot" w:pos="8306"/>
        </w:tabs>
      </w:pPr>
      <w:hyperlink w:anchor="_Toc7677" w:history="1">
        <w:r>
          <w:rPr>
            <w:rFonts w:ascii="仿宋" w:eastAsia="仿宋" w:hAnsi="仿宋" w:cs="仿宋" w:hint="eastAsia"/>
            <w:lang w:eastAsia="zh-CN"/>
          </w:rPr>
          <w:t>(三)、制定完善的风险控制机制</w:t>
        </w:r>
        <w:r>
          <w:tab/>
        </w:r>
        <w:r>
          <w:fldChar w:fldCharType="begin"/>
        </w:r>
        <w:r>
          <w:instrText xml:space="preserve"> PAGEREF _Toc7677 \h </w:instrText>
        </w:r>
        <w:r>
          <w:fldChar w:fldCharType="separate"/>
        </w:r>
        <w:r>
          <w:t>29</w:t>
        </w:r>
        <w:r>
          <w:fldChar w:fldCharType="end"/>
        </w:r>
      </w:hyperlink>
    </w:p>
    <w:p>
      <w:pPr>
        <w:pStyle w:val="TOC2"/>
        <w:tabs>
          <w:tab w:val="right" w:leader="dot" w:pos="8306"/>
        </w:tabs>
      </w:pPr>
      <w:hyperlink w:anchor="_Toc936" w:history="1">
        <w:r>
          <w:rPr>
            <w:rFonts w:ascii="仿宋" w:eastAsia="仿宋" w:hAnsi="仿宋" w:cs="仿宋" w:hint="eastAsia"/>
            <w:lang w:eastAsia="zh-CN"/>
          </w:rPr>
          <w:t>(四)、优化成本管理</w:t>
        </w:r>
        <w:r>
          <w:tab/>
        </w:r>
        <w:r>
          <w:fldChar w:fldCharType="begin"/>
        </w:r>
        <w:r>
          <w:instrText xml:space="preserve"> PAGEREF _Toc936 \h </w:instrText>
        </w:r>
        <w:r>
          <w:fldChar w:fldCharType="separate"/>
        </w:r>
        <w:r>
          <w:t>30</w:t>
        </w:r>
        <w:r>
          <w:fldChar w:fldCharType="end"/>
        </w:r>
      </w:hyperlink>
    </w:p>
    <w:p>
      <w:pPr>
        <w:pStyle w:val="TOC1"/>
        <w:tabs>
          <w:tab w:val="right" w:leader="dot" w:pos="8306"/>
        </w:tabs>
      </w:pPr>
      <w:hyperlink w:anchor="_Toc15390" w:history="1">
        <w:r>
          <w:rPr>
            <w:rFonts w:ascii="仿宋" w:eastAsia="仿宋" w:hAnsi="仿宋" w:cs="仿宋" w:hint="eastAsia"/>
            <w:lang w:eastAsia="zh-CN"/>
          </w:rPr>
          <w:t>十、高精度数字电流表项目社会影响</w:t>
        </w:r>
        <w:r>
          <w:tab/>
        </w:r>
        <w:r>
          <w:fldChar w:fldCharType="begin"/>
        </w:r>
        <w:r>
          <w:instrText xml:space="preserve"> PAGEREF _Toc15390 \h </w:instrText>
        </w:r>
        <w:r>
          <w:fldChar w:fldCharType="separate"/>
        </w:r>
        <w:r>
          <w:t>31</w:t>
        </w:r>
        <w:r>
          <w:fldChar w:fldCharType="end"/>
        </w:r>
      </w:hyperlink>
    </w:p>
    <w:p>
      <w:pPr>
        <w:pStyle w:val="TOC2"/>
        <w:tabs>
          <w:tab w:val="right" w:leader="dot" w:pos="8306"/>
        </w:tabs>
      </w:pPr>
      <w:hyperlink w:anchor="_Toc31943" w:history="1">
        <w:r>
          <w:rPr>
            <w:rFonts w:ascii="仿宋" w:eastAsia="仿宋" w:hAnsi="仿宋" w:cs="仿宋" w:hint="eastAsia"/>
            <w:lang w:eastAsia="zh-CN"/>
          </w:rPr>
          <w:t>(一)、社会责任与义务</w:t>
        </w:r>
        <w:r>
          <w:tab/>
        </w:r>
        <w:r>
          <w:fldChar w:fldCharType="begin"/>
        </w:r>
        <w:r>
          <w:instrText xml:space="preserve"> PAGEREF _Toc31943 \h </w:instrText>
        </w:r>
        <w:r>
          <w:fldChar w:fldCharType="separate"/>
        </w:r>
        <w:r>
          <w:t>31</w:t>
        </w:r>
        <w:r>
          <w:fldChar w:fldCharType="end"/>
        </w:r>
      </w:hyperlink>
    </w:p>
    <w:p>
      <w:pPr>
        <w:pStyle w:val="TOC2"/>
        <w:tabs>
          <w:tab w:val="right" w:leader="dot" w:pos="8306"/>
        </w:tabs>
      </w:pPr>
      <w:hyperlink w:anchor="_Toc18779" w:history="1">
        <w:r>
          <w:rPr>
            <w:rFonts w:ascii="仿宋" w:eastAsia="仿宋" w:hAnsi="仿宋" w:cs="仿宋" w:hint="eastAsia"/>
            <w:lang w:eastAsia="zh-CN"/>
          </w:rPr>
          <w:t>(二)、社会参与与沟通</w:t>
        </w:r>
        <w:r>
          <w:tab/>
        </w:r>
        <w:r>
          <w:fldChar w:fldCharType="begin"/>
        </w:r>
        <w:r>
          <w:instrText xml:space="preserve"> PAGEREF _Toc18779 \h </w:instrText>
        </w:r>
        <w:r>
          <w:fldChar w:fldCharType="separate"/>
        </w:r>
        <w:r>
          <w:t>32</w:t>
        </w:r>
        <w:r>
          <w:fldChar w:fldCharType="end"/>
        </w:r>
      </w:hyperlink>
    </w:p>
    <w:p>
      <w:pPr>
        <w:pStyle w:val="TOC1"/>
        <w:tabs>
          <w:tab w:val="right" w:leader="dot" w:pos="8306"/>
        </w:tabs>
      </w:pPr>
      <w:hyperlink w:anchor="_Toc4581" w:history="1">
        <w:r>
          <w:rPr>
            <w:rFonts w:ascii="仿宋" w:eastAsia="仿宋" w:hAnsi="仿宋" w:cs="仿宋" w:hint="eastAsia"/>
            <w:lang w:eastAsia="zh-CN"/>
          </w:rPr>
          <w:t>十一、高精度数字电流表项目技术管理</w:t>
        </w:r>
        <w:r>
          <w:tab/>
        </w:r>
        <w:r>
          <w:fldChar w:fldCharType="begin"/>
        </w:r>
        <w:r>
          <w:instrText xml:space="preserve"> PAGEREF _Toc4581 \h </w:instrText>
        </w:r>
        <w:r>
          <w:fldChar w:fldCharType="separate"/>
        </w:r>
        <w:r>
          <w:t>33</w:t>
        </w:r>
        <w:r>
          <w:fldChar w:fldCharType="end"/>
        </w:r>
      </w:hyperlink>
    </w:p>
    <w:p>
      <w:pPr>
        <w:pStyle w:val="TOC2"/>
        <w:tabs>
          <w:tab w:val="right" w:leader="dot" w:pos="8306"/>
        </w:tabs>
      </w:pPr>
      <w:hyperlink w:anchor="_Toc24484" w:history="1">
        <w:r>
          <w:rPr>
            <w:rFonts w:ascii="仿宋" w:eastAsia="仿宋" w:hAnsi="仿宋" w:cs="仿宋" w:hint="eastAsia"/>
            <w:lang w:eastAsia="zh-CN"/>
          </w:rPr>
          <w:t>(一)、技术方案选用方向</w:t>
        </w:r>
        <w:r>
          <w:tab/>
        </w:r>
        <w:r>
          <w:fldChar w:fldCharType="begin"/>
        </w:r>
        <w:r>
          <w:instrText xml:space="preserve"> PAGEREF _Toc24484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92" w:history="1">
        <w:r>
          <w:rPr>
            <w:rFonts w:ascii="仿宋" w:eastAsia="仿宋" w:hAnsi="仿宋" w:cs="仿宋" w:hint="eastAsia"/>
            <w:lang w:eastAsia="zh-CN"/>
          </w:rPr>
          <w:t>(二)、工艺技术方案选用原则</w:t>
        </w:r>
        <w:r>
          <w:tab/>
        </w:r>
        <w:r>
          <w:fldChar w:fldCharType="begin"/>
        </w:r>
        <w:r>
          <w:instrText xml:space="preserve"> PAGEREF _Toc10692 \h </w:instrText>
        </w:r>
        <w:r>
          <w:fldChar w:fldCharType="separate"/>
        </w:r>
        <w:r>
          <w:t>35</w:t>
        </w:r>
        <w:r>
          <w:fldChar w:fldCharType="end"/>
        </w:r>
      </w:hyperlink>
    </w:p>
    <w:p>
      <w:pPr>
        <w:pStyle w:val="TOC2"/>
        <w:tabs>
          <w:tab w:val="right" w:leader="dot" w:pos="8306"/>
        </w:tabs>
      </w:pPr>
      <w:hyperlink w:anchor="_Toc29948" w:history="1">
        <w:r>
          <w:rPr>
            <w:rFonts w:ascii="仿宋" w:eastAsia="仿宋" w:hAnsi="仿宋" w:cs="仿宋" w:hint="eastAsia"/>
            <w:lang w:eastAsia="zh-CN"/>
          </w:rPr>
          <w:t>(三)、工艺技术方案要求</w:t>
        </w:r>
        <w:r>
          <w:tab/>
        </w:r>
        <w:r>
          <w:fldChar w:fldCharType="begin"/>
        </w:r>
        <w:r>
          <w:instrText xml:space="preserve"> PAGEREF _Toc29948 \h </w:instrText>
        </w:r>
        <w:r>
          <w:fldChar w:fldCharType="separate"/>
        </w:r>
        <w:r>
          <w:t>37</w:t>
        </w:r>
        <w:r>
          <w:fldChar w:fldCharType="end"/>
        </w:r>
      </w:hyperlink>
    </w:p>
    <w:p>
      <w:pPr>
        <w:pStyle w:val="TOC1"/>
        <w:tabs>
          <w:tab w:val="right" w:leader="dot" w:pos="8306"/>
        </w:tabs>
      </w:pPr>
      <w:hyperlink w:anchor="_Toc2939" w:history="1">
        <w:r>
          <w:rPr>
            <w:rFonts w:ascii="仿宋" w:eastAsia="仿宋" w:hAnsi="仿宋" w:cs="仿宋" w:hint="eastAsia"/>
            <w:lang w:eastAsia="zh-CN"/>
          </w:rPr>
          <w:t>十二、高精度数字电流表项目经营效益</w:t>
        </w:r>
        <w:r>
          <w:tab/>
        </w:r>
        <w:r>
          <w:fldChar w:fldCharType="begin"/>
        </w:r>
        <w:r>
          <w:instrText xml:space="preserve"> PAGEREF _Toc2939 \h </w:instrText>
        </w:r>
        <w:r>
          <w:fldChar w:fldCharType="separate"/>
        </w:r>
        <w:r>
          <w:t>39</w:t>
        </w:r>
        <w:r>
          <w:fldChar w:fldCharType="end"/>
        </w:r>
      </w:hyperlink>
    </w:p>
    <w:p>
      <w:pPr>
        <w:pStyle w:val="TOC2"/>
        <w:tabs>
          <w:tab w:val="right" w:leader="dot" w:pos="8306"/>
        </w:tabs>
      </w:pPr>
      <w:hyperlink w:anchor="_Toc16570" w:history="1">
        <w:r>
          <w:rPr>
            <w:rFonts w:ascii="仿宋" w:eastAsia="仿宋" w:hAnsi="仿宋" w:cs="仿宋" w:hint="eastAsia"/>
            <w:lang w:eastAsia="zh-CN"/>
          </w:rPr>
          <w:t>(一)、经济评价财务测算</w:t>
        </w:r>
        <w:r>
          <w:tab/>
        </w:r>
        <w:r>
          <w:fldChar w:fldCharType="begin"/>
        </w:r>
        <w:r>
          <w:instrText xml:space="preserve"> PAGEREF _Toc16570 \h </w:instrText>
        </w:r>
        <w:r>
          <w:fldChar w:fldCharType="separate"/>
        </w:r>
        <w:r>
          <w:t>39</w:t>
        </w:r>
        <w:r>
          <w:fldChar w:fldCharType="end"/>
        </w:r>
      </w:hyperlink>
    </w:p>
    <w:p>
      <w:pPr>
        <w:pStyle w:val="TOC2"/>
        <w:tabs>
          <w:tab w:val="right" w:leader="dot" w:pos="8306"/>
        </w:tabs>
      </w:pPr>
      <w:hyperlink w:anchor="_Toc21303" w:history="1">
        <w:r>
          <w:rPr>
            <w:rFonts w:ascii="仿宋" w:eastAsia="仿宋" w:hAnsi="仿宋" w:cs="仿宋" w:hint="eastAsia"/>
            <w:lang w:eastAsia="zh-CN"/>
          </w:rPr>
          <w:t>(二)、高精度数字电流表项目盈利能力分析</w:t>
        </w:r>
        <w:r>
          <w:tab/>
        </w:r>
        <w:r>
          <w:fldChar w:fldCharType="begin"/>
        </w:r>
        <w:r>
          <w:instrText xml:space="preserve"> PAGEREF _Toc21303 \h </w:instrText>
        </w:r>
        <w:r>
          <w:fldChar w:fldCharType="separate"/>
        </w:r>
        <w:r>
          <w:t>41</w:t>
        </w:r>
        <w:r>
          <w:fldChar w:fldCharType="end"/>
        </w:r>
      </w:hyperlink>
    </w:p>
    <w:p>
      <w:pPr>
        <w:pStyle w:val="TOC1"/>
        <w:tabs>
          <w:tab w:val="right" w:leader="dot" w:pos="8306"/>
        </w:tabs>
      </w:pPr>
      <w:hyperlink w:anchor="_Toc28609" w:history="1">
        <w:r>
          <w:rPr>
            <w:rFonts w:ascii="仿宋" w:eastAsia="仿宋" w:hAnsi="仿宋" w:cs="仿宋" w:hint="eastAsia"/>
            <w:lang w:eastAsia="zh-CN"/>
          </w:rPr>
          <w:t>十三、供应链管理</w:t>
        </w:r>
        <w:r>
          <w:tab/>
        </w:r>
        <w:r>
          <w:fldChar w:fldCharType="begin"/>
        </w:r>
        <w:r>
          <w:instrText xml:space="preserve"> PAGEREF _Toc28609 \h </w:instrText>
        </w:r>
        <w:r>
          <w:fldChar w:fldCharType="separate"/>
        </w:r>
        <w:r>
          <w:t>41</w:t>
        </w:r>
        <w:r>
          <w:fldChar w:fldCharType="end"/>
        </w:r>
      </w:hyperlink>
    </w:p>
    <w:p>
      <w:pPr>
        <w:pStyle w:val="TOC2"/>
        <w:tabs>
          <w:tab w:val="right" w:leader="dot" w:pos="8306"/>
        </w:tabs>
      </w:pPr>
      <w:hyperlink w:anchor="_Toc7699" w:history="1">
        <w:r>
          <w:rPr>
            <w:rFonts w:ascii="仿宋" w:eastAsia="仿宋" w:hAnsi="仿宋" w:cs="仿宋" w:hint="eastAsia"/>
            <w:lang w:eastAsia="zh-CN"/>
          </w:rPr>
          <w:t>(一)、供应链战略规划</w:t>
        </w:r>
        <w:r>
          <w:tab/>
        </w:r>
        <w:r>
          <w:fldChar w:fldCharType="begin"/>
        </w:r>
        <w:r>
          <w:instrText xml:space="preserve"> PAGEREF _Toc7699 \h </w:instrText>
        </w:r>
        <w:r>
          <w:fldChar w:fldCharType="separate"/>
        </w:r>
        <w:r>
          <w:t>41</w:t>
        </w:r>
        <w:r>
          <w:fldChar w:fldCharType="end"/>
        </w:r>
      </w:hyperlink>
    </w:p>
    <w:p>
      <w:pPr>
        <w:pStyle w:val="TOC2"/>
        <w:tabs>
          <w:tab w:val="right" w:leader="dot" w:pos="8306"/>
        </w:tabs>
      </w:pPr>
      <w:hyperlink w:anchor="_Toc18295" w:history="1">
        <w:r>
          <w:rPr>
            <w:rFonts w:ascii="仿宋" w:eastAsia="仿宋" w:hAnsi="仿宋" w:cs="仿宋" w:hint="eastAsia"/>
            <w:lang w:eastAsia="zh-CN"/>
          </w:rPr>
          <w:t>(二)、供应商选择与合作</w:t>
        </w:r>
        <w:r>
          <w:tab/>
        </w:r>
        <w:r>
          <w:fldChar w:fldCharType="begin"/>
        </w:r>
        <w:r>
          <w:instrText xml:space="preserve"> PAGEREF _Toc18295 \h </w:instrText>
        </w:r>
        <w:r>
          <w:fldChar w:fldCharType="separate"/>
        </w:r>
        <w:r>
          <w:t>43</w:t>
        </w:r>
        <w:r>
          <w:fldChar w:fldCharType="end"/>
        </w:r>
      </w:hyperlink>
    </w:p>
    <w:p>
      <w:pPr>
        <w:pStyle w:val="TOC2"/>
        <w:tabs>
          <w:tab w:val="right" w:leader="dot" w:pos="8306"/>
        </w:tabs>
      </w:pPr>
      <w:hyperlink w:anchor="_Toc11696" w:history="1">
        <w:r>
          <w:rPr>
            <w:rFonts w:ascii="仿宋" w:eastAsia="仿宋" w:hAnsi="仿宋" w:cs="仿宋" w:hint="eastAsia"/>
            <w:lang w:eastAsia="zh-CN"/>
          </w:rPr>
          <w:t>(三)、物流与库存管理</w:t>
        </w:r>
        <w:r>
          <w:tab/>
        </w:r>
        <w:r>
          <w:fldChar w:fldCharType="begin"/>
        </w:r>
        <w:r>
          <w:instrText xml:space="preserve"> PAGEREF _Toc11696 \h </w:instrText>
        </w:r>
        <w:r>
          <w:fldChar w:fldCharType="separate"/>
        </w:r>
        <w:r>
          <w:t>44</w:t>
        </w:r>
        <w:r>
          <w:fldChar w:fldCharType="end"/>
        </w:r>
      </w:hyperlink>
    </w:p>
    <w:p>
      <w:pPr>
        <w:pStyle w:val="TOC1"/>
        <w:tabs>
          <w:tab w:val="right" w:leader="dot" w:pos="8306"/>
        </w:tabs>
      </w:pPr>
      <w:hyperlink w:anchor="_Toc5512" w:history="1">
        <w:r>
          <w:rPr>
            <w:rFonts w:ascii="仿宋" w:eastAsia="仿宋" w:hAnsi="仿宋" w:cs="仿宋" w:hint="eastAsia"/>
            <w:lang w:eastAsia="zh-CN"/>
          </w:rPr>
          <w:t>十四、高精度数字电流表项目实施时间节点</w:t>
        </w:r>
        <w:r>
          <w:tab/>
        </w:r>
        <w:r>
          <w:fldChar w:fldCharType="begin"/>
        </w:r>
        <w:r>
          <w:instrText xml:space="preserve"> PAGEREF _Toc5512 \h </w:instrText>
        </w:r>
        <w:r>
          <w:fldChar w:fldCharType="separate"/>
        </w:r>
        <w:r>
          <w:t>46</w:t>
        </w:r>
        <w:r>
          <w:fldChar w:fldCharType="end"/>
        </w:r>
      </w:hyperlink>
    </w:p>
    <w:p>
      <w:pPr>
        <w:pStyle w:val="TOC2"/>
        <w:tabs>
          <w:tab w:val="right" w:leader="dot" w:pos="8306"/>
        </w:tabs>
      </w:pPr>
      <w:hyperlink w:anchor="_Toc2408" w:history="1">
        <w:r>
          <w:rPr>
            <w:rFonts w:ascii="仿宋" w:eastAsia="仿宋" w:hAnsi="仿宋" w:cs="仿宋" w:hint="eastAsia"/>
            <w:lang w:eastAsia="zh-CN"/>
          </w:rPr>
          <w:t>(一)、高精度数字电流表项目启动阶段时间节点</w:t>
        </w:r>
        <w:r>
          <w:tab/>
        </w:r>
        <w:r>
          <w:fldChar w:fldCharType="begin"/>
        </w:r>
        <w:r>
          <w:instrText xml:space="preserve"> PAGEREF _Toc2408 \h </w:instrText>
        </w:r>
        <w:r>
          <w:fldChar w:fldCharType="separate"/>
        </w:r>
        <w:r>
          <w:t>46</w:t>
        </w:r>
        <w:r>
          <w:fldChar w:fldCharType="end"/>
        </w:r>
      </w:hyperlink>
    </w:p>
    <w:p>
      <w:pPr>
        <w:pStyle w:val="TOC2"/>
        <w:tabs>
          <w:tab w:val="right" w:leader="dot" w:pos="8306"/>
        </w:tabs>
      </w:pPr>
      <w:hyperlink w:anchor="_Toc31419" w:history="1">
        <w:r>
          <w:rPr>
            <w:rFonts w:ascii="仿宋" w:eastAsia="仿宋" w:hAnsi="仿宋" w:cs="仿宋" w:hint="eastAsia"/>
            <w:lang w:eastAsia="zh-CN"/>
          </w:rPr>
          <w:t>(二)、高精度数字电流表项目执行阶段时间节点</w:t>
        </w:r>
        <w:r>
          <w:tab/>
        </w:r>
        <w:r>
          <w:fldChar w:fldCharType="begin"/>
        </w:r>
        <w:r>
          <w:instrText xml:space="preserve"> PAGEREF _Toc31419 \h </w:instrText>
        </w:r>
        <w:r>
          <w:fldChar w:fldCharType="separate"/>
        </w:r>
        <w:r>
          <w:t>47</w:t>
        </w:r>
        <w:r>
          <w:fldChar w:fldCharType="end"/>
        </w:r>
      </w:hyperlink>
    </w:p>
    <w:p>
      <w:pPr>
        <w:pStyle w:val="TOC2"/>
        <w:tabs>
          <w:tab w:val="right" w:leader="dot" w:pos="8306"/>
        </w:tabs>
      </w:pPr>
      <w:hyperlink w:anchor="_Toc4700" w:history="1">
        <w:r>
          <w:rPr>
            <w:rFonts w:ascii="仿宋" w:eastAsia="仿宋" w:hAnsi="仿宋" w:cs="仿宋" w:hint="eastAsia"/>
            <w:lang w:eastAsia="zh-CN"/>
          </w:rPr>
          <w:t>(三)、高精度数字电流表项目完成阶段时间节点</w:t>
        </w:r>
        <w:r>
          <w:tab/>
        </w:r>
        <w:r>
          <w:fldChar w:fldCharType="begin"/>
        </w:r>
        <w:r>
          <w:instrText xml:space="preserve"> PAGEREF _Toc4700 \h </w:instrText>
        </w:r>
        <w:r>
          <w:fldChar w:fldCharType="separate"/>
        </w:r>
        <w:r>
          <w:t>48</w:t>
        </w:r>
        <w:r>
          <w:fldChar w:fldCharType="end"/>
        </w:r>
      </w:hyperlink>
    </w:p>
    <w:p>
      <w:pPr>
        <w:pStyle w:val="TOC1"/>
        <w:tabs>
          <w:tab w:val="right" w:leader="dot" w:pos="8306"/>
        </w:tabs>
      </w:pPr>
      <w:hyperlink w:anchor="_Toc20828" w:history="1">
        <w:r>
          <w:rPr>
            <w:rFonts w:ascii="仿宋" w:eastAsia="仿宋" w:hAnsi="仿宋" w:cs="仿宋" w:hint="eastAsia"/>
            <w:lang w:eastAsia="zh-CN"/>
          </w:rPr>
          <w:t>十五、利益相关者分析与沟通计划</w:t>
        </w:r>
        <w:r>
          <w:tab/>
        </w:r>
        <w:r>
          <w:fldChar w:fldCharType="begin"/>
        </w:r>
        <w:r>
          <w:instrText xml:space="preserve"> PAGEREF _Toc20828 \h </w:instrText>
        </w:r>
        <w:r>
          <w:fldChar w:fldCharType="separate"/>
        </w:r>
        <w:r>
          <w:t>49</w:t>
        </w:r>
        <w:r>
          <w:fldChar w:fldCharType="end"/>
        </w:r>
      </w:hyperlink>
    </w:p>
    <w:p>
      <w:pPr>
        <w:pStyle w:val="TOC2"/>
        <w:tabs>
          <w:tab w:val="right" w:leader="dot" w:pos="8306"/>
        </w:tabs>
      </w:pPr>
      <w:hyperlink w:anchor="_Toc26793" w:history="1">
        <w:r>
          <w:rPr>
            <w:rFonts w:ascii="仿宋" w:eastAsia="仿宋" w:hAnsi="仿宋" w:cs="仿宋" w:hint="eastAsia"/>
            <w:lang w:eastAsia="zh-CN"/>
          </w:rPr>
          <w:t>(一)、利益相关者分析</w:t>
        </w:r>
        <w:r>
          <w:tab/>
        </w:r>
        <w:r>
          <w:fldChar w:fldCharType="begin"/>
        </w:r>
        <w:r>
          <w:instrText xml:space="preserve"> PAGEREF _Toc26793 \h </w:instrText>
        </w:r>
        <w:r>
          <w:fldChar w:fldCharType="separate"/>
        </w:r>
        <w:r>
          <w:t>49</w:t>
        </w:r>
        <w:r>
          <w:fldChar w:fldCharType="end"/>
        </w:r>
      </w:hyperlink>
    </w:p>
    <w:p>
      <w:pPr>
        <w:pStyle w:val="TOC2"/>
        <w:tabs>
          <w:tab w:val="right" w:leader="dot" w:pos="8306"/>
        </w:tabs>
      </w:pPr>
      <w:hyperlink w:anchor="_Toc13320" w:history="1">
        <w:r>
          <w:rPr>
            <w:rFonts w:ascii="仿宋" w:eastAsia="仿宋" w:hAnsi="仿宋" w:cs="仿宋" w:hint="eastAsia"/>
            <w:lang w:eastAsia="zh-CN"/>
          </w:rPr>
          <w:t>(二)、沟通计划</w:t>
        </w:r>
        <w:r>
          <w:tab/>
        </w:r>
        <w:r>
          <w:fldChar w:fldCharType="begin"/>
        </w:r>
        <w:r>
          <w:instrText xml:space="preserve"> PAGEREF _Toc13320 \h </w:instrText>
        </w:r>
        <w:r>
          <w:fldChar w:fldCharType="separate"/>
        </w:r>
        <w:r>
          <w:t>50</w:t>
        </w:r>
        <w:r>
          <w:fldChar w:fldCharType="end"/>
        </w:r>
      </w:hyperlink>
    </w:p>
    <w:p>
      <w:pPr>
        <w:pStyle w:val="TOC1"/>
        <w:tabs>
          <w:tab w:val="right" w:leader="dot" w:pos="8306"/>
        </w:tabs>
      </w:pPr>
      <w:hyperlink w:anchor="_Toc13190" w:history="1">
        <w:r>
          <w:rPr>
            <w:rFonts w:ascii="仿宋" w:eastAsia="仿宋" w:hAnsi="仿宋" w:cs="仿宋" w:hint="eastAsia"/>
            <w:lang w:eastAsia="zh-CN"/>
          </w:rPr>
          <w:t>十六、营销与推广策略</w:t>
        </w:r>
        <w:r>
          <w:tab/>
        </w:r>
        <w:r>
          <w:fldChar w:fldCharType="begin"/>
        </w:r>
        <w:r>
          <w:instrText xml:space="preserve"> PAGEREF _Toc13190 \h </w:instrText>
        </w:r>
        <w:r>
          <w:fldChar w:fldCharType="separate"/>
        </w:r>
        <w:r>
          <w:t>51</w:t>
        </w:r>
        <w:r>
          <w:fldChar w:fldCharType="end"/>
        </w:r>
      </w:hyperlink>
    </w:p>
    <w:p>
      <w:pPr>
        <w:pStyle w:val="TOC2"/>
        <w:tabs>
          <w:tab w:val="right" w:leader="dot" w:pos="8306"/>
        </w:tabs>
      </w:pPr>
      <w:hyperlink w:anchor="_Toc4072" w:history="1">
        <w:r>
          <w:rPr>
            <w:rFonts w:ascii="仿宋" w:eastAsia="仿宋" w:hAnsi="仿宋" w:cs="仿宋" w:hint="eastAsia"/>
            <w:lang w:eastAsia="zh-CN"/>
          </w:rPr>
          <w:t>(一)、产品/服务定位与特点</w:t>
        </w:r>
        <w:r>
          <w:tab/>
        </w:r>
        <w:r>
          <w:fldChar w:fldCharType="begin"/>
        </w:r>
        <w:r>
          <w:instrText xml:space="preserve"> PAGEREF _Toc4072 \h </w:instrText>
        </w:r>
        <w:r>
          <w:fldChar w:fldCharType="separate"/>
        </w:r>
        <w:r>
          <w:t>51</w:t>
        </w:r>
        <w:r>
          <w:fldChar w:fldCharType="end"/>
        </w:r>
      </w:hyperlink>
    </w:p>
    <w:p>
      <w:pPr>
        <w:pStyle w:val="TOC2"/>
        <w:tabs>
          <w:tab w:val="right" w:leader="dot" w:pos="8306"/>
        </w:tabs>
      </w:pPr>
      <w:hyperlink w:anchor="_Toc11039" w:history="1">
        <w:r>
          <w:rPr>
            <w:rFonts w:ascii="仿宋" w:eastAsia="仿宋" w:hAnsi="仿宋" w:cs="仿宋" w:hint="eastAsia"/>
            <w:lang w:eastAsia="zh-CN"/>
          </w:rPr>
          <w:t>(二)、市场定位与竞争分析</w:t>
        </w:r>
        <w:r>
          <w:tab/>
        </w:r>
        <w:r>
          <w:fldChar w:fldCharType="begin"/>
        </w:r>
        <w:r>
          <w:instrText xml:space="preserve"> PAGEREF _Toc11039 \h </w:instrText>
        </w:r>
        <w:r>
          <w:fldChar w:fldCharType="separate"/>
        </w:r>
        <w:r>
          <w:t>53</w:t>
        </w:r>
        <w:r>
          <w:fldChar w:fldCharType="end"/>
        </w:r>
      </w:hyperlink>
    </w:p>
    <w:p>
      <w:pPr>
        <w:pStyle w:val="TOC2"/>
        <w:tabs>
          <w:tab w:val="right" w:leader="dot" w:pos="8306"/>
        </w:tabs>
      </w:pPr>
      <w:hyperlink w:anchor="_Toc17812" w:history="1">
        <w:r>
          <w:rPr>
            <w:rFonts w:ascii="仿宋" w:eastAsia="仿宋" w:hAnsi="仿宋" w:cs="仿宋" w:hint="eastAsia"/>
            <w:lang w:eastAsia="zh-CN"/>
          </w:rPr>
          <w:t>(三)、营销渠道与策略</w:t>
        </w:r>
        <w:r>
          <w:tab/>
        </w:r>
        <w:r>
          <w:fldChar w:fldCharType="begin"/>
        </w:r>
        <w:r>
          <w:instrText xml:space="preserve"> PAGEREF _Toc17812 \h </w:instrText>
        </w:r>
        <w:r>
          <w:fldChar w:fldCharType="separate"/>
        </w:r>
        <w:r>
          <w:t>54</w:t>
        </w:r>
        <w:r>
          <w:fldChar w:fldCharType="end"/>
        </w:r>
      </w:hyperlink>
    </w:p>
    <w:p>
      <w:pPr>
        <w:pStyle w:val="TOC2"/>
        <w:tabs>
          <w:tab w:val="right" w:leader="dot" w:pos="8306"/>
        </w:tabs>
      </w:pPr>
      <w:hyperlink w:anchor="_Toc31326" w:history="1">
        <w:r>
          <w:rPr>
            <w:rFonts w:ascii="仿宋" w:eastAsia="仿宋" w:hAnsi="仿宋" w:cs="仿宋" w:hint="eastAsia"/>
            <w:lang w:eastAsia="zh-CN"/>
          </w:rPr>
          <w:t>(四)、推广与宣传活动</w:t>
        </w:r>
        <w:r>
          <w:tab/>
        </w:r>
        <w:r>
          <w:fldChar w:fldCharType="begin"/>
        </w:r>
        <w:r>
          <w:instrText xml:space="preserve"> PAGEREF _Toc31326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07"/>
      <w:r>
        <w:rPr>
          <w:rFonts w:ascii="仿宋" w:eastAsia="仿宋" w:hAnsi="仿宋" w:cs="仿宋" w:hint="eastAsia"/>
          <w:sz w:val="28"/>
          <w:lang w:eastAsia="zh-CN"/>
        </w:rPr>
        <w:t>一、高精度数字电流表项目绩效评估</w:t>
      </w:r>
      <w:bookmarkEnd w:id="2"/>
    </w:p>
    <w:p>
      <w:pPr>
        <w:pStyle w:val="Heading2"/>
        <w:rPr>
          <w:rFonts w:ascii="仿宋" w:eastAsia="仿宋" w:hAnsi="仿宋" w:cs="仿宋" w:hint="eastAsia"/>
          <w:lang w:eastAsia="zh-CN"/>
        </w:rPr>
      </w:pPr>
      <w:bookmarkStart w:id="3" w:name="_Toc186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电流表项目中，我们设计了一套全面的绩效评估指标，以确保高精度数字电流表项目的可控和成功交付。这些指标跨足高精度数字电流表项目目标、成本、进度和质量等多个维度，为我们提供了全面洞察高精度数字电流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电流表项目目标达成率是我们关注的首要指标。我们设定了明确的目标，并通过定期监测和评估，迅速发现并应对潜在的目标偏差。这为高精度数字电流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成本绩效是另一个核心关注点。通过实际成本与预算成本的对比分析，我们深入了解成本差异的原因，及时调整资源分配，保持高精度数字电流表项目在经济效益方面的合理水平。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电流表项目进度作为关键的绩效指标之一，得到了精心的关注。我们制定了详细的高精度数字电流表项目进度计划，并设立了进度符合度指标，确保实际进度与计划进度保持一致。这使我们能够快速发现和解决潜在的进度问题，保持高精度数字电流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精度数字电流表项目绩效的不可或缺的一环。我们引入了一系列的质量标准和客户满意度指标，以确保高精度数字电流表项目交付的成果在质量上达到或超越预期水平。通过持续监测这些指标，我们努力提升高精度数字电流表项目整体质量水平，为高精度数字电流表项目的成功交付提供有力保障。通过这些科学且全面的绩效评估，我们能够更好地引导高精度数字电流表项目的持续改进，确保高精度数字电流表项目目标的顺利达成。</w:t>
      </w:r>
    </w:p>
    <w:p>
      <w:pPr>
        <w:pStyle w:val="Heading2"/>
        <w:ind w:firstLine="560" w:firstLineChars="200"/>
        <w:rPr>
          <w:rFonts w:ascii="仿宋" w:eastAsia="仿宋" w:hAnsi="仿宋" w:cs="仿宋" w:hint="eastAsia"/>
          <w:sz w:val="28"/>
          <w:lang w:eastAsia="zh-CN"/>
        </w:rPr>
      </w:pPr>
      <w:bookmarkStart w:id="4" w:name="_Toc227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绩效评估是高精度数字电流表项目中的关键环节，为确保高精度数字电流表项目达到预期目标，我们采用了多层次、多维度的绩效评估方法。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精度数字电流表项目的战略目标对齐，确保每个决策和行动都与高精度数字电流表项目整体目标保持一致。团队会定期召开战略对齐会议，审视当前工作与高精度数字电流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精度数字电流表项目进度、质量、成本和风险等方面。这些指标通过数据收集和分析，为高精度数字电流表项目管理团队提供了客观的评估依据。例如，我们通过高精度数字电流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精度数字电流表项目内部，还考虑了高精度数字电流表项目对外部环境的影响。我们定期进行干系人满意度调查，以了解各利益相关方对高精度数字电流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这种多层次、多角度的绩效评估方法，使得我们能够全面了解高精度数字电流表项目的运行状态，及时做出调整，确保高精度数字电流表项目在不断变化的环境中保持稳健前行。</w:t>
      </w:r>
    </w:p>
    <w:p>
      <w:pPr>
        <w:pStyle w:val="Heading2"/>
        <w:ind w:firstLine="560" w:firstLineChars="200"/>
        <w:rPr>
          <w:rFonts w:ascii="仿宋" w:eastAsia="仿宋" w:hAnsi="仿宋" w:cs="仿宋" w:hint="eastAsia"/>
          <w:sz w:val="28"/>
          <w:lang w:eastAsia="zh-CN"/>
        </w:rPr>
      </w:pPr>
      <w:bookmarkStart w:id="5" w:name="_Toc202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为了确保高精度数字电流表项目的有效管理和不断优化，我们采用了精心设计的绩效评估周期。这个周期旨在实现灵活、实时和全面的评估，以适应高精度数字电流表项目执行中的各种挑战。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精度数字电流表项目的不同需求，分为短期、中期和长期。短期评估关注每个迭代或工作周期，以及时发现和解决当前任务中的问题。中期评估涵盖几个迭代，深入了解整体高精度数字电流表项目的趋势和性能。长期评估则着眼于整个高精度数字电流表项目阶段，确保高精度数字电流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精度数字电流表项目管理工具和协作平台，团队成员能够随时更新和分享高精度数字电流表项目数据。这种实时性的反馈机制使我们能够及时察觉潜在问题，快速调整，保持高精度数字电流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精度数字电流表项目的决策制定密不可分。每个周期的高精度数字电流表项目回顾会议成为集体总结经验、识别问题深层次原因并找到创新解决方案的平台。这种定期的反思与调整机制使高精度数字电流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966"/>
      <w:r>
        <w:rPr>
          <w:rFonts w:ascii="仿宋" w:eastAsia="仿宋" w:hAnsi="仿宋" w:cs="仿宋" w:hint="eastAsia"/>
          <w:sz w:val="28"/>
          <w:lang w:eastAsia="zh-CN"/>
        </w:rPr>
        <w:t>二、高精度数字电流表项目选址可行性分析</w:t>
      </w:r>
      <w:bookmarkEnd w:id="6"/>
    </w:p>
    <w:p>
      <w:pPr>
        <w:pStyle w:val="Heading2"/>
        <w:rPr>
          <w:rFonts w:ascii="仿宋" w:eastAsia="仿宋" w:hAnsi="仿宋" w:cs="仿宋" w:hint="eastAsia"/>
          <w:lang w:eastAsia="zh-CN"/>
        </w:rPr>
      </w:pPr>
      <w:bookmarkStart w:id="7" w:name="_Toc5600"/>
      <w:r>
        <w:rPr>
          <w:rFonts w:ascii="仿宋" w:eastAsia="仿宋" w:hAnsi="仿宋" w:cs="仿宋" w:hint="eastAsia"/>
          <w:lang w:eastAsia="zh-CN"/>
        </w:rPr>
        <w:t>(一)、高精度数字电流表项目选址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该高精度数字电流表项目选址位于XX省XX市XX区XXX街道</w:t>
      </w:r>
    </w:p>
    <w:p>
      <w:pPr>
        <w:pStyle w:val="Heading2"/>
        <w:ind w:firstLine="560" w:firstLineChars="200"/>
        <w:rPr>
          <w:rFonts w:ascii="仿宋" w:eastAsia="仿宋" w:hAnsi="仿宋" w:cs="仿宋" w:hint="eastAsia"/>
          <w:sz w:val="28"/>
          <w:lang w:eastAsia="zh-CN"/>
        </w:rPr>
      </w:pPr>
      <w:bookmarkStart w:id="8" w:name="_Toc1561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数字电流表项目的征地面积将根据高精度数字电流表项目的实际规模和需求进行精确规划。具体面积XXX平方米，旨在确保高精度数字电流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净用地面积是在征地面积基础上去除不可利用面积后的实际可开发用地。具体面积XXX平方米，考虑到环保、交通、安全等多方面因素，以确保高精度数字电流表项目在整体利用效率上达到最优。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高精度数字电流表项目计划建设的建筑总规模具体面积XXX平方米。这一规模的确定综合考虑了高精度数字电流表项目的性质、规模，以及城市规划的相关要求，确保建筑布局与周边环境协调一致。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绿地率是高精度数字电流表项目用地中被规划为绿地的比例。具体面积XXX平方米，旨在通过合理规划绿地，改善高精度数字电流表项目周边环境，提升居民生活质量，并符合城市整体绿化规划。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容积率是用地上可以建设的建筑总体积与用地面积之比。具体面积XXX，通过合理的容积率规划，确保高精度数字电流表项目建筑规模与周边环境和谐共生。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精度数字电流表项目选址与当地城市规划相一致，具体面积XXX平方米。通过与城市规划部门深入沟通，确保高精度数字电流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精度数字电流表项目选址符合当地产业政策，具体面积XXX平方米。这包括高精度数字电流表项目对当地经济的促进作用，以及对相关产业的带动效应，确保高精度数字电流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用地总体要求必须符合环保和可持续发展的原则，具体面积XXX平方米。通过采用绿色建筑设计、节能减排等措施，确保高精度数字电流表项目在建设和运营过程中对环境的影响最小化，达到可持续发展的要求。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确保高精度数字电流表项目选址具备必要的公共设施配套，具体面积XXX平方米。这包括交通便利性、教育、医疗等基础设施，以提高居民生活品质，使得高精度数字电流表项目选址更具吸引力。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考虑用地总体要求对当地社会稳定性的影响，具体面积XXX平方米。通过深入了解当地社区反馈，确保高精度数字电流表项目的选址和建设过程对当地社会和谐稳定产生积极作用。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精度数字电流表项目选址不仅符合法规和规划，还在实际操作中具有可行性。这一全面规划将为高精度数字电流表项目的成功实施提供坚实的基础，确保高精度数字电流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81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电流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精度数字电流表项目的设备规划和空间设计中，我们将采取灵活设备布局的措施。设备布局将根据实际需求进行灵活设计，避免不必要的浪费。通过合理规划设备摆放位置，我们将提高设备的利用率，减少设备间距，以确保高精度数字电流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高精度数字电流表项目内部引入共享设施的概念，例如共享会议室、办公区等。通过这种方式，我们可以减少对资源的重复建设，提高资源共享效率，从而减小高精度数字电流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10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精度数字电流表项目的总图布置中，我们将不同功能区域进行明确的规划，以最大程度满足高精度数字电流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6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精度数字电流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精度数字电流表项目对环境的影响是综合评价的重要因素之一。我们将详细考虑选址周边的自然环境、生态保护区、水源地等情况，确保高精度数字电流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对选址的评价还需充分考虑当地政府的产业政策和法规。我们将详细了解高精度数字电流表项目所在地的相关政策，确保高精度数字电流表项目的规划和运营与当地法规相符，降低不必要的法律风险。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考虑到社会稳定性对企业运营的重要性，我们将评估选址地区的社会安全情况、劳工关系、社区反馈等方面，以确保高精度数字电流表项目的建设和运营不会受到社会稳定性的负面影响。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最后，我们将综合考虑用地成本，包括土地购置费用、土地开发成本等。通过对用地成本的详细评估，我们能够做出更为精确的经济效益分析，为高精度数字电流表项目的投资决策提供有力支持。</w:t>
      </w:r>
    </w:p>
    <w:p>
      <w:pPr>
        <w:pStyle w:val="Heading1"/>
        <w:ind w:firstLine="560" w:firstLineChars="200"/>
        <w:rPr>
          <w:rFonts w:ascii="仿宋" w:eastAsia="仿宋" w:hAnsi="仿宋" w:cs="仿宋" w:hint="eastAsia"/>
          <w:sz w:val="28"/>
          <w:lang w:eastAsia="zh-CN"/>
        </w:rPr>
      </w:pPr>
      <w:bookmarkStart w:id="12" w:name="_Toc19235"/>
      <w:r>
        <w:rPr>
          <w:rFonts w:ascii="仿宋" w:eastAsia="仿宋" w:hAnsi="仿宋" w:cs="仿宋" w:hint="eastAsia"/>
          <w:sz w:val="28"/>
          <w:lang w:eastAsia="zh-CN"/>
        </w:rPr>
        <w:t>三、高精度数字电流表项目可持续发展</w:t>
      </w:r>
      <w:bookmarkEnd w:id="12"/>
    </w:p>
    <w:p>
      <w:pPr>
        <w:pStyle w:val="Heading2"/>
        <w:rPr>
          <w:rFonts w:ascii="仿宋" w:eastAsia="仿宋" w:hAnsi="仿宋" w:cs="仿宋" w:hint="eastAsia"/>
          <w:lang w:eastAsia="zh-CN"/>
        </w:rPr>
      </w:pPr>
      <w:bookmarkStart w:id="13" w:name="_Toc2525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电流表项目中，高精度数字电流表项目团队着眼于未来，明确了可持续发展的战略方向。制定的具体可持续发展目标包括降低资源使用、采用环保技术、最大化社会效益等。这一步骤不仅有助于高精度数字电流表项目在环保和社会责任方面达到最高标准，也为未来提供了明确的指引，确保高精度数字电流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可持续实践的融入高精度数字电流表项目管理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高精度数字电流表项目管理周期。从高精度数字电流表项目规划开始，高精度数字电流表项目团队就考虑了环境和社会的因素。在执行阶段，高精度数字电流表项目团队积极推动绿色技术的应用，优化资源利用。此外，关注员工的社会责任，通过培训和沟通活动提高员工对可持续发展的认知，使他们能够在日常工作中践行可持续实践。这些举措不仅为高精度数字电流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61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精度数字电流表项目的可持续发展理念，我们深信环保与社会责任是高精度数字电流表项目成功的关键支柱。在高精度数字电流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电流表项目团队通过引入先进的环保技术、建立高效的废物处理系统以及推动能源节约措施，积极履行环保责任。定期的环保监测和评估确保高精度数字电流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电流表项目不仅致力于自身可持续发展，还注重对社会的回馈。通过支持社区高精度数字电流表项目、参与慈善事业、提供培训机会等方式，高精度数字电流表项目积极履行社会责任。与当地社区建立积极互动，关注员工的工作与生活平衡，以及员工的身心健康，是高精度数字电流表项目在社会责任层面的关键举措。这样的实践不仅增强了高精度数字电流表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88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847"/>
      <w:r>
        <w:rPr>
          <w:rFonts w:ascii="仿宋" w:eastAsia="仿宋" w:hAnsi="仿宋" w:cs="仿宋" w:hint="eastAsia"/>
          <w:lang w:eastAsia="zh-CN"/>
        </w:rPr>
        <w:t>(一)、高精度数字电流表行业分析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电流表行业一直以来都是市场的关注焦点。行业内的发展趋势、竞争态势以及潜在机会都对高精度数字电流表项目的推进产生深远的影响。通过深入研究行业的整体概貌，我们将更好地理解行业的核心特征，为高精度数字电流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电流表行业，技术一直是推动创新和发展的关键因素。我们将对当前技术趋势进行详尽分析，包括但不限于人工智能、大数据应用、先进制造技术等。这有助于高精度数字电流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精度数字电流表项目成功的基础。我们将对主要竞争对手进行深入研究，包括其市场份额、产品特点、市场定位等。通过全面了解竞争对手的优势和劣势，高精度数字电流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706"/>
      <w:r>
        <w:rPr>
          <w:rFonts w:ascii="仿宋" w:eastAsia="仿宋" w:hAnsi="仿宋" w:cs="仿宋" w:hint="eastAsia"/>
          <w:sz w:val="28"/>
          <w:lang w:eastAsia="zh-CN"/>
        </w:rPr>
        <w:t>(二)、高精度数字电流表市场分析预测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精度数字电流表市场未来的增长趋势。这包括市场的整体规模、各细分领域的发展趋势等。高精度数字电流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精度数字电流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精度数字电流表项目实施过程中需要充分考虑的因素。我们将对市场风险进行全面评估，包括但不限于政策法规风险、市场竞争风险、技术变革风险等。通过对潜在风险的深入分析，高精度数字电流表项目可以制定相应的风险缓解策略，降低不确定性对高精度数字电流表项目的影响。</w:t>
      </w:r>
    </w:p>
    <w:p>
      <w:pPr>
        <w:pStyle w:val="Heading1"/>
        <w:ind w:firstLine="560" w:firstLineChars="200"/>
        <w:rPr>
          <w:rFonts w:ascii="仿宋" w:eastAsia="仿宋" w:hAnsi="仿宋" w:cs="仿宋" w:hint="eastAsia"/>
          <w:sz w:val="28"/>
          <w:lang w:eastAsia="zh-CN"/>
        </w:rPr>
      </w:pPr>
      <w:bookmarkStart w:id="18" w:name="_Toc3801"/>
      <w:r>
        <w:rPr>
          <w:rFonts w:ascii="仿宋" w:eastAsia="仿宋" w:hAnsi="仿宋" w:cs="仿宋" w:hint="eastAsia"/>
          <w:sz w:val="28"/>
          <w:lang w:eastAsia="zh-CN"/>
        </w:rPr>
        <w:t>五、高精度数字电流表项目土建工程</w:t>
      </w:r>
      <w:bookmarkEnd w:id="18"/>
    </w:p>
    <w:p>
      <w:pPr>
        <w:pStyle w:val="Heading2"/>
        <w:rPr>
          <w:rFonts w:ascii="仿宋" w:eastAsia="仿宋" w:hAnsi="仿宋" w:cs="仿宋" w:hint="eastAsia"/>
          <w:lang w:eastAsia="zh-CN"/>
        </w:rPr>
      </w:pPr>
      <w:bookmarkStart w:id="19" w:name="_Toc1875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在高精度数字电流表项目的建筑工程设计中，我们将秉承一系列重要的设计原则，以确保高精度数字电流表项目建筑在功能、美观、可持续性等方面达到最佳效果。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首要原则是确保建筑的功能性得到最大化的发挥。我们将充分理解高精度数字电流表项目的实际需求，合理布局各个功能区域，保证建筑在满足业务需求的同时，提供高效的工作环境。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在建筑设计中，我们将综合考虑建设和运营成本。通过精细的经济效益分析，确保设计方案在高效利用资源的同时，对高精度数字电流表项目的长期盈利能力有积极的贡献。</w:t>
      </w:r>
    </w:p>
    <w:p>
      <w:pPr>
        <w:pStyle w:val="Heading2"/>
        <w:ind w:firstLine="560" w:firstLineChars="200"/>
        <w:rPr>
          <w:rFonts w:ascii="仿宋" w:eastAsia="仿宋" w:hAnsi="仿宋" w:cs="仿宋" w:hint="eastAsia"/>
          <w:sz w:val="28"/>
          <w:lang w:eastAsia="zh-CN"/>
        </w:rPr>
      </w:pPr>
      <w:bookmarkStart w:id="20" w:name="_Toc1394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https://d.book118.com/735123333012011043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D32FD"/>
    <w:rsid w:val="592D3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1233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2024-01-16T06:20:00Z</dcterms:created>
  <dcterms:modified xsi:type="dcterms:W3CDTF">2024-01-16T06:20:46Z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2CB268830E8945F885338CEAB37FA9B1_11</vt:lpwstr>
  </property>
  <property fmtid="{D5CDD505-2E9C-101B-9397-08002B2CF9AE}" pid="3" name="KSOProductBuildVer">
    <vt:lpwstr>2052-12.1.0.16120</vt:lpwstr>
  </property>
</Properties>
</file>