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城市轮渡服务项目规划设计方案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427" w:history="1">
        <w:r>
          <w:rPr>
            <w:rFonts w:ascii="仿宋" w:eastAsia="仿宋" w:hAnsi="仿宋" w:cs="仿宋" w:hint="eastAsia"/>
            <w:lang w:eastAsia="zh-CN"/>
          </w:rPr>
          <w:t>概论</w:t>
        </w:r>
        <w:r>
          <w:tab/>
        </w:r>
        <w:r>
          <w:fldChar w:fldCharType="begin"/>
        </w:r>
        <w:r>
          <w:instrText xml:space="preserve"> PAGEREF _Toc15427 \h </w:instrText>
        </w:r>
        <w:r>
          <w:fldChar w:fldCharType="separate"/>
        </w:r>
        <w:r>
          <w:t>3</w:t>
        </w:r>
        <w:r>
          <w:fldChar w:fldCharType="end"/>
        </w:r>
      </w:hyperlink>
    </w:p>
    <w:p>
      <w:pPr>
        <w:pStyle w:val="TOC1"/>
        <w:tabs>
          <w:tab w:val="right" w:leader="dot" w:pos="8306"/>
        </w:tabs>
      </w:pPr>
      <w:hyperlink w:anchor="_Toc31881" w:history="1">
        <w:r>
          <w:rPr>
            <w:rFonts w:ascii="仿宋" w:eastAsia="仿宋" w:hAnsi="仿宋" w:cs="仿宋" w:hint="eastAsia"/>
            <w:lang w:eastAsia="zh-CN"/>
          </w:rPr>
          <w:t>一、城市轮渡服务项目绩效评估</w:t>
        </w:r>
        <w:r>
          <w:tab/>
        </w:r>
        <w:r>
          <w:fldChar w:fldCharType="begin"/>
        </w:r>
        <w:r>
          <w:instrText xml:space="preserve"> PAGEREF _Toc31881 \h </w:instrText>
        </w:r>
        <w:r>
          <w:fldChar w:fldCharType="separate"/>
        </w:r>
        <w:r>
          <w:t>3</w:t>
        </w:r>
        <w:r>
          <w:fldChar w:fldCharType="end"/>
        </w:r>
      </w:hyperlink>
    </w:p>
    <w:p>
      <w:pPr>
        <w:pStyle w:val="TOC2"/>
        <w:tabs>
          <w:tab w:val="right" w:leader="dot" w:pos="8306"/>
        </w:tabs>
      </w:pPr>
      <w:hyperlink w:anchor="_Toc11125" w:history="1">
        <w:r>
          <w:rPr>
            <w:rFonts w:ascii="仿宋" w:eastAsia="仿宋" w:hAnsi="仿宋" w:cs="仿宋" w:hint="eastAsia"/>
            <w:lang w:eastAsia="zh-CN"/>
          </w:rPr>
          <w:t>(一)、绩效评估指标</w:t>
        </w:r>
        <w:r>
          <w:tab/>
        </w:r>
        <w:r>
          <w:fldChar w:fldCharType="begin"/>
        </w:r>
        <w:r>
          <w:instrText xml:space="preserve"> PAGEREF _Toc11125 \h </w:instrText>
        </w:r>
        <w:r>
          <w:fldChar w:fldCharType="separate"/>
        </w:r>
        <w:r>
          <w:t>3</w:t>
        </w:r>
        <w:r>
          <w:fldChar w:fldCharType="end"/>
        </w:r>
      </w:hyperlink>
    </w:p>
    <w:p>
      <w:pPr>
        <w:pStyle w:val="TOC2"/>
        <w:tabs>
          <w:tab w:val="right" w:leader="dot" w:pos="8306"/>
        </w:tabs>
      </w:pPr>
      <w:hyperlink w:anchor="_Toc24998" w:history="1">
        <w:r>
          <w:rPr>
            <w:rFonts w:ascii="仿宋" w:eastAsia="仿宋" w:hAnsi="仿宋" w:cs="仿宋" w:hint="eastAsia"/>
            <w:lang w:eastAsia="zh-CN"/>
          </w:rPr>
          <w:t>(二)、绩效评估方法</w:t>
        </w:r>
        <w:r>
          <w:tab/>
        </w:r>
        <w:r>
          <w:fldChar w:fldCharType="begin"/>
        </w:r>
        <w:r>
          <w:instrText xml:space="preserve"> PAGEREF _Toc24998 \h </w:instrText>
        </w:r>
        <w:r>
          <w:fldChar w:fldCharType="separate"/>
        </w:r>
        <w:r>
          <w:t>4</w:t>
        </w:r>
        <w:r>
          <w:fldChar w:fldCharType="end"/>
        </w:r>
      </w:hyperlink>
    </w:p>
    <w:p>
      <w:pPr>
        <w:pStyle w:val="TOC2"/>
        <w:tabs>
          <w:tab w:val="right" w:leader="dot" w:pos="8306"/>
        </w:tabs>
      </w:pPr>
      <w:hyperlink w:anchor="_Toc32680" w:history="1">
        <w:r>
          <w:rPr>
            <w:rFonts w:ascii="仿宋" w:eastAsia="仿宋" w:hAnsi="仿宋" w:cs="仿宋" w:hint="eastAsia"/>
            <w:lang w:eastAsia="zh-CN"/>
          </w:rPr>
          <w:t>(三)、绩效评估周期</w:t>
        </w:r>
        <w:r>
          <w:tab/>
        </w:r>
        <w:r>
          <w:fldChar w:fldCharType="begin"/>
        </w:r>
        <w:r>
          <w:instrText xml:space="preserve"> PAGEREF _Toc32680 \h </w:instrText>
        </w:r>
        <w:r>
          <w:fldChar w:fldCharType="separate"/>
        </w:r>
        <w:r>
          <w:t>5</w:t>
        </w:r>
        <w:r>
          <w:fldChar w:fldCharType="end"/>
        </w:r>
      </w:hyperlink>
    </w:p>
    <w:p>
      <w:pPr>
        <w:pStyle w:val="TOC1"/>
        <w:tabs>
          <w:tab w:val="right" w:leader="dot" w:pos="8306"/>
        </w:tabs>
      </w:pPr>
      <w:hyperlink w:anchor="_Toc1937" w:history="1">
        <w:r>
          <w:rPr>
            <w:rFonts w:ascii="仿宋" w:eastAsia="仿宋" w:hAnsi="仿宋" w:cs="仿宋" w:hint="eastAsia"/>
            <w:lang w:eastAsia="zh-CN"/>
          </w:rPr>
          <w:t>二、城市轮渡服务项目文档管理</w:t>
        </w:r>
        <w:r>
          <w:tab/>
        </w:r>
        <w:r>
          <w:fldChar w:fldCharType="begin"/>
        </w:r>
        <w:r>
          <w:instrText xml:space="preserve"> PAGEREF _Toc1937 \h </w:instrText>
        </w:r>
        <w:r>
          <w:fldChar w:fldCharType="separate"/>
        </w:r>
        <w:r>
          <w:t>6</w:t>
        </w:r>
        <w:r>
          <w:fldChar w:fldCharType="end"/>
        </w:r>
      </w:hyperlink>
    </w:p>
    <w:p>
      <w:pPr>
        <w:pStyle w:val="TOC2"/>
        <w:tabs>
          <w:tab w:val="right" w:leader="dot" w:pos="8306"/>
        </w:tabs>
      </w:pPr>
      <w:hyperlink w:anchor="_Toc7924" w:history="1">
        <w:r>
          <w:rPr>
            <w:rFonts w:ascii="仿宋" w:eastAsia="仿宋" w:hAnsi="仿宋" w:cs="仿宋" w:hint="eastAsia"/>
            <w:lang w:eastAsia="zh-CN"/>
          </w:rPr>
          <w:t>(一)、文档编制与审查</w:t>
        </w:r>
        <w:r>
          <w:tab/>
        </w:r>
        <w:r>
          <w:fldChar w:fldCharType="begin"/>
        </w:r>
        <w:r>
          <w:instrText xml:space="preserve"> PAGEREF _Toc7924 \h </w:instrText>
        </w:r>
        <w:r>
          <w:fldChar w:fldCharType="separate"/>
        </w:r>
        <w:r>
          <w:t>6</w:t>
        </w:r>
        <w:r>
          <w:fldChar w:fldCharType="end"/>
        </w:r>
      </w:hyperlink>
    </w:p>
    <w:p>
      <w:pPr>
        <w:pStyle w:val="TOC2"/>
        <w:tabs>
          <w:tab w:val="right" w:leader="dot" w:pos="8306"/>
        </w:tabs>
      </w:pPr>
      <w:hyperlink w:anchor="_Toc3232" w:history="1">
        <w:r>
          <w:rPr>
            <w:rFonts w:ascii="仿宋" w:eastAsia="仿宋" w:hAnsi="仿宋" w:cs="仿宋" w:hint="eastAsia"/>
            <w:lang w:eastAsia="zh-CN"/>
          </w:rPr>
          <w:t>(二)、文档发布与分发</w:t>
        </w:r>
        <w:r>
          <w:tab/>
        </w:r>
        <w:r>
          <w:fldChar w:fldCharType="begin"/>
        </w:r>
        <w:r>
          <w:instrText xml:space="preserve"> PAGEREF _Toc3232 \h </w:instrText>
        </w:r>
        <w:r>
          <w:fldChar w:fldCharType="separate"/>
        </w:r>
        <w:r>
          <w:t>8</w:t>
        </w:r>
        <w:r>
          <w:fldChar w:fldCharType="end"/>
        </w:r>
      </w:hyperlink>
    </w:p>
    <w:p>
      <w:pPr>
        <w:pStyle w:val="TOC2"/>
        <w:tabs>
          <w:tab w:val="right" w:leader="dot" w:pos="8306"/>
        </w:tabs>
      </w:pPr>
      <w:hyperlink w:anchor="_Toc9359" w:history="1">
        <w:r>
          <w:rPr>
            <w:rFonts w:ascii="仿宋" w:eastAsia="仿宋" w:hAnsi="仿宋" w:cs="仿宋" w:hint="eastAsia"/>
            <w:lang w:eastAsia="zh-CN"/>
          </w:rPr>
          <w:t>(三)、文档存档与归档</w:t>
        </w:r>
        <w:r>
          <w:tab/>
        </w:r>
        <w:r>
          <w:fldChar w:fldCharType="begin"/>
        </w:r>
        <w:r>
          <w:instrText xml:space="preserve"> PAGEREF _Toc9359 \h </w:instrText>
        </w:r>
        <w:r>
          <w:fldChar w:fldCharType="separate"/>
        </w:r>
        <w:r>
          <w:t>8</w:t>
        </w:r>
        <w:r>
          <w:fldChar w:fldCharType="end"/>
        </w:r>
      </w:hyperlink>
    </w:p>
    <w:p>
      <w:pPr>
        <w:pStyle w:val="TOC1"/>
        <w:tabs>
          <w:tab w:val="right" w:leader="dot" w:pos="8306"/>
        </w:tabs>
      </w:pPr>
      <w:hyperlink w:anchor="_Toc1177" w:history="1">
        <w:r>
          <w:rPr>
            <w:rFonts w:ascii="仿宋" w:eastAsia="仿宋" w:hAnsi="仿宋" w:cs="仿宋" w:hint="eastAsia"/>
            <w:lang w:eastAsia="zh-CN"/>
          </w:rPr>
          <w:t>三、城市轮渡服务项目建设单位说明</w:t>
        </w:r>
        <w:r>
          <w:tab/>
        </w:r>
        <w:r>
          <w:fldChar w:fldCharType="begin"/>
        </w:r>
        <w:r>
          <w:instrText xml:space="preserve"> PAGEREF _Toc1177 \h </w:instrText>
        </w:r>
        <w:r>
          <w:fldChar w:fldCharType="separate"/>
        </w:r>
        <w:r>
          <w:t>10</w:t>
        </w:r>
        <w:r>
          <w:fldChar w:fldCharType="end"/>
        </w:r>
      </w:hyperlink>
    </w:p>
    <w:p>
      <w:pPr>
        <w:pStyle w:val="TOC2"/>
        <w:tabs>
          <w:tab w:val="right" w:leader="dot" w:pos="8306"/>
        </w:tabs>
      </w:pPr>
      <w:hyperlink w:anchor="_Toc19686" w:history="1">
        <w:r>
          <w:rPr>
            <w:rFonts w:ascii="仿宋" w:eastAsia="仿宋" w:hAnsi="仿宋" w:cs="仿宋" w:hint="eastAsia"/>
            <w:lang w:eastAsia="zh-CN"/>
          </w:rPr>
          <w:t>(一)、城市轮渡服务项目承办单位基本情况</w:t>
        </w:r>
        <w:r>
          <w:tab/>
        </w:r>
        <w:r>
          <w:fldChar w:fldCharType="begin"/>
        </w:r>
        <w:r>
          <w:instrText xml:space="preserve"> PAGEREF _Toc19686 \h </w:instrText>
        </w:r>
        <w:r>
          <w:fldChar w:fldCharType="separate"/>
        </w:r>
        <w:r>
          <w:t>10</w:t>
        </w:r>
        <w:r>
          <w:fldChar w:fldCharType="end"/>
        </w:r>
      </w:hyperlink>
    </w:p>
    <w:p>
      <w:pPr>
        <w:pStyle w:val="TOC2"/>
        <w:tabs>
          <w:tab w:val="right" w:leader="dot" w:pos="8306"/>
        </w:tabs>
      </w:pPr>
      <w:hyperlink w:anchor="_Toc23279" w:history="1">
        <w:r>
          <w:rPr>
            <w:rFonts w:ascii="仿宋" w:eastAsia="仿宋" w:hAnsi="仿宋" w:cs="仿宋" w:hint="eastAsia"/>
            <w:lang w:eastAsia="zh-CN"/>
          </w:rPr>
          <w:t>(二)、公司经济效益分析</w:t>
        </w:r>
        <w:r>
          <w:tab/>
        </w:r>
        <w:r>
          <w:fldChar w:fldCharType="begin"/>
        </w:r>
        <w:r>
          <w:instrText xml:space="preserve"> PAGEREF _Toc23279 \h </w:instrText>
        </w:r>
        <w:r>
          <w:fldChar w:fldCharType="separate"/>
        </w:r>
        <w:r>
          <w:t>10</w:t>
        </w:r>
        <w:r>
          <w:fldChar w:fldCharType="end"/>
        </w:r>
      </w:hyperlink>
    </w:p>
    <w:p>
      <w:pPr>
        <w:pStyle w:val="TOC1"/>
        <w:tabs>
          <w:tab w:val="right" w:leader="dot" w:pos="8306"/>
        </w:tabs>
      </w:pPr>
      <w:hyperlink w:anchor="_Toc23410" w:history="1">
        <w:r>
          <w:rPr>
            <w:rFonts w:ascii="仿宋" w:eastAsia="仿宋" w:hAnsi="仿宋" w:cs="仿宋" w:hint="eastAsia"/>
            <w:lang w:eastAsia="zh-CN"/>
          </w:rPr>
          <w:t>四、城市轮渡服务项目建设背景及必要性分析</w:t>
        </w:r>
        <w:r>
          <w:tab/>
        </w:r>
        <w:r>
          <w:fldChar w:fldCharType="begin"/>
        </w:r>
        <w:r>
          <w:instrText xml:space="preserve"> PAGEREF _Toc23410 \h </w:instrText>
        </w:r>
        <w:r>
          <w:fldChar w:fldCharType="separate"/>
        </w:r>
        <w:r>
          <w:t>11</w:t>
        </w:r>
        <w:r>
          <w:fldChar w:fldCharType="end"/>
        </w:r>
      </w:hyperlink>
    </w:p>
    <w:p>
      <w:pPr>
        <w:pStyle w:val="TOC2"/>
        <w:tabs>
          <w:tab w:val="right" w:leader="dot" w:pos="8306"/>
        </w:tabs>
      </w:pPr>
      <w:hyperlink w:anchor="_Toc31685" w:history="1">
        <w:r>
          <w:rPr>
            <w:rFonts w:ascii="仿宋" w:eastAsia="仿宋" w:hAnsi="仿宋" w:cs="仿宋" w:hint="eastAsia"/>
            <w:lang w:eastAsia="zh-CN"/>
          </w:rPr>
          <w:t>(一)、城市轮渡服务项目背景分析</w:t>
        </w:r>
        <w:r>
          <w:tab/>
        </w:r>
        <w:r>
          <w:fldChar w:fldCharType="begin"/>
        </w:r>
        <w:r>
          <w:instrText xml:space="preserve"> PAGEREF _Toc31685 \h </w:instrText>
        </w:r>
        <w:r>
          <w:fldChar w:fldCharType="separate"/>
        </w:r>
        <w:r>
          <w:t>11</w:t>
        </w:r>
        <w:r>
          <w:fldChar w:fldCharType="end"/>
        </w:r>
      </w:hyperlink>
    </w:p>
    <w:p>
      <w:pPr>
        <w:pStyle w:val="TOC2"/>
        <w:tabs>
          <w:tab w:val="right" w:leader="dot" w:pos="8306"/>
        </w:tabs>
      </w:pPr>
      <w:hyperlink w:anchor="_Toc4142" w:history="1">
        <w:r>
          <w:rPr>
            <w:rFonts w:ascii="仿宋" w:eastAsia="仿宋" w:hAnsi="仿宋" w:cs="仿宋" w:hint="eastAsia"/>
            <w:lang w:eastAsia="zh-CN"/>
          </w:rPr>
          <w:t>(二)、城市轮渡服务项目建设必要性分析</w:t>
        </w:r>
        <w:r>
          <w:tab/>
        </w:r>
        <w:r>
          <w:fldChar w:fldCharType="begin"/>
        </w:r>
        <w:r>
          <w:instrText xml:space="preserve"> PAGEREF _Toc4142 \h </w:instrText>
        </w:r>
        <w:r>
          <w:fldChar w:fldCharType="separate"/>
        </w:r>
        <w:r>
          <w:t>13</w:t>
        </w:r>
        <w:r>
          <w:fldChar w:fldCharType="end"/>
        </w:r>
      </w:hyperlink>
    </w:p>
    <w:p>
      <w:pPr>
        <w:pStyle w:val="TOC1"/>
        <w:tabs>
          <w:tab w:val="right" w:leader="dot" w:pos="8306"/>
        </w:tabs>
      </w:pPr>
      <w:hyperlink w:anchor="_Toc8700" w:history="1">
        <w:r>
          <w:rPr>
            <w:rFonts w:ascii="仿宋" w:eastAsia="仿宋" w:hAnsi="仿宋" w:cs="仿宋" w:hint="eastAsia"/>
            <w:lang w:eastAsia="zh-CN"/>
          </w:rPr>
          <w:t>五、城市轮渡服务项目可持续发展</w:t>
        </w:r>
        <w:r>
          <w:tab/>
        </w:r>
        <w:r>
          <w:fldChar w:fldCharType="begin"/>
        </w:r>
        <w:r>
          <w:instrText xml:space="preserve"> PAGEREF _Toc8700 \h </w:instrText>
        </w:r>
        <w:r>
          <w:fldChar w:fldCharType="separate"/>
        </w:r>
        <w:r>
          <w:t>14</w:t>
        </w:r>
        <w:r>
          <w:fldChar w:fldCharType="end"/>
        </w:r>
      </w:hyperlink>
    </w:p>
    <w:p>
      <w:pPr>
        <w:pStyle w:val="TOC2"/>
        <w:tabs>
          <w:tab w:val="right" w:leader="dot" w:pos="8306"/>
        </w:tabs>
      </w:pPr>
      <w:hyperlink w:anchor="_Toc12771" w:history="1">
        <w:r>
          <w:rPr>
            <w:rFonts w:ascii="仿宋" w:eastAsia="仿宋" w:hAnsi="仿宋" w:cs="仿宋" w:hint="eastAsia"/>
            <w:lang w:eastAsia="zh-CN"/>
          </w:rPr>
          <w:t>(一)、可持续战略与实践</w:t>
        </w:r>
        <w:r>
          <w:tab/>
        </w:r>
        <w:r>
          <w:fldChar w:fldCharType="begin"/>
        </w:r>
        <w:r>
          <w:instrText xml:space="preserve"> PAGEREF _Toc12771 \h </w:instrText>
        </w:r>
        <w:r>
          <w:fldChar w:fldCharType="separate"/>
        </w:r>
        <w:r>
          <w:t>14</w:t>
        </w:r>
        <w:r>
          <w:fldChar w:fldCharType="end"/>
        </w:r>
      </w:hyperlink>
    </w:p>
    <w:p>
      <w:pPr>
        <w:pStyle w:val="TOC2"/>
        <w:tabs>
          <w:tab w:val="right" w:leader="dot" w:pos="8306"/>
        </w:tabs>
      </w:pPr>
      <w:hyperlink w:anchor="_Toc23271" w:history="1">
        <w:r>
          <w:rPr>
            <w:rFonts w:ascii="仿宋" w:eastAsia="仿宋" w:hAnsi="仿宋" w:cs="仿宋" w:hint="eastAsia"/>
            <w:lang w:eastAsia="zh-CN"/>
          </w:rPr>
          <w:t>(二)、环保与社会责任</w:t>
        </w:r>
        <w:r>
          <w:tab/>
        </w:r>
        <w:r>
          <w:fldChar w:fldCharType="begin"/>
        </w:r>
        <w:r>
          <w:instrText xml:space="preserve"> PAGEREF _Toc23271 \h </w:instrText>
        </w:r>
        <w:r>
          <w:fldChar w:fldCharType="separate"/>
        </w:r>
        <w:r>
          <w:t>15</w:t>
        </w:r>
        <w:r>
          <w:fldChar w:fldCharType="end"/>
        </w:r>
      </w:hyperlink>
    </w:p>
    <w:p>
      <w:pPr>
        <w:pStyle w:val="TOC1"/>
        <w:tabs>
          <w:tab w:val="right" w:leader="dot" w:pos="8306"/>
        </w:tabs>
      </w:pPr>
      <w:hyperlink w:anchor="_Toc7073" w:history="1">
        <w:r>
          <w:rPr>
            <w:rFonts w:ascii="仿宋" w:eastAsia="仿宋" w:hAnsi="仿宋" w:cs="仿宋" w:hint="eastAsia"/>
            <w:lang w:eastAsia="zh-CN"/>
          </w:rPr>
          <w:t>六、城市轮渡服务项目危机管理</w:t>
        </w:r>
        <w:r>
          <w:tab/>
        </w:r>
        <w:r>
          <w:fldChar w:fldCharType="begin"/>
        </w:r>
        <w:r>
          <w:instrText xml:space="preserve"> PAGEREF _Toc7073 \h </w:instrText>
        </w:r>
        <w:r>
          <w:fldChar w:fldCharType="separate"/>
        </w:r>
        <w:r>
          <w:t>16</w:t>
        </w:r>
        <w:r>
          <w:fldChar w:fldCharType="end"/>
        </w:r>
      </w:hyperlink>
    </w:p>
    <w:p>
      <w:pPr>
        <w:pStyle w:val="TOC2"/>
        <w:tabs>
          <w:tab w:val="right" w:leader="dot" w:pos="8306"/>
        </w:tabs>
      </w:pPr>
      <w:hyperlink w:anchor="_Toc5200" w:history="1">
        <w:r>
          <w:rPr>
            <w:rFonts w:ascii="仿宋" w:eastAsia="仿宋" w:hAnsi="仿宋" w:cs="仿宋" w:hint="eastAsia"/>
            <w:lang w:eastAsia="zh-CN"/>
          </w:rPr>
          <w:t>(一)、危机预警与识别</w:t>
        </w:r>
        <w:r>
          <w:tab/>
        </w:r>
        <w:r>
          <w:fldChar w:fldCharType="begin"/>
        </w:r>
        <w:r>
          <w:instrText xml:space="preserve"> PAGEREF _Toc5200 \h </w:instrText>
        </w:r>
        <w:r>
          <w:fldChar w:fldCharType="separate"/>
        </w:r>
        <w:r>
          <w:t>16</w:t>
        </w:r>
        <w:r>
          <w:fldChar w:fldCharType="end"/>
        </w:r>
      </w:hyperlink>
    </w:p>
    <w:p>
      <w:pPr>
        <w:pStyle w:val="TOC2"/>
        <w:tabs>
          <w:tab w:val="right" w:leader="dot" w:pos="8306"/>
        </w:tabs>
      </w:pPr>
      <w:hyperlink w:anchor="_Toc28440" w:history="1">
        <w:r>
          <w:rPr>
            <w:rFonts w:ascii="仿宋" w:eastAsia="仿宋" w:hAnsi="仿宋" w:cs="仿宋" w:hint="eastAsia"/>
            <w:lang w:eastAsia="zh-CN"/>
          </w:rPr>
          <w:t>(二)、危机应对与恢复</w:t>
        </w:r>
        <w:r>
          <w:tab/>
        </w:r>
        <w:r>
          <w:fldChar w:fldCharType="begin"/>
        </w:r>
        <w:r>
          <w:instrText xml:space="preserve"> PAGEREF _Toc28440 \h </w:instrText>
        </w:r>
        <w:r>
          <w:fldChar w:fldCharType="separate"/>
        </w:r>
        <w:r>
          <w:t>17</w:t>
        </w:r>
        <w:r>
          <w:fldChar w:fldCharType="end"/>
        </w:r>
      </w:hyperlink>
    </w:p>
    <w:p>
      <w:pPr>
        <w:pStyle w:val="TOC1"/>
        <w:tabs>
          <w:tab w:val="right" w:leader="dot" w:pos="8306"/>
        </w:tabs>
      </w:pPr>
      <w:hyperlink w:anchor="_Toc28661" w:history="1">
        <w:r>
          <w:rPr>
            <w:rFonts w:ascii="仿宋" w:eastAsia="仿宋" w:hAnsi="仿宋" w:cs="仿宋" w:hint="eastAsia"/>
            <w:lang w:eastAsia="zh-CN"/>
          </w:rPr>
          <w:t>七、城市轮渡服务项目技术管理</w:t>
        </w:r>
        <w:r>
          <w:tab/>
        </w:r>
        <w:r>
          <w:fldChar w:fldCharType="begin"/>
        </w:r>
        <w:r>
          <w:instrText xml:space="preserve"> PAGEREF _Toc28661 \h </w:instrText>
        </w:r>
        <w:r>
          <w:fldChar w:fldCharType="separate"/>
        </w:r>
        <w:r>
          <w:t>18</w:t>
        </w:r>
        <w:r>
          <w:fldChar w:fldCharType="end"/>
        </w:r>
      </w:hyperlink>
    </w:p>
    <w:p>
      <w:pPr>
        <w:pStyle w:val="TOC2"/>
        <w:tabs>
          <w:tab w:val="right" w:leader="dot" w:pos="8306"/>
        </w:tabs>
      </w:pPr>
      <w:hyperlink w:anchor="_Toc23219" w:history="1">
        <w:r>
          <w:rPr>
            <w:rFonts w:ascii="仿宋" w:eastAsia="仿宋" w:hAnsi="仿宋" w:cs="仿宋" w:hint="eastAsia"/>
            <w:lang w:eastAsia="zh-CN"/>
          </w:rPr>
          <w:t>(一)、技术方案选用方向</w:t>
        </w:r>
        <w:r>
          <w:tab/>
        </w:r>
        <w:r>
          <w:fldChar w:fldCharType="begin"/>
        </w:r>
        <w:r>
          <w:instrText xml:space="preserve"> PAGEREF _Toc23219 \h </w:instrText>
        </w:r>
        <w:r>
          <w:fldChar w:fldCharType="separate"/>
        </w:r>
        <w:r>
          <w:t>18</w:t>
        </w:r>
        <w:r>
          <w:fldChar w:fldCharType="end"/>
        </w:r>
      </w:hyperlink>
    </w:p>
    <w:p>
      <w:pPr>
        <w:pStyle w:val="TOC2"/>
        <w:tabs>
          <w:tab w:val="right" w:leader="dot" w:pos="8306"/>
        </w:tabs>
      </w:pPr>
      <w:hyperlink w:anchor="_Toc12202" w:history="1">
        <w:r>
          <w:rPr>
            <w:rFonts w:ascii="仿宋" w:eastAsia="仿宋" w:hAnsi="仿宋" w:cs="仿宋" w:hint="eastAsia"/>
            <w:lang w:eastAsia="zh-CN"/>
          </w:rPr>
          <w:t>(二)、工艺技术方案选用原则</w:t>
        </w:r>
        <w:r>
          <w:tab/>
        </w:r>
        <w:r>
          <w:fldChar w:fldCharType="begin"/>
        </w:r>
        <w:r>
          <w:instrText xml:space="preserve"> PAGEREF _Toc12202 \h </w:instrText>
        </w:r>
        <w:r>
          <w:fldChar w:fldCharType="separate"/>
        </w:r>
        <w:r>
          <w:t>20</w:t>
        </w:r>
        <w:r>
          <w:fldChar w:fldCharType="end"/>
        </w:r>
      </w:hyperlink>
    </w:p>
    <w:p>
      <w:pPr>
        <w:pStyle w:val="TOC2"/>
        <w:tabs>
          <w:tab w:val="right" w:leader="dot" w:pos="8306"/>
        </w:tabs>
      </w:pPr>
      <w:hyperlink w:anchor="_Toc6566" w:history="1">
        <w:r>
          <w:rPr>
            <w:rFonts w:ascii="仿宋" w:eastAsia="仿宋" w:hAnsi="仿宋" w:cs="仿宋" w:hint="eastAsia"/>
            <w:lang w:eastAsia="zh-CN"/>
          </w:rPr>
          <w:t>(三)、工艺技术方案要求</w:t>
        </w:r>
        <w:r>
          <w:tab/>
        </w:r>
        <w:r>
          <w:fldChar w:fldCharType="begin"/>
        </w:r>
        <w:r>
          <w:instrText xml:space="preserve"> PAGEREF _Toc6566 \h </w:instrText>
        </w:r>
        <w:r>
          <w:fldChar w:fldCharType="separate"/>
        </w:r>
        <w:r>
          <w:t>22</w:t>
        </w:r>
        <w:r>
          <w:fldChar w:fldCharType="end"/>
        </w:r>
      </w:hyperlink>
    </w:p>
    <w:p>
      <w:pPr>
        <w:pStyle w:val="TOC1"/>
        <w:tabs>
          <w:tab w:val="right" w:leader="dot" w:pos="8306"/>
        </w:tabs>
      </w:pPr>
      <w:hyperlink w:anchor="_Toc26555" w:history="1">
        <w:r>
          <w:rPr>
            <w:rFonts w:ascii="仿宋" w:eastAsia="仿宋" w:hAnsi="仿宋" w:cs="仿宋" w:hint="eastAsia"/>
            <w:lang w:eastAsia="zh-CN"/>
          </w:rPr>
          <w:t>八、生产安全保护</w:t>
        </w:r>
        <w:r>
          <w:tab/>
        </w:r>
        <w:r>
          <w:fldChar w:fldCharType="begin"/>
        </w:r>
        <w:r>
          <w:instrText xml:space="preserve"> PAGEREF _Toc26555 \h </w:instrText>
        </w:r>
        <w:r>
          <w:fldChar w:fldCharType="separate"/>
        </w:r>
        <w:r>
          <w:t>25</w:t>
        </w:r>
        <w:r>
          <w:fldChar w:fldCharType="end"/>
        </w:r>
      </w:hyperlink>
    </w:p>
    <w:p>
      <w:pPr>
        <w:pStyle w:val="TOC2"/>
        <w:tabs>
          <w:tab w:val="right" w:leader="dot" w:pos="8306"/>
        </w:tabs>
      </w:pPr>
      <w:hyperlink w:anchor="_Toc17743" w:history="1">
        <w:r>
          <w:rPr>
            <w:rFonts w:ascii="仿宋" w:eastAsia="仿宋" w:hAnsi="仿宋" w:cs="仿宋" w:hint="eastAsia"/>
            <w:lang w:eastAsia="zh-CN"/>
          </w:rPr>
          <w:t>(一)、消防安全</w:t>
        </w:r>
        <w:r>
          <w:tab/>
        </w:r>
        <w:r>
          <w:fldChar w:fldCharType="begin"/>
        </w:r>
        <w:r>
          <w:instrText xml:space="preserve"> PAGEREF _Toc17743 \h </w:instrText>
        </w:r>
        <w:r>
          <w:fldChar w:fldCharType="separate"/>
        </w:r>
        <w:r>
          <w:t>25</w:t>
        </w:r>
        <w:r>
          <w:fldChar w:fldCharType="end"/>
        </w:r>
      </w:hyperlink>
    </w:p>
    <w:p>
      <w:pPr>
        <w:pStyle w:val="TOC2"/>
        <w:tabs>
          <w:tab w:val="right" w:leader="dot" w:pos="8306"/>
        </w:tabs>
      </w:pPr>
      <w:hyperlink w:anchor="_Toc20814" w:history="1">
        <w:r>
          <w:rPr>
            <w:rFonts w:ascii="仿宋" w:eastAsia="仿宋" w:hAnsi="仿宋" w:cs="仿宋" w:hint="eastAsia"/>
            <w:lang w:eastAsia="zh-CN"/>
          </w:rPr>
          <w:t>(二)、防火防爆总图布置措施</w:t>
        </w:r>
        <w:r>
          <w:tab/>
        </w:r>
        <w:r>
          <w:fldChar w:fldCharType="begin"/>
        </w:r>
        <w:r>
          <w:instrText xml:space="preserve"> PAGEREF _Toc20814 \h </w:instrText>
        </w:r>
        <w:r>
          <w:fldChar w:fldCharType="separate"/>
        </w:r>
        <w:r>
          <w:t>26</w:t>
        </w:r>
        <w:r>
          <w:fldChar w:fldCharType="end"/>
        </w:r>
      </w:hyperlink>
    </w:p>
    <w:p>
      <w:pPr>
        <w:pStyle w:val="TOC2"/>
        <w:tabs>
          <w:tab w:val="right" w:leader="dot" w:pos="8306"/>
        </w:tabs>
      </w:pPr>
      <w:hyperlink w:anchor="_Toc2701" w:history="1">
        <w:r>
          <w:rPr>
            <w:rFonts w:ascii="仿宋" w:eastAsia="仿宋" w:hAnsi="仿宋" w:cs="仿宋" w:hint="eastAsia"/>
            <w:lang w:eastAsia="zh-CN"/>
          </w:rPr>
          <w:t>(三)、自然灾害防范措施</w:t>
        </w:r>
        <w:r>
          <w:tab/>
        </w:r>
        <w:r>
          <w:fldChar w:fldCharType="begin"/>
        </w:r>
        <w:r>
          <w:instrText xml:space="preserve"> PAGEREF _Toc2701 \h </w:instrText>
        </w:r>
        <w:r>
          <w:fldChar w:fldCharType="separate"/>
        </w:r>
        <w:r>
          <w:t>27</w:t>
        </w:r>
        <w:r>
          <w:fldChar w:fldCharType="end"/>
        </w:r>
      </w:hyperlink>
    </w:p>
    <w:p>
      <w:pPr>
        <w:pStyle w:val="TOC2"/>
        <w:tabs>
          <w:tab w:val="right" w:leader="dot" w:pos="8306"/>
        </w:tabs>
      </w:pPr>
      <w:hyperlink w:anchor="_Toc9421" w:history="1">
        <w:r>
          <w:rPr>
            <w:rFonts w:ascii="仿宋" w:eastAsia="仿宋" w:hAnsi="仿宋" w:cs="仿宋" w:hint="eastAsia"/>
            <w:lang w:eastAsia="zh-CN"/>
          </w:rPr>
          <w:t>(四)、安全色及安全标志使用要求</w:t>
        </w:r>
        <w:r>
          <w:tab/>
        </w:r>
        <w:r>
          <w:fldChar w:fldCharType="begin"/>
        </w:r>
        <w:r>
          <w:instrText xml:space="preserve"> PAGEREF _Toc9421 \h </w:instrText>
        </w:r>
        <w:r>
          <w:fldChar w:fldCharType="separate"/>
        </w:r>
        <w:r>
          <w:t>28</w:t>
        </w:r>
        <w:r>
          <w:fldChar w:fldCharType="end"/>
        </w:r>
      </w:hyperlink>
    </w:p>
    <w:p>
      <w:pPr>
        <w:pStyle w:val="TOC2"/>
        <w:tabs>
          <w:tab w:val="right" w:leader="dot" w:pos="8306"/>
        </w:tabs>
      </w:pPr>
      <w:hyperlink w:anchor="_Toc11014" w:history="1">
        <w:r>
          <w:rPr>
            <w:rFonts w:ascii="仿宋" w:eastAsia="仿宋" w:hAnsi="仿宋" w:cs="仿宋" w:hint="eastAsia"/>
            <w:lang w:eastAsia="zh-CN"/>
          </w:rPr>
          <w:t>(五)、防尘防毒措施</w:t>
        </w:r>
        <w:r>
          <w:tab/>
        </w:r>
        <w:r>
          <w:fldChar w:fldCharType="begin"/>
        </w:r>
        <w:r>
          <w:instrText xml:space="preserve"> PAGEREF _Toc11014 \h </w:instrText>
        </w:r>
        <w:r>
          <w:fldChar w:fldCharType="separate"/>
        </w:r>
        <w:r>
          <w:t>29</w:t>
        </w:r>
        <w:r>
          <w:fldChar w:fldCharType="end"/>
        </w:r>
      </w:hyperlink>
    </w:p>
    <w:p>
      <w:pPr>
        <w:pStyle w:val="TOC2"/>
        <w:tabs>
          <w:tab w:val="right" w:leader="dot" w:pos="8306"/>
        </w:tabs>
      </w:pPr>
      <w:hyperlink w:anchor="_Toc25759" w:history="1">
        <w:r>
          <w:rPr>
            <w:rFonts w:ascii="仿宋" w:eastAsia="仿宋" w:hAnsi="仿宋" w:cs="仿宋" w:hint="eastAsia"/>
            <w:lang w:eastAsia="zh-CN"/>
          </w:rPr>
          <w:t>(六)、防静电、触电防护及防雷措施</w:t>
        </w:r>
        <w:r>
          <w:tab/>
        </w:r>
        <w:r>
          <w:fldChar w:fldCharType="begin"/>
        </w:r>
        <w:r>
          <w:instrText xml:space="preserve"> PAGEREF _Toc25759 \h </w:instrText>
        </w:r>
        <w:r>
          <w:fldChar w:fldCharType="separate"/>
        </w:r>
        <w:r>
          <w:t>30</w:t>
        </w:r>
        <w:r>
          <w:fldChar w:fldCharType="end"/>
        </w:r>
      </w:hyperlink>
    </w:p>
    <w:p>
      <w:pPr>
        <w:pStyle w:val="TOC2"/>
        <w:tabs>
          <w:tab w:val="right" w:leader="dot" w:pos="8306"/>
        </w:tabs>
      </w:pPr>
      <w:hyperlink w:anchor="_Toc12661" w:history="1">
        <w:r>
          <w:rPr>
            <w:rFonts w:ascii="仿宋" w:eastAsia="仿宋" w:hAnsi="仿宋" w:cs="仿宋" w:hint="eastAsia"/>
            <w:lang w:eastAsia="zh-CN"/>
          </w:rPr>
          <w:t>(七)、机械设备安全保障措施</w:t>
        </w:r>
        <w:r>
          <w:tab/>
        </w:r>
        <w:r>
          <w:fldChar w:fldCharType="begin"/>
        </w:r>
        <w:r>
          <w:instrText xml:space="preserve"> PAGEREF _Toc12661 \h </w:instrText>
        </w:r>
        <w:r>
          <w:fldChar w:fldCharType="separate"/>
        </w:r>
        <w:r>
          <w:t>31</w:t>
        </w:r>
        <w:r>
          <w:fldChar w:fldCharType="end"/>
        </w:r>
      </w:hyperlink>
    </w:p>
    <w:p>
      <w:pPr>
        <w:pStyle w:val="TOC1"/>
        <w:tabs>
          <w:tab w:val="right" w:leader="dot" w:pos="8306"/>
        </w:tabs>
      </w:pPr>
      <w:hyperlink w:anchor="_Toc704" w:history="1">
        <w:r>
          <w:rPr>
            <w:rFonts w:ascii="仿宋" w:eastAsia="仿宋" w:hAnsi="仿宋" w:cs="仿宋" w:hint="eastAsia"/>
            <w:lang w:eastAsia="zh-CN"/>
          </w:rPr>
          <w:t>九、城市轮渡服务项目经营效益</w:t>
        </w:r>
        <w:r>
          <w:tab/>
        </w:r>
        <w:r>
          <w:fldChar w:fldCharType="begin"/>
        </w:r>
        <w:r>
          <w:instrText xml:space="preserve"> PAGEREF _Toc704 \h </w:instrText>
        </w:r>
        <w:r>
          <w:fldChar w:fldCharType="separate"/>
        </w:r>
        <w:r>
          <w:t>33</w:t>
        </w:r>
        <w:r>
          <w:fldChar w:fldCharType="end"/>
        </w:r>
      </w:hyperlink>
    </w:p>
    <w:p>
      <w:pPr>
        <w:pStyle w:val="TOC2"/>
        <w:tabs>
          <w:tab w:val="right" w:leader="dot" w:pos="8306"/>
        </w:tabs>
      </w:pPr>
      <w:hyperlink w:anchor="_Toc14700" w:history="1">
        <w:r>
          <w:rPr>
            <w:rFonts w:ascii="仿宋" w:eastAsia="仿宋" w:hAnsi="仿宋" w:cs="仿宋" w:hint="eastAsia"/>
            <w:lang w:eastAsia="zh-CN"/>
          </w:rPr>
          <w:t>(一)、经济评价财务测算</w:t>
        </w:r>
        <w:r>
          <w:tab/>
        </w:r>
        <w:r>
          <w:fldChar w:fldCharType="begin"/>
        </w:r>
        <w:r>
          <w:instrText xml:space="preserve"> PAGEREF _Toc14700 \h </w:instrText>
        </w:r>
        <w:r>
          <w:fldChar w:fldCharType="separate"/>
        </w:r>
        <w:r>
          <w:t>33</w:t>
        </w:r>
        <w:r>
          <w:fldChar w:fldCharType="end"/>
        </w:r>
      </w:hyperlink>
    </w:p>
    <w:p>
      <w:pPr>
        <w:pStyle w:val="TOC2"/>
        <w:tabs>
          <w:tab w:val="right" w:leader="dot" w:pos="8306"/>
        </w:tabs>
      </w:pPr>
      <w:hyperlink w:anchor="_Toc24560" w:history="1">
        <w:r>
          <w:rPr>
            <w:rFonts w:ascii="仿宋" w:eastAsia="仿宋" w:hAnsi="仿宋" w:cs="仿宋" w:hint="eastAsia"/>
            <w:lang w:eastAsia="zh-CN"/>
          </w:rPr>
          <w:t>(二)、城市轮渡服务项目盈利能力分析</w:t>
        </w:r>
        <w:r>
          <w:tab/>
        </w:r>
        <w:r>
          <w:fldChar w:fldCharType="begin"/>
        </w:r>
        <w:r>
          <w:instrText xml:space="preserve"> PAGEREF _Toc24560 \h </w:instrText>
        </w:r>
        <w:r>
          <w:fldChar w:fldCharType="separate"/>
        </w:r>
        <w:r>
          <w:t>34</w:t>
        </w:r>
        <w:r>
          <w:fldChar w:fldCharType="end"/>
        </w:r>
      </w:hyperlink>
    </w:p>
    <w:p>
      <w:pPr>
        <w:pStyle w:val="TOC1"/>
        <w:tabs>
          <w:tab w:val="right" w:leader="dot" w:pos="8306"/>
        </w:tabs>
      </w:pPr>
      <w:hyperlink w:anchor="_Toc28215" w:history="1">
        <w:r>
          <w:rPr>
            <w:rFonts w:ascii="仿宋" w:eastAsia="仿宋" w:hAnsi="仿宋" w:cs="仿宋" w:hint="eastAsia"/>
            <w:lang w:eastAsia="zh-CN"/>
          </w:rPr>
          <w:t>十、城市轮渡服务项目人力资源管理</w:t>
        </w:r>
        <w:r>
          <w:tab/>
        </w:r>
        <w:r>
          <w:fldChar w:fldCharType="begin"/>
        </w:r>
        <w:r>
          <w:instrText xml:space="preserve"> PAGEREF _Toc28215 \h </w:instrText>
        </w:r>
        <w:r>
          <w:fldChar w:fldCharType="separate"/>
        </w:r>
        <w:r>
          <w:t>35</w:t>
        </w:r>
        <w:r>
          <w:fldChar w:fldCharType="end"/>
        </w:r>
      </w:hyperlink>
    </w:p>
    <w:p>
      <w:pPr>
        <w:pStyle w:val="TOC2"/>
        <w:tabs>
          <w:tab w:val="right" w:leader="dot" w:pos="8306"/>
        </w:tabs>
      </w:pPr>
      <w:hyperlink w:anchor="_Toc22937" w:history="1">
        <w:r>
          <w:rPr>
            <w:rFonts w:ascii="仿宋" w:eastAsia="仿宋" w:hAnsi="仿宋" w:cs="仿宋" w:hint="eastAsia"/>
            <w:lang w:eastAsia="zh-CN"/>
          </w:rPr>
          <w:t>(一)、建立健全的预算管理制度</w:t>
        </w:r>
        <w:r>
          <w:tab/>
        </w:r>
        <w:r>
          <w:fldChar w:fldCharType="begin"/>
        </w:r>
        <w:r>
          <w:instrText xml:space="preserve"> PAGEREF _Toc22937 \h </w:instrText>
        </w:r>
        <w:r>
          <w:fldChar w:fldCharType="separate"/>
        </w:r>
        <w:r>
          <w:t>35</w:t>
        </w:r>
        <w:r>
          <w:fldChar w:fldCharType="end"/>
        </w:r>
      </w:hyperlink>
    </w:p>
    <w:p>
      <w:pPr>
        <w:pStyle w:val="TOC2"/>
        <w:tabs>
          <w:tab w:val="right" w:leader="dot" w:pos="8306"/>
        </w:tabs>
      </w:pPr>
      <w:hyperlink w:anchor="_Toc16831" w:history="1">
        <w:r>
          <w:rPr>
            <w:rFonts w:ascii="仿宋" w:eastAsia="仿宋" w:hAnsi="仿宋" w:cs="仿宋" w:hint="eastAsia"/>
            <w:lang w:eastAsia="zh-CN"/>
          </w:rPr>
          <w:t>(二)、加强资金流动监控</w:t>
        </w:r>
        <w:r>
          <w:tab/>
        </w:r>
        <w:r>
          <w:fldChar w:fldCharType="begin"/>
        </w:r>
        <w:r>
          <w:instrText xml:space="preserve"> PAGEREF _Toc16831 \h </w:instrText>
        </w:r>
        <w:r>
          <w:fldChar w:fldCharType="separate"/>
        </w:r>
        <w:r>
          <w:t>37</w:t>
        </w:r>
        <w:r>
          <w:fldChar w:fldCharType="end"/>
        </w:r>
      </w:hyperlink>
    </w:p>
    <w:p>
      <w:pPr>
        <w:pStyle w:val="TOC2"/>
        <w:tabs>
          <w:tab w:val="right" w:leader="dot" w:pos="8306"/>
        </w:tabs>
      </w:pPr>
      <w:hyperlink w:anchor="_Toc920" w:history="1">
        <w:r>
          <w:rPr>
            <w:rFonts w:ascii="仿宋" w:eastAsia="仿宋" w:hAnsi="仿宋" w:cs="仿宋" w:hint="eastAsia"/>
            <w:lang w:eastAsia="zh-CN"/>
          </w:rPr>
          <w:t>(三)、制定完善的风险控制机制</w:t>
        </w:r>
        <w:r>
          <w:tab/>
        </w:r>
        <w:r>
          <w:fldChar w:fldCharType="begin"/>
        </w:r>
        <w:r>
          <w:instrText xml:space="preserve"> PAGEREF _Toc920 \h </w:instrText>
        </w:r>
        <w:r>
          <w:fldChar w:fldCharType="separate"/>
        </w:r>
        <w:r>
          <w:t>38</w:t>
        </w:r>
        <w:r>
          <w:fldChar w:fldCharType="end"/>
        </w:r>
      </w:hyperlink>
    </w:p>
    <w:p>
      <w:pPr>
        <w:pStyle w:val="TOC2"/>
        <w:tabs>
          <w:tab w:val="right" w:leader="dot" w:pos="8306"/>
        </w:tabs>
      </w:pPr>
      <w:hyperlink w:anchor="_Toc9119" w:history="1">
        <w:r>
          <w:rPr>
            <w:rFonts w:ascii="仿宋" w:eastAsia="仿宋" w:hAnsi="仿宋" w:cs="仿宋" w:hint="eastAsia"/>
            <w:lang w:eastAsia="zh-CN"/>
          </w:rPr>
          <w:t>(四)、优化成本管理</w:t>
        </w:r>
        <w:r>
          <w:tab/>
        </w:r>
        <w:r>
          <w:fldChar w:fldCharType="begin"/>
        </w:r>
        <w:r>
          <w:instrText xml:space="preserve"> PAGEREF _Toc9119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894" w:history="1">
        <w:r>
          <w:rPr>
            <w:rFonts w:ascii="仿宋" w:eastAsia="仿宋" w:hAnsi="仿宋" w:cs="仿宋" w:hint="eastAsia"/>
            <w:lang w:eastAsia="zh-CN"/>
          </w:rPr>
          <w:t>十一、城市轮渡服务项目财务管理</w:t>
        </w:r>
        <w:r>
          <w:tab/>
        </w:r>
        <w:r>
          <w:fldChar w:fldCharType="begin"/>
        </w:r>
        <w:r>
          <w:instrText xml:space="preserve"> PAGEREF _Toc21894 \h </w:instrText>
        </w:r>
        <w:r>
          <w:fldChar w:fldCharType="separate"/>
        </w:r>
        <w:r>
          <w:t>40</w:t>
        </w:r>
        <w:r>
          <w:fldChar w:fldCharType="end"/>
        </w:r>
      </w:hyperlink>
    </w:p>
    <w:p>
      <w:pPr>
        <w:pStyle w:val="TOC2"/>
        <w:tabs>
          <w:tab w:val="right" w:leader="dot" w:pos="8306"/>
        </w:tabs>
      </w:pPr>
      <w:hyperlink w:anchor="_Toc458" w:history="1">
        <w:r>
          <w:rPr>
            <w:rFonts w:ascii="仿宋" w:eastAsia="仿宋" w:hAnsi="仿宋" w:cs="仿宋" w:hint="eastAsia"/>
            <w:lang w:eastAsia="zh-CN"/>
          </w:rPr>
          <w:t>(一)、资金需求大</w:t>
        </w:r>
        <w:r>
          <w:tab/>
        </w:r>
        <w:r>
          <w:fldChar w:fldCharType="begin"/>
        </w:r>
        <w:r>
          <w:instrText xml:space="preserve"> PAGEREF _Toc458 \h </w:instrText>
        </w:r>
        <w:r>
          <w:fldChar w:fldCharType="separate"/>
        </w:r>
        <w:r>
          <w:t>40</w:t>
        </w:r>
        <w:r>
          <w:fldChar w:fldCharType="end"/>
        </w:r>
      </w:hyperlink>
    </w:p>
    <w:p>
      <w:pPr>
        <w:pStyle w:val="TOC2"/>
        <w:tabs>
          <w:tab w:val="right" w:leader="dot" w:pos="8306"/>
        </w:tabs>
      </w:pPr>
      <w:hyperlink w:anchor="_Toc3908" w:history="1">
        <w:r>
          <w:rPr>
            <w:rFonts w:ascii="仿宋" w:eastAsia="仿宋" w:hAnsi="仿宋" w:cs="仿宋" w:hint="eastAsia"/>
            <w:lang w:eastAsia="zh-CN"/>
          </w:rPr>
          <w:t>(二)、研发周期长</w:t>
        </w:r>
        <w:r>
          <w:tab/>
        </w:r>
        <w:r>
          <w:fldChar w:fldCharType="begin"/>
        </w:r>
        <w:r>
          <w:instrText xml:space="preserve"> PAGEREF _Toc3908 \h </w:instrText>
        </w:r>
        <w:r>
          <w:fldChar w:fldCharType="separate"/>
        </w:r>
        <w:r>
          <w:t>42</w:t>
        </w:r>
        <w:r>
          <w:fldChar w:fldCharType="end"/>
        </w:r>
      </w:hyperlink>
    </w:p>
    <w:p>
      <w:pPr>
        <w:pStyle w:val="TOC2"/>
        <w:tabs>
          <w:tab w:val="right" w:leader="dot" w:pos="8306"/>
        </w:tabs>
      </w:pPr>
      <w:hyperlink w:anchor="_Toc26481" w:history="1">
        <w:r>
          <w:rPr>
            <w:rFonts w:ascii="仿宋" w:eastAsia="仿宋" w:hAnsi="仿宋" w:cs="仿宋" w:hint="eastAsia"/>
            <w:lang w:eastAsia="zh-CN"/>
          </w:rPr>
          <w:t>(三)、市场风险大</w:t>
        </w:r>
        <w:r>
          <w:tab/>
        </w:r>
        <w:r>
          <w:fldChar w:fldCharType="begin"/>
        </w:r>
        <w:r>
          <w:instrText xml:space="preserve"> PAGEREF _Toc26481 \h </w:instrText>
        </w:r>
        <w:r>
          <w:fldChar w:fldCharType="separate"/>
        </w:r>
        <w:r>
          <w:t>43</w:t>
        </w:r>
        <w:r>
          <w:fldChar w:fldCharType="end"/>
        </w:r>
      </w:hyperlink>
    </w:p>
    <w:p>
      <w:pPr>
        <w:pStyle w:val="TOC2"/>
        <w:tabs>
          <w:tab w:val="right" w:leader="dot" w:pos="8306"/>
        </w:tabs>
      </w:pPr>
      <w:hyperlink w:anchor="_Toc30412" w:history="1">
        <w:r>
          <w:rPr>
            <w:rFonts w:ascii="仿宋" w:eastAsia="仿宋" w:hAnsi="仿宋" w:cs="仿宋" w:hint="eastAsia"/>
            <w:lang w:eastAsia="zh-CN"/>
          </w:rPr>
          <w:t>(四)、利润率高</w:t>
        </w:r>
        <w:r>
          <w:tab/>
        </w:r>
        <w:r>
          <w:fldChar w:fldCharType="begin"/>
        </w:r>
        <w:r>
          <w:instrText xml:space="preserve"> PAGEREF _Toc30412 \h </w:instrText>
        </w:r>
        <w:r>
          <w:fldChar w:fldCharType="separate"/>
        </w:r>
        <w:r>
          <w:t>45</w:t>
        </w:r>
        <w:r>
          <w:fldChar w:fldCharType="end"/>
        </w:r>
      </w:hyperlink>
    </w:p>
    <w:p>
      <w:pPr>
        <w:pStyle w:val="TOC1"/>
        <w:tabs>
          <w:tab w:val="right" w:leader="dot" w:pos="8306"/>
        </w:tabs>
      </w:pPr>
      <w:hyperlink w:anchor="_Toc29705" w:history="1">
        <w:r>
          <w:rPr>
            <w:rFonts w:ascii="仿宋" w:eastAsia="仿宋" w:hAnsi="仿宋" w:cs="仿宋" w:hint="eastAsia"/>
            <w:lang w:eastAsia="zh-CN"/>
          </w:rPr>
          <w:t>十二、城市轮渡服务项目投资规划</w:t>
        </w:r>
        <w:r>
          <w:tab/>
        </w:r>
        <w:r>
          <w:fldChar w:fldCharType="begin"/>
        </w:r>
        <w:r>
          <w:instrText xml:space="preserve"> PAGEREF _Toc29705 \h </w:instrText>
        </w:r>
        <w:r>
          <w:fldChar w:fldCharType="separate"/>
        </w:r>
        <w:r>
          <w:t>48</w:t>
        </w:r>
        <w:r>
          <w:fldChar w:fldCharType="end"/>
        </w:r>
      </w:hyperlink>
    </w:p>
    <w:p>
      <w:pPr>
        <w:pStyle w:val="TOC2"/>
        <w:tabs>
          <w:tab w:val="right" w:leader="dot" w:pos="8306"/>
        </w:tabs>
      </w:pPr>
      <w:hyperlink w:anchor="_Toc24978" w:history="1">
        <w:r>
          <w:rPr>
            <w:rFonts w:ascii="仿宋" w:eastAsia="仿宋" w:hAnsi="仿宋" w:cs="仿宋" w:hint="eastAsia"/>
            <w:lang w:eastAsia="zh-CN"/>
          </w:rPr>
          <w:t>(一)、城市轮渡服务项目总投资估算</w:t>
        </w:r>
        <w:r>
          <w:tab/>
        </w:r>
        <w:r>
          <w:fldChar w:fldCharType="begin"/>
        </w:r>
        <w:r>
          <w:instrText xml:space="preserve"> PAGEREF _Toc24978 \h </w:instrText>
        </w:r>
        <w:r>
          <w:fldChar w:fldCharType="separate"/>
        </w:r>
        <w:r>
          <w:t>48</w:t>
        </w:r>
        <w:r>
          <w:fldChar w:fldCharType="end"/>
        </w:r>
      </w:hyperlink>
    </w:p>
    <w:p>
      <w:pPr>
        <w:pStyle w:val="TOC2"/>
        <w:tabs>
          <w:tab w:val="right" w:leader="dot" w:pos="8306"/>
        </w:tabs>
      </w:pPr>
      <w:hyperlink w:anchor="_Toc29609" w:history="1">
        <w:r>
          <w:rPr>
            <w:rFonts w:ascii="仿宋" w:eastAsia="仿宋" w:hAnsi="仿宋" w:cs="仿宋" w:hint="eastAsia"/>
            <w:lang w:eastAsia="zh-CN"/>
          </w:rPr>
          <w:t>(二)、资金筹措</w:t>
        </w:r>
        <w:r>
          <w:tab/>
        </w:r>
        <w:r>
          <w:fldChar w:fldCharType="begin"/>
        </w:r>
        <w:r>
          <w:instrText xml:space="preserve"> PAGEREF _Toc29609 \h </w:instrText>
        </w:r>
        <w:r>
          <w:fldChar w:fldCharType="separate"/>
        </w:r>
        <w:r>
          <w:t>49</w:t>
        </w:r>
        <w:r>
          <w:fldChar w:fldCharType="end"/>
        </w:r>
      </w:hyperlink>
    </w:p>
    <w:p>
      <w:pPr>
        <w:pStyle w:val="TOC1"/>
        <w:tabs>
          <w:tab w:val="right" w:leader="dot" w:pos="8306"/>
        </w:tabs>
      </w:pPr>
      <w:hyperlink w:anchor="_Toc19969" w:history="1">
        <w:r>
          <w:rPr>
            <w:rFonts w:ascii="仿宋" w:eastAsia="仿宋" w:hAnsi="仿宋" w:cs="仿宋" w:hint="eastAsia"/>
            <w:lang w:eastAsia="zh-CN"/>
          </w:rPr>
          <w:t>十三、城市轮渡服务项目工程方案分析</w:t>
        </w:r>
        <w:r>
          <w:tab/>
        </w:r>
        <w:r>
          <w:fldChar w:fldCharType="begin"/>
        </w:r>
        <w:r>
          <w:instrText xml:space="preserve"> PAGEREF _Toc19969 \h </w:instrText>
        </w:r>
        <w:r>
          <w:fldChar w:fldCharType="separate"/>
        </w:r>
        <w:r>
          <w:t>50</w:t>
        </w:r>
        <w:r>
          <w:fldChar w:fldCharType="end"/>
        </w:r>
      </w:hyperlink>
    </w:p>
    <w:p>
      <w:pPr>
        <w:pStyle w:val="TOC2"/>
        <w:tabs>
          <w:tab w:val="right" w:leader="dot" w:pos="8306"/>
        </w:tabs>
      </w:pPr>
      <w:hyperlink w:anchor="_Toc27406" w:history="1">
        <w:r>
          <w:rPr>
            <w:rFonts w:ascii="仿宋" w:eastAsia="仿宋" w:hAnsi="仿宋" w:cs="仿宋" w:hint="eastAsia"/>
            <w:lang w:eastAsia="zh-CN"/>
          </w:rPr>
          <w:t>(一)、建筑工程设计原则</w:t>
        </w:r>
        <w:r>
          <w:tab/>
        </w:r>
        <w:r>
          <w:fldChar w:fldCharType="begin"/>
        </w:r>
        <w:r>
          <w:instrText xml:space="preserve"> PAGEREF _Toc27406 \h </w:instrText>
        </w:r>
        <w:r>
          <w:fldChar w:fldCharType="separate"/>
        </w:r>
        <w:r>
          <w:t>50</w:t>
        </w:r>
        <w:r>
          <w:fldChar w:fldCharType="end"/>
        </w:r>
      </w:hyperlink>
    </w:p>
    <w:p>
      <w:pPr>
        <w:pStyle w:val="TOC2"/>
        <w:tabs>
          <w:tab w:val="right" w:leader="dot" w:pos="8306"/>
        </w:tabs>
      </w:pPr>
      <w:hyperlink w:anchor="_Toc13787" w:history="1">
        <w:r>
          <w:rPr>
            <w:rFonts w:ascii="仿宋" w:eastAsia="仿宋" w:hAnsi="仿宋" w:cs="仿宋" w:hint="eastAsia"/>
            <w:lang w:eastAsia="zh-CN"/>
          </w:rPr>
          <w:t>(二)、土建工程建设指标</w:t>
        </w:r>
        <w:r>
          <w:tab/>
        </w:r>
        <w:r>
          <w:fldChar w:fldCharType="begin"/>
        </w:r>
        <w:r>
          <w:instrText xml:space="preserve"> PAGEREF _Toc13787 \h </w:instrText>
        </w:r>
        <w:r>
          <w:fldChar w:fldCharType="separate"/>
        </w:r>
        <w:r>
          <w:t>53</w:t>
        </w:r>
        <w:r>
          <w:fldChar w:fldCharType="end"/>
        </w:r>
      </w:hyperlink>
    </w:p>
    <w:p>
      <w:pPr>
        <w:pStyle w:val="TOC1"/>
        <w:tabs>
          <w:tab w:val="right" w:leader="dot" w:pos="8306"/>
        </w:tabs>
      </w:pPr>
      <w:hyperlink w:anchor="_Toc15623" w:history="1">
        <w:r>
          <w:rPr>
            <w:rFonts w:ascii="仿宋" w:eastAsia="仿宋" w:hAnsi="仿宋" w:cs="仿宋" w:hint="eastAsia"/>
            <w:lang w:eastAsia="zh-CN"/>
          </w:rPr>
          <w:t>十四、城市轮渡服务项目治理与监督</w:t>
        </w:r>
        <w:r>
          <w:tab/>
        </w:r>
        <w:r>
          <w:fldChar w:fldCharType="begin"/>
        </w:r>
        <w:r>
          <w:instrText xml:space="preserve"> PAGEREF _Toc15623 \h </w:instrText>
        </w:r>
        <w:r>
          <w:fldChar w:fldCharType="separate"/>
        </w:r>
        <w:r>
          <w:t>55</w:t>
        </w:r>
        <w:r>
          <w:fldChar w:fldCharType="end"/>
        </w:r>
      </w:hyperlink>
    </w:p>
    <w:p>
      <w:pPr>
        <w:pStyle w:val="TOC2"/>
        <w:tabs>
          <w:tab w:val="right" w:leader="dot" w:pos="8306"/>
        </w:tabs>
      </w:pPr>
      <w:hyperlink w:anchor="_Toc18555" w:history="1">
        <w:r>
          <w:rPr>
            <w:rFonts w:ascii="仿宋" w:eastAsia="仿宋" w:hAnsi="仿宋" w:cs="仿宋" w:hint="eastAsia"/>
            <w:lang w:eastAsia="zh-CN"/>
          </w:rPr>
          <w:t>(一)、城市轮渡服务项目治理结构</w:t>
        </w:r>
        <w:r>
          <w:tab/>
        </w:r>
        <w:r>
          <w:fldChar w:fldCharType="begin"/>
        </w:r>
        <w:r>
          <w:instrText xml:space="preserve"> PAGEREF _Toc18555 \h </w:instrText>
        </w:r>
        <w:r>
          <w:fldChar w:fldCharType="separate"/>
        </w:r>
        <w:r>
          <w:t>55</w:t>
        </w:r>
        <w:r>
          <w:fldChar w:fldCharType="end"/>
        </w:r>
      </w:hyperlink>
    </w:p>
    <w:p>
      <w:pPr>
        <w:pStyle w:val="TOC2"/>
        <w:tabs>
          <w:tab w:val="right" w:leader="dot" w:pos="8306"/>
        </w:tabs>
      </w:pPr>
      <w:hyperlink w:anchor="_Toc31779" w:history="1">
        <w:r>
          <w:rPr>
            <w:rFonts w:ascii="仿宋" w:eastAsia="仿宋" w:hAnsi="仿宋" w:cs="仿宋" w:hint="eastAsia"/>
            <w:lang w:eastAsia="zh-CN"/>
          </w:rPr>
          <w:t>(二)、监督与审计</w:t>
        </w:r>
        <w:r>
          <w:tab/>
        </w:r>
        <w:r>
          <w:fldChar w:fldCharType="begin"/>
        </w:r>
        <w:r>
          <w:instrText xml:space="preserve"> PAGEREF _Toc31779 \h </w:instrText>
        </w:r>
        <w:r>
          <w:fldChar w:fldCharType="separate"/>
        </w:r>
        <w:r>
          <w:t>56</w:t>
        </w:r>
        <w:r>
          <w:fldChar w:fldCharType="end"/>
        </w:r>
      </w:hyperlink>
    </w:p>
    <w:p>
      <w:pPr>
        <w:pStyle w:val="TOC1"/>
        <w:tabs>
          <w:tab w:val="right" w:leader="dot" w:pos="8306"/>
        </w:tabs>
      </w:pPr>
      <w:hyperlink w:anchor="_Toc29775" w:history="1">
        <w:r>
          <w:rPr>
            <w:rFonts w:ascii="仿宋" w:eastAsia="仿宋" w:hAnsi="仿宋" w:cs="仿宋" w:hint="eastAsia"/>
            <w:lang w:eastAsia="zh-CN"/>
          </w:rPr>
          <w:t>十五、风险识别与分类</w:t>
        </w:r>
        <w:r>
          <w:tab/>
        </w:r>
        <w:r>
          <w:fldChar w:fldCharType="begin"/>
        </w:r>
        <w:r>
          <w:instrText xml:space="preserve"> PAGEREF _Toc29775 \h </w:instrText>
        </w:r>
        <w:r>
          <w:fldChar w:fldCharType="separate"/>
        </w:r>
        <w:r>
          <w:t>58</w:t>
        </w:r>
        <w:r>
          <w:fldChar w:fldCharType="end"/>
        </w:r>
      </w:hyperlink>
    </w:p>
    <w:p>
      <w:pPr>
        <w:pStyle w:val="TOC2"/>
        <w:tabs>
          <w:tab w:val="right" w:leader="dot" w:pos="8306"/>
        </w:tabs>
      </w:pPr>
      <w:hyperlink w:anchor="_Toc21195" w:history="1">
        <w:r>
          <w:rPr>
            <w:rFonts w:ascii="仿宋" w:eastAsia="仿宋" w:hAnsi="仿宋" w:cs="仿宋" w:hint="eastAsia"/>
            <w:lang w:eastAsia="zh-CN"/>
          </w:rPr>
          <w:t>(一)、风险识别</w:t>
        </w:r>
        <w:r>
          <w:tab/>
        </w:r>
        <w:r>
          <w:fldChar w:fldCharType="begin"/>
        </w:r>
        <w:r>
          <w:instrText xml:space="preserve"> PAGEREF _Toc21195 \h </w:instrText>
        </w:r>
        <w:r>
          <w:fldChar w:fldCharType="separate"/>
        </w:r>
        <w:r>
          <w:t>58</w:t>
        </w:r>
        <w:r>
          <w:fldChar w:fldCharType="end"/>
        </w:r>
      </w:hyperlink>
    </w:p>
    <w:p>
      <w:pPr>
        <w:pStyle w:val="TOC2"/>
        <w:tabs>
          <w:tab w:val="right" w:leader="dot" w:pos="8306"/>
        </w:tabs>
      </w:pPr>
      <w:hyperlink w:anchor="_Toc8456" w:history="1">
        <w:r>
          <w:rPr>
            <w:rFonts w:ascii="仿宋" w:eastAsia="仿宋" w:hAnsi="仿宋" w:cs="仿宋" w:hint="eastAsia"/>
            <w:lang w:eastAsia="zh-CN"/>
          </w:rPr>
          <w:t>(二)、风险分类</w:t>
        </w:r>
        <w:r>
          <w:tab/>
        </w:r>
        <w:r>
          <w:fldChar w:fldCharType="begin"/>
        </w:r>
        <w:r>
          <w:instrText xml:space="preserve"> PAGEREF _Toc8456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4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881"/>
      <w:r>
        <w:rPr>
          <w:rFonts w:ascii="仿宋" w:eastAsia="仿宋" w:hAnsi="仿宋" w:cs="仿宋" w:hint="eastAsia"/>
          <w:sz w:val="28"/>
          <w:lang w:eastAsia="zh-CN"/>
        </w:rPr>
        <w:t>一、城市轮渡服务项目绩效评估</w:t>
      </w:r>
      <w:bookmarkEnd w:id="2"/>
    </w:p>
    <w:p>
      <w:pPr>
        <w:pStyle w:val="Heading2"/>
        <w:rPr>
          <w:rFonts w:ascii="仿宋" w:eastAsia="仿宋" w:hAnsi="仿宋" w:cs="仿宋" w:hint="eastAsia"/>
          <w:lang w:eastAsia="zh-CN"/>
        </w:rPr>
      </w:pPr>
      <w:bookmarkStart w:id="3" w:name="_Toc1112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城市轮渡服务项目中，我们设计了一套全面的绩效评估指标，以确保城市轮渡服务项目的可控和成功交付。这些指标跨足城市轮渡服务项目目标、成本、进度和质量等多个维度，为我们提供了全面洞察城市轮渡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城市轮渡服务项目目标达成率是我们关注的首要指标。我们设定了明确的目标，并通过定期监测和评估，迅速发现并应对潜在的目标偏差。这为城市轮渡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成本绩效是另一个核心关注点。通过实际成本与预算成本的对比分析，我们深入了解成本差异的原因，及时调整资源分配，保持城市轮渡服务项目在经济效益方面的合理水平。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城市轮渡服务项目进度作为关键的绩效指标之一，得到了精心的关注。我们制定了详细的城市轮渡服务项目进度计划，并设立了进度符合度指标，确保实际进度与计划进度保持一致。这使我们能够快速发现和解决潜在的进度问题，保持城市轮渡服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城市轮渡服务项目绩效的不可或缺的一环。我们引入了一系列的质量标准和客户满意度指标，以确保城市轮渡服务项目交付的成果在质量上达到或超越预期水平。通过持续监测这些指标，我们努力提升城市轮渡服务项目整体质量水平，为城市轮渡服务项目的成功交付提供有力保障。通过这些科学且全面的绩效评估，我们能够更好地引导城市轮渡服务项目的持续改进，确保城市轮渡服务项目目标的顺利达成。</w:t>
      </w:r>
    </w:p>
    <w:p>
      <w:pPr>
        <w:pStyle w:val="Heading2"/>
        <w:ind w:firstLine="560" w:firstLineChars="200"/>
        <w:rPr>
          <w:rFonts w:ascii="仿宋" w:eastAsia="仿宋" w:hAnsi="仿宋" w:cs="仿宋" w:hint="eastAsia"/>
          <w:sz w:val="28"/>
          <w:lang w:eastAsia="zh-CN"/>
        </w:rPr>
      </w:pPr>
      <w:bookmarkStart w:id="4" w:name="_Toc2499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绩效评估是城市轮渡服务项目中的关键环节，为确保城市轮渡服务项目达到预期目标，我们采用了多层次、多维度的绩效评估方法。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城市轮渡服务项目的战略目标对齐，确保每个决策和行动都与城市轮渡服务项目整体目标保持一致。团队会定期召开战略对齐会议，审视当前工作与城市轮渡服务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城市轮渡服务项目进度、质量、成本和风险等方面。这些指标通过数据收集和分析，为城市轮渡服务项目管理团队提供了客观的评估依据。例如，我们通过城市轮渡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绩效评估不仅仅停留在城市轮渡服务项目内部，还考虑了城市轮渡服务项目对外部环境的影响。我们定期进行干系人满意度调查，以了解各利益相关方对城市轮渡服务项目的期望和满意度，并及时做出调整。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这种多层次、多角度的绩效评估方法，使得我们能够全面了解城市轮渡服务项目的运行状态，及时做出调整，确保城市轮渡服务项目在不断变化的环境中保持稳健前行。</w:t>
      </w:r>
    </w:p>
    <w:p>
      <w:pPr>
        <w:pStyle w:val="Heading2"/>
        <w:ind w:firstLine="560" w:firstLineChars="200"/>
        <w:rPr>
          <w:rFonts w:ascii="仿宋" w:eastAsia="仿宋" w:hAnsi="仿宋" w:cs="仿宋" w:hint="eastAsia"/>
          <w:sz w:val="28"/>
          <w:lang w:eastAsia="zh-CN"/>
        </w:rPr>
      </w:pPr>
      <w:bookmarkStart w:id="5" w:name="_Toc3268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为了确保城市轮渡服务项目的有效管理和不断优化，我们采用了精心设计的绩效评估周期。这个周期旨在实现灵活、实时和全面的评估，以适应城市轮渡服务项目执行中的各种挑战。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城市轮渡服务项目的不同需求，分为短期、中期和长期。短期评估关注每个迭代或工作周期，以及时发现和解决当前任务中的问题。中期评估涵盖几个迭代，深入了解整体城市轮渡服务项目的趋势和性能。长期评估则着眼于整个城市轮渡服务项目阶段，确保城市轮渡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城市轮渡服务项目管理工具和协作平台，团队成员能够随时更新和分享城市轮渡服务项目数据。这种实时性的反馈机制使我们能够及时察觉潜在问题，快速调整，保持城市轮渡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城市轮渡服务项目的决策制定密不可分。每个周期的城市轮渡服务项目回顾会议成为集体总结经验、识别问题深层次原因并找到创新解决方案的平台。这种定期的反思与调整机制使城市轮渡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937"/>
      <w:r>
        <w:rPr>
          <w:rFonts w:ascii="仿宋" w:eastAsia="仿宋" w:hAnsi="仿宋" w:cs="仿宋" w:hint="eastAsia"/>
          <w:sz w:val="28"/>
          <w:lang w:eastAsia="zh-CN"/>
        </w:rPr>
        <w:t>二、城市轮渡服务项目文档管理</w:t>
      </w:r>
      <w:bookmarkEnd w:id="6"/>
    </w:p>
    <w:p>
      <w:pPr>
        <w:pStyle w:val="Heading2"/>
        <w:rPr>
          <w:rFonts w:ascii="仿宋" w:eastAsia="仿宋" w:hAnsi="仿宋" w:cs="仿宋" w:hint="eastAsia"/>
          <w:lang w:eastAsia="zh-CN"/>
        </w:rPr>
      </w:pPr>
      <w:bookmarkStart w:id="7" w:name="_Toc7924"/>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城市轮渡服务项目高度重视文档的质量和准确性，以支持城市轮渡服务项目的各项活动和决策。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城市轮渡服务项目文档的编制始于城市轮渡服务项目计划的初期，我们制定了详细的文档编制计划，明确了每个文档的内容、格式和编写责任人。在城市轮渡服务项目启动阶段，我们首先编制了城市轮渡服务项目章程，明确定义了城市轮渡服务项目的目标、范围、风险等关键要素。随后，城市轮渡服务项目团队根据计划陆续编制了需求文档、设计文档、测试文档等各类文档，确保城市轮渡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城市轮渡服务项目管理中的重要环节，旨在确保城市轮渡服务项目文档符合质量标准和城市轮渡服务项目需求。在城市轮渡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城市轮渡服务项目相关利益方和专业领域的专家对文档进行独立审查。这有助于获取更全面、客观的反馈，确保城市轮渡服务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城市轮渡服务项目在文档编制与审查方面建立了严格的管理机制，通过规范的流程和多维度的审查，确保城市轮渡服务项目文档的质量、准确性和可靠性，为城市轮渡服务项目的顺利推进提供了有力支持。</w:t>
      </w:r>
    </w:p>
    <w:p>
      <w:pPr>
        <w:pStyle w:val="Heading2"/>
        <w:ind w:firstLine="560" w:firstLineChars="200"/>
        <w:rPr>
          <w:rFonts w:ascii="仿宋" w:eastAsia="仿宋" w:hAnsi="仿宋" w:cs="仿宋" w:hint="eastAsia"/>
          <w:sz w:val="28"/>
          <w:lang w:eastAsia="zh-CN"/>
        </w:rPr>
      </w:pPr>
      <w:bookmarkStart w:id="8" w:name="_Toc3232"/>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在城市轮渡服务项目中，我们致力于优化文档发布与分发过程，以确保信息的高效传递和团队间协作的顺畅进行。以下是我们采取的关键优化策略：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我们通过多渠道发布文档，包括电子邮件、城市轮渡服务项目管理平台、内部网站等，以满足不同团队成员的偏好和需求。多渠道发布确保了信息的全面覆盖。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我们采用了精细的权限控制，确保只有授权人员可以访问敏感信息。这种安全措施保护了城市轮渡服务项目文档的机密性，防止了未经授权的信息泄露。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9359"/>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城市轮渡服务项目生命周期中一个至关重要的环节，直接关系到城市轮渡服务项目信息的长期保存和历史记录的完整性。在城市轮渡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1177"/>
      <w:r>
        <w:rPr>
          <w:rFonts w:ascii="仿宋" w:eastAsia="仿宋" w:hAnsi="仿宋" w:cs="仿宋" w:hint="eastAsia"/>
          <w:sz w:val="28"/>
          <w:lang w:eastAsia="zh-CN"/>
        </w:rPr>
        <w:t>三、城市轮渡服务项目建设单位说明</w:t>
      </w:r>
      <w:bookmarkEnd w:id="10"/>
    </w:p>
    <w:p>
      <w:pPr>
        <w:pStyle w:val="Heading2"/>
        <w:rPr>
          <w:rFonts w:ascii="仿宋" w:eastAsia="仿宋" w:hAnsi="仿宋" w:cs="仿宋" w:hint="eastAsia"/>
          <w:lang w:eastAsia="zh-CN"/>
        </w:rPr>
      </w:pPr>
      <w:bookmarkStart w:id="11" w:name="_Toc19686"/>
      <w:r>
        <w:rPr>
          <w:rFonts w:ascii="仿宋" w:eastAsia="仿宋" w:hAnsi="仿宋" w:cs="仿宋" w:hint="eastAsia"/>
          <w:lang w:eastAsia="zh-CN"/>
        </w:rPr>
        <w:t>(一)、城市轮渡服务项目承办单位基本情况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23279"/>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城市轮渡服务项目承办单位的XXXX，我们着眼于实现可持续的经济效益。通过技术创新和解决方案的提供，公司预计在城市轮渡服务项目执行期间将获得可观的收入增长。这一收入来源主要包括城市轮渡服务项目交付、技术服务和解决方案的销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同时，我们注重成本控制和效率提升，以确保城市轮渡服务项目的可持续盈利。透过精细的管理和资源优化，公司期望实现城市轮渡服务项目利润最大化。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城市轮渡服务项目实施进行全面的投资评估，包括城市轮渡服务项目启动阶段的资金投入和后续运营成本。通过对城市轮渡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城市轮渡服务项目实施过程中具备足够的资金流动性，公司将进行详尽的现金流分析。这包括资金需求的合理预测、城市轮渡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23410"/>
      <w:r>
        <w:rPr>
          <w:rFonts w:ascii="仿宋" w:eastAsia="仿宋" w:hAnsi="仿宋" w:cs="仿宋" w:hint="eastAsia"/>
          <w:sz w:val="28"/>
          <w:lang w:eastAsia="zh-CN"/>
        </w:rPr>
        <w:t>四、城市轮渡服务项目建设背景及必要性分析</w:t>
      </w:r>
      <w:bookmarkEnd w:id="13"/>
    </w:p>
    <w:p>
      <w:pPr>
        <w:pStyle w:val="Heading2"/>
        <w:rPr>
          <w:rFonts w:ascii="仿宋" w:eastAsia="仿宋" w:hAnsi="仿宋" w:cs="仿宋" w:hint="eastAsia"/>
          <w:lang w:eastAsia="zh-CN"/>
        </w:rPr>
      </w:pPr>
      <w:bookmarkStart w:id="14" w:name="_Toc31685"/>
      <w:r>
        <w:rPr>
          <w:rFonts w:ascii="仿宋" w:eastAsia="仿宋" w:hAnsi="仿宋" w:cs="仿宋" w:hint="eastAsia"/>
          <w:lang w:eastAsia="zh-CN"/>
        </w:rPr>
        <w:t>(一)、城市轮渡服务项目背景分析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城市轮渡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城市轮渡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城市轮渡服务项目在这个潮流中的定位。同时，我们将关注行业内涌现的新兴机遇，以便城市轮渡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城市轮渡服务项目提供了强大的发展动力。我们将聚焦于行业内最新的技术发展趋势，包括但不限于人工智能、大数据分析、物联网等领域。通过深度的技术研究，我们将确保城市轮渡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城市轮渡服务项目发展的源泉。我们将投入更多的精力对市场需求进行深入剖析，超越表面的需求，深入挖掘潜在的市场痛点和机遇。通过对市场需求的细致了解，城市轮渡服务项目将更有针对性地设计解决方案，满足市场的多样化需求，从而更好地促进城市轮渡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城市轮渡服务项目战略至关重要。我们将对竞争态势进行更为深入的分析，包括但不限于市场份额、产品特点、客户满意度等多个维度。通过深度的竞争分析，城市轮渡服务项目将能够更准确地把握市场脉搏，制定具有竞争力的城市轮渡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城市轮渡服务项目的发展具有直接的影响。我们将进行更为全面的法规和政策分析，了解行业发展中的潜在法律风险和合规挑战。通过充分了解和遵守相关法规，城市轮渡服务项目将确保在法律框架内合法合规运营，为城市轮渡服务项目的稳健发展提供有力支持。</w:t>
      </w:r>
    </w:p>
    <w:p>
      <w:pPr>
        <w:pStyle w:val="Heading2"/>
        <w:ind w:firstLine="560" w:firstLineChars="200"/>
        <w:rPr>
          <w:rFonts w:ascii="仿宋" w:eastAsia="仿宋" w:hAnsi="仿宋" w:cs="仿宋" w:hint="eastAsia"/>
          <w:sz w:val="28"/>
          <w:lang w:eastAsia="zh-CN"/>
        </w:rPr>
      </w:pPr>
      <w:bookmarkStart w:id="15" w:name="_Toc4142"/>
      <w:r>
        <w:rPr>
          <w:rFonts w:ascii="仿宋" w:eastAsia="仿宋" w:hAnsi="仿宋" w:cs="仿宋" w:hint="eastAsia"/>
          <w:sz w:val="28"/>
          <w:lang w:eastAsia="zh-CN"/>
        </w:rPr>
        <w:t>(二)、城市轮渡服务项目建设必要性分析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城市轮渡服务项目建设的迫切性源于对行业发展趋势的深刻洞察。我们正处于一个行业变革的时代，科技创新、数字化转型成为企业发展的关键动力。城市轮渡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城市轮渡服务项目建设不仅仅是为了跟上潮流，更是为了通过技术创新推动企业的持续发展。通过引入先进的技术和解决方案，城市轮渡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城市轮渡服务项目的建设成为必然选择，通过提高产品质量、拓展服务领域，从而在竞争中获得更多的机会。城市轮渡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城市轮渡服务项目建设的必要性体现在对客户需求更精准的满足。通过城市轮渡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城市轮渡服务项目建设的背后是对企业持续创新的追求。只有通过不断创新，企业才能在竞争中立于不败之地。城市轮渡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8700"/>
      <w:r>
        <w:rPr>
          <w:rFonts w:ascii="仿宋" w:eastAsia="仿宋" w:hAnsi="仿宋" w:cs="仿宋" w:hint="eastAsia"/>
          <w:sz w:val="28"/>
          <w:lang w:eastAsia="zh-CN"/>
        </w:rPr>
        <w:t>五、城市轮渡服务项目可持续发展</w:t>
      </w:r>
      <w:bookmarkEnd w:id="16"/>
    </w:p>
    <w:p>
      <w:pPr>
        <w:pStyle w:val="Heading2"/>
        <w:rPr>
          <w:rFonts w:ascii="仿宋" w:eastAsia="仿宋" w:hAnsi="仿宋" w:cs="仿宋" w:hint="eastAsia"/>
          <w:lang w:eastAsia="zh-CN"/>
        </w:rPr>
      </w:pPr>
      <w:bookmarkStart w:id="17" w:name="_Toc12771"/>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城市轮渡服务项目中，城市轮渡服务项目团队着眼于未来，明确了可持续发展的战略方向。制定的具体可持续发展目标包括降低资源使用、采用环保技术、最大化社会效益等。这一步骤不仅有助于城市轮渡服务项目在环保和社会责任方面达到最高标准，也为未来提供了明确的指引，确保城市轮渡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可持续实践的融入城市轮渡服务项目管理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城市轮渡服务项目管理周期。从城市轮渡服务项目规划开始，城市轮渡服务项目团队就考虑了环境和社会的因素。在执行阶段，城市轮渡服务项目团队积极推动绿色技术的应用，优化资源利用。此外，关注员工的社会责任，通过培训和沟通活动提高员工对可持续发展的认知，使他们能够在日常工作中践行可持续实践。这些举措不仅为城市轮渡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23271"/>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扎根于城市轮渡服务项目的可持续发展理念，我们深信环保与社会责任是城市轮渡服务项目成功的关键支柱。在城市轮渡服务项目的每一步，我们都致力于通过创新和实践，履行对环境和社会的坚定责任。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城市轮渡服务项目团队通过引入先进的环保技术、建立高效的废物处理系统以及推动能源节约措施，积极履行环保责任。定期的环保监测和评估确保城市轮渡服务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城市轮渡服务项目不仅致力于自身可持续发展，还注重对社会的回馈。通过支持社区城市轮渡服务项目、参与慈善事业、提供培训机会等方式，城市轮渡服务项目积极履行社会责任。与当地社区建立积极互动，关注员工的工作与生活平衡，以及员工的身心健康，是城市轮渡服务项目在社会责任层面的关键举措。这样的实践不仅增强了城市轮渡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7073"/>
      <w:r>
        <w:rPr>
          <w:rFonts w:ascii="仿宋" w:eastAsia="仿宋" w:hAnsi="仿宋" w:cs="仿宋" w:hint="eastAsia"/>
          <w:sz w:val="28"/>
          <w:lang w:eastAsia="zh-CN"/>
        </w:rPr>
        <w:t>六、城市轮渡服务项目危机管理</w:t>
      </w:r>
      <w:bookmarkEnd w:id="19"/>
    </w:p>
    <w:p>
      <w:pPr>
        <w:pStyle w:val="Heading2"/>
        <w:rPr>
          <w:rFonts w:ascii="仿宋" w:eastAsia="仿宋" w:hAnsi="仿宋" w:cs="仿宋" w:hint="eastAsia"/>
          <w:lang w:eastAsia="zh-CN"/>
        </w:rPr>
      </w:pPr>
      <w:bookmarkStart w:id="20" w:name="_Toc5200"/>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城市轮渡服务项目危机管理中，危机预警与识别是确保城市轮渡服务项目稳健运行的核心步骤。通过建立全面的监测机制，城市轮渡服务项目团队旨在及时发现和理解潜在的风险和危机因素，以便采取及时的预防和应对措施，确保城市轮渡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首先，通过深入的风险评估，城市轮渡服务项目团队全面分析了整个城市轮渡服务项目和各个阶段可能存在的威胁。这包括准确评估每个潜在风险的发生概率和可能影响的程度，为后续危机预警提供了有力支持。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https://d.book118.com/735140121243011123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城市轮渡服务项目规划设计方案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280520"/>
    <w:rsid w:val="7D2805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514012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2024-03-02T22:24:00Z</dcterms:created>
  <dcterms:modified xsi:type="dcterms:W3CDTF">2024-03-02T22:24:50Z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0DA08E1C010D4DD79E5B52C1F414332A_11</vt:lpwstr>
  </property>
  <property fmtid="{D5CDD505-2E9C-101B-9397-08002B2CF9AE}" pid="3" name="KSOProductBuildVer">
    <vt:lpwstr>2052-12.1.0.16388</vt:lpwstr>
  </property>
</Properties>
</file>