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9"/>
        <w:rPr>
          <w:rFonts w:ascii="宋体" w:eastAsia="宋体" w:hAnsi="宋体" w:cs="宋体" w:hint="eastAsia"/>
          <w:b/>
          <w:bCs w:val="0"/>
          <w:spacing w:val="0"/>
          <w:position w:val="0"/>
          <w:sz w:val="28"/>
          <w:szCs w:val="28"/>
        </w:rPr>
      </w:pPr>
      <w:r>
        <w:rPr>
          <w:rFonts w:ascii="宋体" w:eastAsia="宋体" w:hAnsi="宋体" w:cs="宋体" w:hint="eastAsia"/>
          <w:b/>
          <w:bCs w:val="0"/>
          <w:spacing w:val="0"/>
          <w:position w:val="0"/>
          <w:sz w:val="28"/>
          <w:szCs w:val="28"/>
          <w:lang w:val="en-US" w:eastAsia="zh-CN"/>
        </w:rPr>
        <w:t>食品配货、分货、送货、协调、保障及沟通</w:t>
      </w:r>
      <w:r>
        <w:rPr>
          <w:rFonts w:ascii="宋体" w:eastAsia="宋体" w:hAnsi="宋体" w:cs="宋体" w:hint="eastAsia"/>
          <w:b/>
          <w:bCs w:val="0"/>
          <w:spacing w:val="0"/>
          <w:position w:val="0"/>
          <w:sz w:val="28"/>
          <w:szCs w:val="28"/>
        </w:rPr>
        <w:t>方案</w:t>
      </w:r>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9"/>
        <w:rPr>
          <w:rFonts w:ascii="宋体" w:eastAsia="宋体" w:hAnsi="宋体" w:cs="宋体" w:hint="eastAsia"/>
          <w:b/>
          <w:bCs w:val="0"/>
          <w:spacing w:val="0"/>
          <w:position w:val="0"/>
          <w:sz w:val="28"/>
          <w:szCs w:val="28"/>
          <w:lang w:eastAsia="zh-CN"/>
        </w:rPr>
      </w:pPr>
      <w:r>
        <w:rPr>
          <w:rFonts w:ascii="宋体" w:eastAsia="宋体" w:hAnsi="宋体" w:cs="宋体" w:hint="eastAsia"/>
          <w:b/>
          <w:bCs w:val="0"/>
          <w:spacing w:val="0"/>
          <w:position w:val="0"/>
          <w:sz w:val="28"/>
          <w:szCs w:val="28"/>
          <w:lang w:val="en-US" w:eastAsia="zh-CN"/>
        </w:rPr>
        <w:t>目 录</w:t>
      </w:r>
    </w:p>
    <w:p>
      <w:pPr>
        <w:pStyle w:val="TOC3"/>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r>
        <w:rPr>
          <w:rFonts w:ascii="宋体" w:eastAsia="宋体" w:hAnsi="宋体" w:cs="宋体" w:hint="eastAsia"/>
          <w:b/>
          <w:bCs w:val="0"/>
          <w:spacing w:val="0"/>
          <w:position w:val="0"/>
          <w:sz w:val="28"/>
          <w:szCs w:val="28"/>
          <w:lang w:val="en-US" w:eastAsia="zh-CN"/>
        </w:rPr>
        <w:fldChar w:fldCharType="begin"/>
      </w:r>
      <w:r>
        <w:rPr>
          <w:rFonts w:ascii="宋体" w:eastAsia="宋体" w:hAnsi="宋体" w:cs="宋体" w:hint="eastAsia"/>
          <w:b/>
          <w:bCs w:val="0"/>
          <w:spacing w:val="0"/>
          <w:position w:val="0"/>
          <w:sz w:val="28"/>
          <w:szCs w:val="28"/>
          <w:lang w:val="en-US" w:eastAsia="zh-CN"/>
        </w:rPr>
        <w:instrText xml:space="preserve">TOC \o "1-4" \h \u </w:instrText>
      </w:r>
      <w:r>
        <w:rPr>
          <w:rFonts w:ascii="宋体" w:eastAsia="宋体" w:hAnsi="宋体" w:cs="宋体" w:hint="eastAsia"/>
          <w:b/>
          <w:bCs w:val="0"/>
          <w:spacing w:val="0"/>
          <w:position w:val="0"/>
          <w:sz w:val="28"/>
          <w:szCs w:val="28"/>
          <w:lang w:val="en-US" w:eastAsia="zh-CN"/>
        </w:rPr>
        <w:fldChar w:fldCharType="separate"/>
      </w:r>
      <w:hyperlink w:anchor="_Toc23247" w:history="1">
        <w:r>
          <w:rPr>
            <w:rFonts w:ascii="宋体" w:eastAsia="宋体" w:hAnsi="宋体" w:cs="宋体" w:hint="eastAsia"/>
            <w:bCs w:val="0"/>
            <w:spacing w:val="0"/>
            <w:position w:val="0"/>
            <w:sz w:val="28"/>
            <w:szCs w:val="28"/>
            <w:lang w:val="en-US" w:eastAsia="zh-CN"/>
          </w:rPr>
          <w:t>1、</w:t>
        </w:r>
        <w:r>
          <w:rPr>
            <w:rFonts w:ascii="宋体" w:eastAsia="宋体" w:hAnsi="宋体" w:cs="宋体" w:hint="eastAsia"/>
            <w:bCs w:val="0"/>
            <w:spacing w:val="0"/>
            <w:position w:val="0"/>
            <w:sz w:val="28"/>
            <w:szCs w:val="28"/>
          </w:rPr>
          <w:t>配货</w:t>
        </w:r>
        <w:r>
          <w:rPr>
            <w:sz w:val="28"/>
            <w:szCs w:val="28"/>
          </w:rPr>
          <w:tab/>
        </w:r>
        <w:r>
          <w:rPr>
            <w:sz w:val="28"/>
            <w:szCs w:val="28"/>
          </w:rPr>
          <w:fldChar w:fldCharType="begin"/>
        </w:r>
        <w:r>
          <w:rPr>
            <w:sz w:val="28"/>
            <w:szCs w:val="28"/>
          </w:rPr>
          <w:instrText xml:space="preserve"> PAGEREF _Toc23247 \h </w:instrText>
        </w:r>
        <w:r>
          <w:rPr>
            <w:sz w:val="28"/>
            <w:szCs w:val="28"/>
          </w:rPr>
          <w:fldChar w:fldCharType="separate"/>
        </w:r>
        <w:r>
          <w:rPr>
            <w:sz w:val="28"/>
            <w:szCs w:val="28"/>
          </w:rPr>
          <w:t>2</w:t>
        </w:r>
        <w:r>
          <w:rPr>
            <w:sz w:val="28"/>
            <w:szCs w:val="28"/>
          </w:rPr>
          <w:fldChar w:fldCharType="end"/>
        </w:r>
      </w:hyperlink>
    </w:p>
    <w:p>
      <w:pPr>
        <w:pStyle w:val="TOC3"/>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955" w:history="1">
        <w:r>
          <w:rPr>
            <w:rFonts w:ascii="宋体" w:eastAsia="宋体" w:hAnsi="宋体" w:cs="宋体" w:hint="eastAsia"/>
            <w:bCs w:val="0"/>
            <w:spacing w:val="0"/>
            <w:position w:val="0"/>
            <w:sz w:val="28"/>
            <w:szCs w:val="28"/>
            <w:lang w:val="en-US" w:eastAsia="zh-CN"/>
          </w:rPr>
          <w:t>2、</w:t>
        </w:r>
        <w:r>
          <w:rPr>
            <w:rFonts w:ascii="宋体" w:eastAsia="宋体" w:hAnsi="宋体" w:cs="宋体" w:hint="eastAsia"/>
            <w:bCs w:val="0"/>
            <w:spacing w:val="0"/>
            <w:position w:val="0"/>
            <w:sz w:val="28"/>
            <w:szCs w:val="28"/>
          </w:rPr>
          <w:t>分货</w:t>
        </w:r>
        <w:r>
          <w:rPr>
            <w:sz w:val="28"/>
            <w:szCs w:val="28"/>
          </w:rPr>
          <w:tab/>
        </w:r>
        <w:r>
          <w:rPr>
            <w:sz w:val="28"/>
            <w:szCs w:val="28"/>
          </w:rPr>
          <w:fldChar w:fldCharType="begin"/>
        </w:r>
        <w:r>
          <w:rPr>
            <w:sz w:val="28"/>
            <w:szCs w:val="28"/>
          </w:rPr>
          <w:instrText xml:space="preserve"> PAGEREF _Toc955 \h </w:instrText>
        </w:r>
        <w:r>
          <w:rPr>
            <w:sz w:val="28"/>
            <w:szCs w:val="28"/>
          </w:rPr>
          <w:fldChar w:fldCharType="separate"/>
        </w:r>
        <w:r>
          <w:rPr>
            <w:sz w:val="28"/>
            <w:szCs w:val="28"/>
          </w:rPr>
          <w:t>2</w:t>
        </w:r>
        <w:r>
          <w:rPr>
            <w:sz w:val="28"/>
            <w:szCs w:val="28"/>
          </w:rPr>
          <w:fldChar w:fldCharType="end"/>
        </w:r>
      </w:hyperlink>
    </w:p>
    <w:p>
      <w:pPr>
        <w:pStyle w:val="TOC3"/>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4355" w:history="1">
        <w:r>
          <w:rPr>
            <w:rFonts w:ascii="宋体" w:eastAsia="宋体" w:hAnsi="宋体" w:cs="宋体" w:hint="eastAsia"/>
            <w:bCs/>
            <w:spacing w:val="0"/>
            <w:position w:val="0"/>
            <w:sz w:val="28"/>
            <w:szCs w:val="28"/>
            <w:lang w:val="en-US" w:eastAsia="zh-CN"/>
          </w:rPr>
          <w:t>3、</w:t>
        </w:r>
        <w:r>
          <w:rPr>
            <w:rFonts w:ascii="宋体" w:eastAsia="宋体" w:hAnsi="宋体" w:cs="宋体" w:hint="eastAsia"/>
            <w:bCs/>
            <w:spacing w:val="0"/>
            <w:position w:val="0"/>
            <w:sz w:val="28"/>
            <w:szCs w:val="28"/>
          </w:rPr>
          <w:t>送货</w:t>
        </w:r>
        <w:r>
          <w:rPr>
            <w:sz w:val="28"/>
            <w:szCs w:val="28"/>
          </w:rPr>
          <w:tab/>
        </w:r>
        <w:r>
          <w:rPr>
            <w:sz w:val="28"/>
            <w:szCs w:val="28"/>
          </w:rPr>
          <w:fldChar w:fldCharType="begin"/>
        </w:r>
        <w:r>
          <w:rPr>
            <w:sz w:val="28"/>
            <w:szCs w:val="28"/>
          </w:rPr>
          <w:instrText xml:space="preserve"> PAGEREF _Toc4355 \h </w:instrText>
        </w:r>
        <w:r>
          <w:rPr>
            <w:sz w:val="28"/>
            <w:szCs w:val="28"/>
          </w:rPr>
          <w:fldChar w:fldCharType="separate"/>
        </w:r>
        <w:r>
          <w:rPr>
            <w:sz w:val="28"/>
            <w:szCs w:val="28"/>
          </w:rPr>
          <w:t>25</w:t>
        </w:r>
        <w:r>
          <w:rPr>
            <w:sz w:val="28"/>
            <w:szCs w:val="28"/>
          </w:rPr>
          <w:fldChar w:fldCharType="end"/>
        </w:r>
      </w:hyperlink>
    </w:p>
    <w:p>
      <w:pPr>
        <w:pStyle w:val="TOC3"/>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21684" w:history="1">
        <w:r>
          <w:rPr>
            <w:rFonts w:ascii="宋体" w:eastAsia="宋体" w:hAnsi="宋体" w:cs="宋体" w:hint="eastAsia"/>
            <w:bCs/>
            <w:spacing w:val="0"/>
            <w:position w:val="0"/>
            <w:sz w:val="28"/>
            <w:szCs w:val="28"/>
            <w:lang w:val="en-US" w:eastAsia="zh-CN"/>
          </w:rPr>
          <w:t>4、</w:t>
        </w:r>
        <w:r>
          <w:rPr>
            <w:rFonts w:ascii="宋体" w:eastAsia="宋体" w:hAnsi="宋体" w:cs="宋体" w:hint="eastAsia"/>
            <w:bCs/>
            <w:spacing w:val="0"/>
            <w:position w:val="0"/>
            <w:sz w:val="28"/>
            <w:szCs w:val="28"/>
          </w:rPr>
          <w:t>协调</w:t>
        </w:r>
        <w:r>
          <w:rPr>
            <w:sz w:val="28"/>
            <w:szCs w:val="28"/>
          </w:rPr>
          <w:tab/>
        </w:r>
        <w:r>
          <w:rPr>
            <w:sz w:val="28"/>
            <w:szCs w:val="28"/>
          </w:rPr>
          <w:fldChar w:fldCharType="begin"/>
        </w:r>
        <w:r>
          <w:rPr>
            <w:sz w:val="28"/>
            <w:szCs w:val="28"/>
          </w:rPr>
          <w:instrText xml:space="preserve"> PAGEREF _Toc21684 \h </w:instrText>
        </w:r>
        <w:r>
          <w:rPr>
            <w:sz w:val="28"/>
            <w:szCs w:val="28"/>
          </w:rPr>
          <w:fldChar w:fldCharType="separate"/>
        </w:r>
        <w:r>
          <w:rPr>
            <w:sz w:val="28"/>
            <w:szCs w:val="28"/>
          </w:rPr>
          <w:t>40</w:t>
        </w:r>
        <w:r>
          <w:rPr>
            <w:sz w:val="28"/>
            <w:szCs w:val="28"/>
          </w:rPr>
          <w:fldChar w:fldCharType="end"/>
        </w:r>
      </w:hyperlink>
    </w:p>
    <w:p>
      <w:pPr>
        <w:pStyle w:val="TOC3"/>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31736" w:history="1">
        <w:r>
          <w:rPr>
            <w:rFonts w:ascii="宋体" w:eastAsia="宋体" w:hAnsi="宋体" w:cs="宋体" w:hint="eastAsia"/>
            <w:bCs/>
            <w:spacing w:val="0"/>
            <w:position w:val="0"/>
            <w:sz w:val="28"/>
            <w:szCs w:val="28"/>
            <w:lang w:val="en-US" w:eastAsia="zh-CN"/>
          </w:rPr>
          <w:t>5、</w:t>
        </w:r>
        <w:r>
          <w:rPr>
            <w:rFonts w:ascii="宋体" w:eastAsia="宋体" w:hAnsi="宋体" w:cs="宋体" w:hint="eastAsia"/>
            <w:bCs/>
            <w:spacing w:val="0"/>
            <w:position w:val="0"/>
            <w:sz w:val="28"/>
            <w:szCs w:val="28"/>
          </w:rPr>
          <w:t>保障</w:t>
        </w:r>
        <w:r>
          <w:rPr>
            <w:sz w:val="28"/>
            <w:szCs w:val="28"/>
          </w:rPr>
          <w:tab/>
        </w:r>
        <w:r>
          <w:rPr>
            <w:sz w:val="28"/>
            <w:szCs w:val="28"/>
          </w:rPr>
          <w:fldChar w:fldCharType="begin"/>
        </w:r>
        <w:r>
          <w:rPr>
            <w:sz w:val="28"/>
            <w:szCs w:val="28"/>
          </w:rPr>
          <w:instrText xml:space="preserve"> PAGEREF _Toc31736 \h </w:instrText>
        </w:r>
        <w:r>
          <w:rPr>
            <w:sz w:val="28"/>
            <w:szCs w:val="28"/>
          </w:rPr>
          <w:fldChar w:fldCharType="separate"/>
        </w:r>
        <w:r>
          <w:rPr>
            <w:sz w:val="28"/>
            <w:szCs w:val="28"/>
          </w:rPr>
          <w:t>41</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20567" w:history="1">
        <w:r>
          <w:rPr>
            <w:rFonts w:ascii="宋体" w:eastAsia="宋体" w:hAnsi="宋体" w:cs="宋体" w:hint="eastAsia"/>
            <w:bCs w:val="0"/>
            <w:snapToGrid w:val="0"/>
            <w:sz w:val="28"/>
            <w:szCs w:val="28"/>
            <w:lang w:val="en-US" w:eastAsia="zh-CN"/>
          </w:rPr>
          <w:t>（1）</w:t>
        </w:r>
        <w:r>
          <w:rPr>
            <w:rFonts w:ascii="宋体" w:eastAsia="宋体" w:hAnsi="宋体" w:cs="宋体" w:hint="eastAsia"/>
            <w:bCs w:val="0"/>
            <w:snapToGrid w:val="0"/>
            <w:sz w:val="28"/>
            <w:szCs w:val="28"/>
          </w:rPr>
          <w:t>质量保证体系</w:t>
        </w:r>
        <w:r>
          <w:rPr>
            <w:sz w:val="28"/>
            <w:szCs w:val="28"/>
          </w:rPr>
          <w:tab/>
        </w:r>
        <w:r>
          <w:rPr>
            <w:sz w:val="28"/>
            <w:szCs w:val="28"/>
          </w:rPr>
          <w:fldChar w:fldCharType="begin"/>
        </w:r>
        <w:r>
          <w:rPr>
            <w:sz w:val="28"/>
            <w:szCs w:val="28"/>
          </w:rPr>
          <w:instrText xml:space="preserve"> PAGEREF _Toc20567 \h </w:instrText>
        </w:r>
        <w:r>
          <w:rPr>
            <w:sz w:val="28"/>
            <w:szCs w:val="28"/>
          </w:rPr>
          <w:fldChar w:fldCharType="separate"/>
        </w:r>
        <w:r>
          <w:rPr>
            <w:sz w:val="28"/>
            <w:szCs w:val="28"/>
          </w:rPr>
          <w:t>41</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20773" w:history="1">
        <w:r>
          <w:rPr>
            <w:rFonts w:ascii="宋体" w:eastAsia="宋体" w:hAnsi="宋体" w:cs="宋体" w:hint="eastAsia"/>
            <w:bCs w:val="0"/>
            <w:snapToGrid w:val="0"/>
            <w:sz w:val="28"/>
            <w:szCs w:val="28"/>
            <w:lang w:val="en-US" w:eastAsia="zh-CN"/>
          </w:rPr>
          <w:t>（2）</w:t>
        </w:r>
        <w:r>
          <w:rPr>
            <w:rFonts w:ascii="宋体" w:eastAsia="宋体" w:hAnsi="宋体" w:cs="宋体" w:hint="eastAsia"/>
            <w:bCs w:val="0"/>
            <w:snapToGrid w:val="0"/>
            <w:sz w:val="28"/>
            <w:szCs w:val="28"/>
            <w:lang w:eastAsia="zh-CN"/>
          </w:rPr>
          <w:t>产品</w:t>
        </w:r>
        <w:r>
          <w:rPr>
            <w:rFonts w:ascii="宋体" w:eastAsia="宋体" w:hAnsi="宋体" w:cs="宋体" w:hint="eastAsia"/>
            <w:bCs w:val="0"/>
            <w:snapToGrid w:val="0"/>
            <w:sz w:val="28"/>
            <w:szCs w:val="28"/>
          </w:rPr>
          <w:t>采购查验</w:t>
        </w:r>
        <w:r>
          <w:rPr>
            <w:sz w:val="28"/>
            <w:szCs w:val="28"/>
          </w:rPr>
          <w:tab/>
        </w:r>
        <w:r>
          <w:rPr>
            <w:sz w:val="28"/>
            <w:szCs w:val="28"/>
          </w:rPr>
          <w:fldChar w:fldCharType="begin"/>
        </w:r>
        <w:r>
          <w:rPr>
            <w:sz w:val="28"/>
            <w:szCs w:val="28"/>
          </w:rPr>
          <w:instrText xml:space="preserve"> PAGEREF _Toc20773 \h </w:instrText>
        </w:r>
        <w:r>
          <w:rPr>
            <w:sz w:val="28"/>
            <w:szCs w:val="28"/>
          </w:rPr>
          <w:fldChar w:fldCharType="separate"/>
        </w:r>
        <w:r>
          <w:rPr>
            <w:sz w:val="28"/>
            <w:szCs w:val="28"/>
          </w:rPr>
          <w:t>41</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32681" w:history="1">
        <w:r>
          <w:rPr>
            <w:rFonts w:ascii="宋体" w:eastAsia="宋体" w:hAnsi="宋体" w:cs="宋体" w:hint="eastAsia"/>
            <w:bCs w:val="0"/>
            <w:snapToGrid w:val="0"/>
            <w:sz w:val="28"/>
            <w:szCs w:val="28"/>
            <w:lang w:eastAsia="zh-CN"/>
          </w:rPr>
          <w:t>（</w:t>
        </w:r>
        <w:r>
          <w:rPr>
            <w:rFonts w:ascii="宋体" w:eastAsia="宋体" w:hAnsi="宋体" w:cs="宋体" w:hint="eastAsia"/>
            <w:bCs w:val="0"/>
            <w:snapToGrid w:val="0"/>
            <w:sz w:val="28"/>
            <w:szCs w:val="28"/>
            <w:lang w:val="en-US" w:eastAsia="zh-CN"/>
          </w:rPr>
          <w:t>3</w:t>
        </w:r>
        <w:r>
          <w:rPr>
            <w:rFonts w:ascii="宋体" w:eastAsia="宋体" w:hAnsi="宋体" w:cs="宋体" w:hint="eastAsia"/>
            <w:bCs w:val="0"/>
            <w:snapToGrid w:val="0"/>
            <w:sz w:val="28"/>
            <w:szCs w:val="28"/>
            <w:lang w:eastAsia="zh-CN"/>
          </w:rPr>
          <w:t>）</w:t>
        </w:r>
        <w:r>
          <w:rPr>
            <w:rFonts w:ascii="宋体" w:eastAsia="宋体" w:hAnsi="宋体" w:cs="宋体" w:hint="eastAsia"/>
            <w:bCs w:val="0"/>
            <w:snapToGrid w:val="0"/>
            <w:sz w:val="28"/>
            <w:szCs w:val="28"/>
          </w:rPr>
          <w:t>设施设备卫生管理</w:t>
        </w:r>
        <w:r>
          <w:rPr>
            <w:sz w:val="28"/>
            <w:szCs w:val="28"/>
          </w:rPr>
          <w:tab/>
        </w:r>
        <w:r>
          <w:rPr>
            <w:sz w:val="28"/>
            <w:szCs w:val="28"/>
          </w:rPr>
          <w:fldChar w:fldCharType="begin"/>
        </w:r>
        <w:r>
          <w:rPr>
            <w:sz w:val="28"/>
            <w:szCs w:val="28"/>
          </w:rPr>
          <w:instrText xml:space="preserve"> PAGEREF _Toc32681 \h </w:instrText>
        </w:r>
        <w:r>
          <w:rPr>
            <w:sz w:val="28"/>
            <w:szCs w:val="28"/>
          </w:rPr>
          <w:fldChar w:fldCharType="separate"/>
        </w:r>
        <w:r>
          <w:rPr>
            <w:sz w:val="28"/>
            <w:szCs w:val="28"/>
          </w:rPr>
          <w:t>42</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8513" w:history="1">
        <w:r>
          <w:rPr>
            <w:rFonts w:ascii="宋体" w:eastAsia="宋体" w:hAnsi="宋体" w:cs="宋体" w:hint="eastAsia"/>
            <w:bCs w:val="0"/>
            <w:sz w:val="28"/>
            <w:szCs w:val="28"/>
            <w:lang w:val="en-US" w:eastAsia="zh-CN"/>
          </w:rPr>
          <w:t>（4）</w:t>
        </w:r>
        <w:r>
          <w:rPr>
            <w:rFonts w:ascii="宋体" w:eastAsia="宋体" w:hAnsi="宋体" w:cs="宋体" w:hint="eastAsia"/>
            <w:bCs w:val="0"/>
            <w:sz w:val="28"/>
            <w:szCs w:val="28"/>
            <w:lang w:val="zh-CN"/>
          </w:rPr>
          <w:t>质量保证体系及保证措施</w:t>
        </w:r>
        <w:r>
          <w:rPr>
            <w:sz w:val="28"/>
            <w:szCs w:val="28"/>
          </w:rPr>
          <w:tab/>
        </w:r>
        <w:r>
          <w:rPr>
            <w:sz w:val="28"/>
            <w:szCs w:val="28"/>
          </w:rPr>
          <w:fldChar w:fldCharType="begin"/>
        </w:r>
        <w:r>
          <w:rPr>
            <w:sz w:val="28"/>
            <w:szCs w:val="28"/>
          </w:rPr>
          <w:instrText xml:space="preserve"> PAGEREF _Toc8513 \h </w:instrText>
        </w:r>
        <w:r>
          <w:rPr>
            <w:sz w:val="28"/>
            <w:szCs w:val="28"/>
          </w:rPr>
          <w:fldChar w:fldCharType="separate"/>
        </w:r>
        <w:r>
          <w:rPr>
            <w:sz w:val="28"/>
            <w:szCs w:val="28"/>
          </w:rPr>
          <w:t>44</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13634" w:history="1">
        <w:r>
          <w:rPr>
            <w:rFonts w:ascii="宋体" w:eastAsia="宋体" w:hAnsi="宋体" w:cs="宋体" w:hint="eastAsia"/>
            <w:bCs w:val="0"/>
            <w:sz w:val="28"/>
            <w:szCs w:val="28"/>
            <w:lang w:val="en-US" w:eastAsia="zh-CN"/>
          </w:rPr>
          <w:t>（5）</w:t>
        </w:r>
        <w:r>
          <w:rPr>
            <w:rFonts w:ascii="宋体" w:eastAsia="宋体" w:hAnsi="宋体" w:cs="宋体" w:hint="eastAsia"/>
            <w:bCs w:val="0"/>
            <w:sz w:val="28"/>
            <w:szCs w:val="28"/>
            <w:lang w:eastAsia="zh-CN"/>
          </w:rPr>
          <w:t>食品</w:t>
        </w:r>
        <w:r>
          <w:rPr>
            <w:rFonts w:ascii="宋体" w:eastAsia="宋体" w:hAnsi="宋体" w:cs="宋体" w:hint="eastAsia"/>
            <w:bCs w:val="0"/>
            <w:sz w:val="28"/>
            <w:szCs w:val="28"/>
          </w:rPr>
          <w:t>质量保证措施</w:t>
        </w:r>
        <w:r>
          <w:rPr>
            <w:rFonts w:ascii="宋体" w:eastAsia="宋体" w:hAnsi="宋体" w:cs="宋体" w:hint="eastAsia"/>
            <w:bCs w:val="0"/>
            <w:sz w:val="28"/>
            <w:szCs w:val="28"/>
            <w:lang w:eastAsia="zh-CN"/>
          </w:rPr>
          <w:t>方案</w:t>
        </w:r>
        <w:r>
          <w:rPr>
            <w:sz w:val="28"/>
            <w:szCs w:val="28"/>
          </w:rPr>
          <w:tab/>
        </w:r>
        <w:r>
          <w:rPr>
            <w:sz w:val="28"/>
            <w:szCs w:val="28"/>
          </w:rPr>
          <w:fldChar w:fldCharType="begin"/>
        </w:r>
        <w:r>
          <w:rPr>
            <w:sz w:val="28"/>
            <w:szCs w:val="28"/>
          </w:rPr>
          <w:instrText xml:space="preserve"> PAGEREF _Toc13634 \h </w:instrText>
        </w:r>
        <w:r>
          <w:rPr>
            <w:sz w:val="28"/>
            <w:szCs w:val="28"/>
          </w:rPr>
          <w:fldChar w:fldCharType="separate"/>
        </w:r>
        <w:r>
          <w:rPr>
            <w:sz w:val="28"/>
            <w:szCs w:val="28"/>
          </w:rPr>
          <w:t>46</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20052" w:history="1">
        <w:r>
          <w:rPr>
            <w:rFonts w:ascii="宋体" w:eastAsia="宋体" w:hAnsi="宋体" w:cs="宋体" w:hint="eastAsia"/>
            <w:bCs w:val="0"/>
            <w:sz w:val="28"/>
            <w:szCs w:val="28"/>
            <w:lang w:val="en-US" w:eastAsia="zh-CN"/>
          </w:rPr>
          <w:t>（6）</w:t>
        </w:r>
        <w:r>
          <w:rPr>
            <w:rFonts w:ascii="宋体" w:eastAsia="宋体" w:hAnsi="宋体" w:cs="宋体" w:hint="eastAsia"/>
            <w:bCs w:val="0"/>
            <w:sz w:val="28"/>
            <w:szCs w:val="28"/>
          </w:rPr>
          <w:t>食品安全</w:t>
        </w:r>
        <w:r>
          <w:rPr>
            <w:rFonts w:ascii="宋体" w:eastAsia="宋体" w:hAnsi="宋体" w:cs="宋体" w:hint="eastAsia"/>
            <w:bCs w:val="0"/>
            <w:sz w:val="28"/>
            <w:szCs w:val="28"/>
            <w:lang w:eastAsia="zh-CN"/>
          </w:rPr>
          <w:t>保障</w:t>
        </w:r>
        <w:r>
          <w:rPr>
            <w:rFonts w:ascii="宋体" w:eastAsia="宋体" w:hAnsi="宋体" w:cs="宋体" w:hint="eastAsia"/>
            <w:bCs w:val="0"/>
            <w:sz w:val="28"/>
            <w:szCs w:val="28"/>
          </w:rPr>
          <w:t>措施</w:t>
        </w:r>
        <w:r>
          <w:rPr>
            <w:sz w:val="28"/>
            <w:szCs w:val="28"/>
          </w:rPr>
          <w:tab/>
        </w:r>
        <w:r>
          <w:rPr>
            <w:sz w:val="28"/>
            <w:szCs w:val="28"/>
          </w:rPr>
          <w:fldChar w:fldCharType="begin"/>
        </w:r>
        <w:r>
          <w:rPr>
            <w:sz w:val="28"/>
            <w:szCs w:val="28"/>
          </w:rPr>
          <w:instrText xml:space="preserve"> PAGEREF _Toc20052 \h </w:instrText>
        </w:r>
        <w:r>
          <w:rPr>
            <w:sz w:val="28"/>
            <w:szCs w:val="28"/>
          </w:rPr>
          <w:fldChar w:fldCharType="separate"/>
        </w:r>
        <w:r>
          <w:rPr>
            <w:sz w:val="28"/>
            <w:szCs w:val="28"/>
          </w:rPr>
          <w:t>47</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1425" w:history="1">
        <w:r>
          <w:rPr>
            <w:rFonts w:ascii="宋体" w:eastAsia="宋体" w:hAnsi="宋体" w:cs="宋体" w:hint="eastAsia"/>
            <w:bCs w:val="0"/>
            <w:sz w:val="28"/>
            <w:szCs w:val="28"/>
            <w:lang w:val="en-US" w:eastAsia="zh-CN"/>
          </w:rPr>
          <w:t>（7）</w:t>
        </w:r>
        <w:r>
          <w:rPr>
            <w:rFonts w:ascii="宋体" w:eastAsia="宋体" w:hAnsi="宋体" w:cs="宋体" w:hint="eastAsia"/>
            <w:bCs w:val="0"/>
            <w:sz w:val="28"/>
            <w:szCs w:val="28"/>
          </w:rPr>
          <w:t>质量保证及服务保障承诺</w:t>
        </w:r>
        <w:r>
          <w:rPr>
            <w:sz w:val="28"/>
            <w:szCs w:val="28"/>
          </w:rPr>
          <w:tab/>
        </w:r>
        <w:r>
          <w:rPr>
            <w:sz w:val="28"/>
            <w:szCs w:val="28"/>
          </w:rPr>
          <w:fldChar w:fldCharType="begin"/>
        </w:r>
        <w:r>
          <w:rPr>
            <w:sz w:val="28"/>
            <w:szCs w:val="28"/>
          </w:rPr>
          <w:instrText xml:space="preserve"> PAGEREF _Toc1425 \h </w:instrText>
        </w:r>
        <w:r>
          <w:rPr>
            <w:sz w:val="28"/>
            <w:szCs w:val="28"/>
          </w:rPr>
          <w:fldChar w:fldCharType="separate"/>
        </w:r>
        <w:r>
          <w:rPr>
            <w:sz w:val="28"/>
            <w:szCs w:val="28"/>
          </w:rPr>
          <w:t>50</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4979" w:history="1">
        <w:r>
          <w:rPr>
            <w:rFonts w:ascii="宋体" w:eastAsia="宋体" w:hAnsi="宋体" w:cs="宋体" w:hint="eastAsia"/>
            <w:bCs w:val="0"/>
            <w:sz w:val="28"/>
            <w:szCs w:val="28"/>
            <w:lang w:val="en-US" w:eastAsia="zh-CN"/>
          </w:rPr>
          <w:t>（8）食品保鲜措施</w:t>
        </w:r>
        <w:r>
          <w:rPr>
            <w:sz w:val="28"/>
            <w:szCs w:val="28"/>
          </w:rPr>
          <w:tab/>
        </w:r>
        <w:r>
          <w:rPr>
            <w:sz w:val="28"/>
            <w:szCs w:val="28"/>
          </w:rPr>
          <w:fldChar w:fldCharType="begin"/>
        </w:r>
        <w:r>
          <w:rPr>
            <w:sz w:val="28"/>
            <w:szCs w:val="28"/>
          </w:rPr>
          <w:instrText xml:space="preserve"> PAGEREF _Toc4979 \h </w:instrText>
        </w:r>
        <w:r>
          <w:rPr>
            <w:sz w:val="28"/>
            <w:szCs w:val="28"/>
          </w:rPr>
          <w:fldChar w:fldCharType="separate"/>
        </w:r>
        <w:r>
          <w:rPr>
            <w:sz w:val="28"/>
            <w:szCs w:val="28"/>
          </w:rPr>
          <w:t>52</w:t>
        </w:r>
        <w:r>
          <w:rPr>
            <w:sz w:val="28"/>
            <w:szCs w:val="28"/>
          </w:rPr>
          <w:fldChar w:fldCharType="end"/>
        </w:r>
      </w:hyperlink>
    </w:p>
    <w:p>
      <w:pPr>
        <w:pStyle w:val="TOC4"/>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24109" w:history="1">
        <w:r>
          <w:rPr>
            <w:rFonts w:ascii="宋体" w:eastAsia="宋体" w:hAnsi="宋体" w:cs="宋体" w:hint="eastAsia"/>
            <w:bCs w:val="0"/>
            <w:sz w:val="28"/>
            <w:szCs w:val="28"/>
            <w:lang w:val="en-US" w:eastAsia="zh-CN"/>
          </w:rPr>
          <w:t>（9）配送时效响应方案</w:t>
        </w:r>
        <w:r>
          <w:rPr>
            <w:sz w:val="28"/>
            <w:szCs w:val="28"/>
          </w:rPr>
          <w:tab/>
        </w:r>
        <w:r>
          <w:rPr>
            <w:sz w:val="28"/>
            <w:szCs w:val="28"/>
          </w:rPr>
          <w:fldChar w:fldCharType="begin"/>
        </w:r>
        <w:r>
          <w:rPr>
            <w:sz w:val="28"/>
            <w:szCs w:val="28"/>
          </w:rPr>
          <w:instrText xml:space="preserve"> PAGEREF _Toc24109 \h </w:instrText>
        </w:r>
        <w:r>
          <w:rPr>
            <w:sz w:val="28"/>
            <w:szCs w:val="28"/>
          </w:rPr>
          <w:fldChar w:fldCharType="separate"/>
        </w:r>
        <w:r>
          <w:rPr>
            <w:sz w:val="28"/>
            <w:szCs w:val="28"/>
          </w:rPr>
          <w:t>53</w:t>
        </w:r>
        <w:r>
          <w:rPr>
            <w:sz w:val="28"/>
            <w:szCs w:val="28"/>
          </w:rPr>
          <w:fldChar w:fldCharType="end"/>
        </w:r>
      </w:hyperlink>
    </w:p>
    <w:p>
      <w:pPr>
        <w:pStyle w:val="TOC3"/>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360" w:lineRule="auto"/>
        <w:textAlignment w:val="baseline"/>
        <w:rPr>
          <w:sz w:val="28"/>
          <w:szCs w:val="28"/>
        </w:rPr>
      </w:pPr>
      <w:hyperlink w:anchor="_Toc13130" w:history="1">
        <w:r>
          <w:rPr>
            <w:rFonts w:ascii="宋体" w:eastAsia="宋体" w:hAnsi="宋体" w:cs="宋体" w:hint="eastAsia"/>
            <w:bCs/>
            <w:spacing w:val="0"/>
            <w:position w:val="0"/>
            <w:sz w:val="28"/>
            <w:szCs w:val="28"/>
            <w:lang w:val="en-US" w:eastAsia="zh-CN"/>
          </w:rPr>
          <w:t>6、</w:t>
        </w:r>
        <w:r>
          <w:rPr>
            <w:rFonts w:ascii="宋体" w:eastAsia="宋体" w:hAnsi="宋体" w:cs="宋体" w:hint="eastAsia"/>
            <w:bCs/>
            <w:spacing w:val="0"/>
            <w:position w:val="0"/>
            <w:sz w:val="28"/>
            <w:szCs w:val="28"/>
          </w:rPr>
          <w:t>沟通</w:t>
        </w:r>
        <w:r>
          <w:rPr>
            <w:sz w:val="28"/>
            <w:szCs w:val="28"/>
          </w:rPr>
          <w:tab/>
        </w:r>
        <w:r>
          <w:rPr>
            <w:sz w:val="28"/>
            <w:szCs w:val="28"/>
          </w:rPr>
          <w:fldChar w:fldCharType="begin"/>
        </w:r>
        <w:r>
          <w:rPr>
            <w:sz w:val="28"/>
            <w:szCs w:val="28"/>
          </w:rPr>
          <w:instrText xml:space="preserve"> PAGEREF _Toc13130 \h </w:instrText>
        </w:r>
        <w:r>
          <w:rPr>
            <w:sz w:val="28"/>
            <w:szCs w:val="28"/>
          </w:rPr>
          <w:fldChar w:fldCharType="separate"/>
        </w:r>
        <w:r>
          <w:rPr>
            <w:sz w:val="28"/>
            <w:szCs w:val="28"/>
          </w:rPr>
          <w:t>56</w:t>
        </w:r>
        <w:r>
          <w:rPr>
            <w:sz w:val="28"/>
            <w:szCs w:val="28"/>
          </w:rPr>
          <w:fldChar w:fldCharType="end"/>
        </w:r>
      </w:hyperlink>
    </w:p>
    <w:p>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outlineLvl w:val="9"/>
        <w:rPr>
          <w:rFonts w:ascii="宋体" w:eastAsia="宋体" w:hAnsi="宋体" w:cs="宋体" w:hint="eastAsia"/>
          <w:b/>
          <w:bCs w:val="0"/>
          <w:spacing w:val="0"/>
          <w:position w:val="0"/>
          <w:sz w:val="28"/>
          <w:szCs w:val="28"/>
          <w:lang w:eastAsia="zh-CN"/>
        </w:rPr>
      </w:pPr>
      <w:r>
        <w:rPr>
          <w:rFonts w:ascii="宋体" w:eastAsia="宋体" w:hAnsi="宋体" w:cs="宋体" w:hint="eastAsia"/>
          <w:bCs w:val="0"/>
          <w:spacing w:val="0"/>
          <w:position w:val="0"/>
          <w:sz w:val="28"/>
          <w:szCs w:val="28"/>
          <w:lang w:val="en-US" w:eastAsia="zh-CN"/>
        </w:rPr>
        <w:fldChar w:fldCharType="end"/>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ascii="宋体" w:eastAsia="宋体" w:hAnsi="宋体" w:cs="宋体" w:hint="eastAsia"/>
          <w:b/>
          <w:bCs w:val="0"/>
          <w:spacing w:val="0"/>
          <w:position w:val="0"/>
          <w:sz w:val="28"/>
          <w:szCs w:val="28"/>
          <w:lang w:eastAsia="zh-CN"/>
        </w:rPr>
      </w:pPr>
      <w:bookmarkStart w:id="0" w:name="_Toc13641"/>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ascii="宋体" w:eastAsia="宋体" w:hAnsi="宋体" w:cs="宋体" w:hint="eastAsia"/>
          <w:b/>
          <w:bCs w:val="0"/>
          <w:spacing w:val="0"/>
          <w:position w:val="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ascii="宋体" w:eastAsia="宋体" w:hAnsi="宋体" w:cs="宋体" w:hint="eastAsia"/>
          <w:b/>
          <w:bCs w:val="0"/>
          <w:spacing w:val="0"/>
          <w:position w:val="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ascii="宋体" w:eastAsia="宋体" w:hAnsi="宋体" w:cs="宋体" w:hint="eastAsia"/>
          <w:b/>
          <w:bCs w:val="0"/>
          <w:spacing w:val="0"/>
          <w:position w:val="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ascii="宋体" w:eastAsia="宋体" w:hAnsi="宋体" w:cs="宋体" w:hint="eastAsia"/>
          <w:b/>
          <w:bCs w:val="0"/>
          <w:spacing w:val="0"/>
          <w:position w:val="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ascii="宋体" w:eastAsia="宋体" w:hAnsi="宋体" w:cs="宋体" w:hint="eastAsia"/>
          <w:b/>
          <w:bCs w:val="0"/>
          <w:spacing w:val="0"/>
          <w:position w:val="0"/>
          <w:sz w:val="28"/>
          <w:szCs w:val="28"/>
          <w:lang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ascii="宋体" w:eastAsia="宋体" w:hAnsi="宋体" w:cs="宋体" w:hint="eastAsia"/>
          <w:b/>
          <w:bCs w:val="0"/>
          <w:spacing w:val="0"/>
          <w:position w:val="0"/>
          <w:sz w:val="28"/>
          <w:szCs w:val="28"/>
          <w:lang w:eastAsia="zh-CN"/>
        </w:rPr>
        <w:sectPr>
          <w:pgSz w:w="11906" w:h="16838"/>
          <w:pgMar w:top="1440" w:right="1080" w:bottom="1440" w:left="1080" w:header="851" w:footer="992" w:gutter="0"/>
          <w:cols w:num="1" w:space="425"/>
          <w:docGrid w:type="lines" w:linePitch="312" w:charSpace="0"/>
        </w:sectPr>
      </w:pPr>
    </w:p>
    <w:p>
      <w:pPr>
        <w:sectPr>
          <w:type w:val="nextPage"/>
          <w:pgSz w:w="11906" w:h="16838"/>
          <w:pgMar w:top="1440" w:right="1080" w:bottom="1440" w:left="1080" w:header="851" w:footer="992" w:gutter="0"/>
          <w:pgNumType w:start="2"/>
          <w:cols w:num="1" w:space="425"/>
          <w:titlePg w:val="0"/>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2"/>
        <w:rPr>
          <w:rFonts w:ascii="宋体" w:eastAsia="宋体" w:hAnsi="宋体" w:cs="宋体" w:hint="eastAsia"/>
          <w:b/>
          <w:bCs w:val="0"/>
          <w:spacing w:val="0"/>
          <w:position w:val="0"/>
          <w:sz w:val="28"/>
          <w:szCs w:val="28"/>
        </w:rPr>
      </w:pPr>
      <w:bookmarkStart w:id="1" w:name="_Toc23247"/>
      <w:bookmarkStart w:id="2" w:name="_GoBack"/>
      <w:bookmarkEnd w:id="2"/>
      <w:r>
        <w:rPr>
          <w:rFonts w:ascii="宋体" w:eastAsia="宋体" w:hAnsi="宋体" w:cs="宋体" w:hint="eastAsia"/>
          <w:b/>
          <w:bCs w:val="0"/>
          <w:spacing w:val="0"/>
          <w:position w:val="0"/>
          <w:sz w:val="28"/>
          <w:szCs w:val="28"/>
          <w:lang w:val="en-US" w:eastAsia="zh-CN"/>
        </w:rPr>
        <w:t>1、</w:t>
      </w:r>
      <w:r>
        <w:rPr>
          <w:rFonts w:ascii="宋体" w:eastAsia="宋体" w:hAnsi="宋体" w:cs="宋体" w:hint="eastAsia"/>
          <w:b/>
          <w:bCs w:val="0"/>
          <w:spacing w:val="0"/>
          <w:position w:val="0"/>
          <w:sz w:val="28"/>
          <w:szCs w:val="28"/>
        </w:rPr>
        <w:t>配货</w:t>
      </w:r>
      <w:bookmarkEnd w:id="0"/>
      <w:bookmarkEnd w:id="1"/>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eastAsia="宋体" w:hint="default"/>
          <w:b w:val="0"/>
          <w:bCs/>
          <w:sz w:val="28"/>
          <w:szCs w:val="28"/>
          <w:lang w:eastAsia="zh-CN"/>
        </w:rPr>
      </w:pPr>
      <w:r>
        <w:rPr>
          <w:rFonts w:eastAsia="宋体" w:hint="eastAsia"/>
          <w:b w:val="0"/>
          <w:bCs/>
          <w:sz w:val="28"/>
          <w:szCs w:val="28"/>
          <w:lang w:val="en-US" w:eastAsia="zh-CN"/>
        </w:rPr>
        <w:t>为认真做好</w:t>
      </w:r>
      <w:r>
        <w:rPr>
          <w:rFonts w:ascii="宋体" w:eastAsia="宋体" w:hAnsi="宋体" w:cs="宋体" w:hint="eastAsia"/>
          <w:b w:val="0"/>
          <w:bCs/>
          <w:color w:val="auto"/>
          <w:sz w:val="28"/>
          <w:szCs w:val="28"/>
          <w:u w:val="single"/>
          <w:lang w:eastAsia="zh-CN"/>
        </w:rPr>
        <w:t>食材配送项目</w:t>
      </w:r>
      <w:r>
        <w:rPr>
          <w:rFonts w:ascii="宋体" w:eastAsia="宋体" w:hAnsi="宋体" w:cs="宋体" w:hint="eastAsia"/>
          <w:b w:val="0"/>
          <w:bCs/>
          <w:color w:val="auto"/>
          <w:spacing w:val="0"/>
          <w:kern w:val="0"/>
          <w:sz w:val="28"/>
          <w:szCs w:val="28"/>
          <w:u w:val="none"/>
          <w:lang w:val="en-US" w:eastAsia="zh-CN"/>
        </w:rPr>
        <w:t>食材配货工作，我公司根据实际配送情况及类似项目经验，特制定本项目实施计划。</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eastAsia="宋体" w:hint="eastAsia"/>
          <w:b w:val="0"/>
          <w:bCs/>
          <w:sz w:val="28"/>
          <w:szCs w:val="28"/>
          <w:lang w:eastAsia="zh-CN"/>
        </w:rPr>
      </w:pPr>
      <w:r>
        <w:rPr>
          <w:rFonts w:hint="eastAsia"/>
          <w:b w:val="0"/>
          <w:bCs/>
          <w:sz w:val="28"/>
          <w:szCs w:val="28"/>
          <w:lang w:val="en-US" w:eastAsia="zh-CN"/>
        </w:rPr>
        <w:t>一</w:t>
      </w:r>
      <w:r>
        <w:rPr>
          <w:rFonts w:hint="eastAsia"/>
          <w:b w:val="0"/>
          <w:bCs/>
          <w:sz w:val="28"/>
          <w:szCs w:val="28"/>
        </w:rPr>
        <w:t>、</w:t>
      </w:r>
      <w:r>
        <w:rPr>
          <w:rFonts w:eastAsia="宋体" w:hint="eastAsia"/>
          <w:b w:val="0"/>
          <w:bCs/>
          <w:sz w:val="28"/>
          <w:szCs w:val="28"/>
          <w:lang w:val="en-US" w:eastAsia="zh-CN"/>
        </w:rPr>
        <w:t>配货标准</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val="0"/>
          <w:bCs/>
          <w:sz w:val="28"/>
          <w:szCs w:val="28"/>
        </w:rPr>
      </w:pPr>
      <w:r>
        <w:rPr>
          <w:rFonts w:eastAsia="宋体" w:hint="eastAsia"/>
          <w:b w:val="0"/>
          <w:bCs/>
          <w:sz w:val="28"/>
          <w:szCs w:val="28"/>
          <w:lang w:val="en-US" w:eastAsia="zh-CN"/>
        </w:rPr>
        <w:t>配货标准</w:t>
      </w:r>
      <w:r>
        <w:rPr>
          <w:rFonts w:hint="eastAsia"/>
          <w:b w:val="0"/>
          <w:bCs/>
          <w:sz w:val="28"/>
          <w:szCs w:val="28"/>
        </w:rPr>
        <w:t>：按照</w:t>
      </w:r>
      <w:r>
        <w:rPr>
          <w:rFonts w:hint="eastAsia"/>
          <w:b w:val="0"/>
          <w:bCs/>
          <w:sz w:val="28"/>
          <w:szCs w:val="28"/>
          <w:lang w:val="en-US" w:eastAsia="zh-CN"/>
        </w:rPr>
        <w:t>甲方需求进行</w:t>
      </w:r>
      <w:r>
        <w:rPr>
          <w:rFonts w:hint="eastAsia"/>
          <w:b w:val="0"/>
          <w:bCs/>
          <w:sz w:val="28"/>
          <w:szCs w:val="28"/>
        </w:rPr>
        <w:t>，且满足临时性需求。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eastAsiaTheme="minorEastAsia" w:hint="default"/>
          <w:b w:val="0"/>
          <w:bCs/>
          <w:sz w:val="28"/>
          <w:szCs w:val="28"/>
          <w:lang w:eastAsia="zh-CN"/>
        </w:rPr>
      </w:pPr>
      <w:r>
        <w:rPr>
          <w:rFonts w:hint="eastAsia"/>
          <w:b w:val="0"/>
          <w:bCs/>
          <w:sz w:val="28"/>
          <w:szCs w:val="28"/>
          <w:lang w:val="en-US" w:eastAsia="zh-CN"/>
        </w:rPr>
        <w:t>二</w:t>
      </w:r>
      <w:r>
        <w:rPr>
          <w:rFonts w:hint="eastAsia"/>
          <w:b w:val="0"/>
          <w:bCs/>
          <w:sz w:val="28"/>
          <w:szCs w:val="28"/>
        </w:rPr>
        <w:t>、</w:t>
      </w:r>
      <w:r>
        <w:rPr>
          <w:rFonts w:hint="eastAsia"/>
          <w:b w:val="0"/>
          <w:bCs/>
          <w:sz w:val="28"/>
          <w:szCs w:val="28"/>
          <w:lang w:val="en-US" w:eastAsia="zh-CN"/>
        </w:rPr>
        <w:t>配货时间计划</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val="0"/>
          <w:bCs/>
          <w:sz w:val="28"/>
          <w:szCs w:val="28"/>
        </w:rPr>
      </w:pPr>
      <w:r>
        <w:rPr>
          <w:rFonts w:hint="eastAsia"/>
          <w:b w:val="0"/>
          <w:bCs/>
          <w:sz w:val="28"/>
          <w:szCs w:val="28"/>
        </w:rPr>
        <w:t>我公司承诺在</w:t>
      </w:r>
      <w:r>
        <w:rPr>
          <w:rFonts w:hint="eastAsia"/>
          <w:b w:val="0"/>
          <w:bCs/>
          <w:sz w:val="28"/>
          <w:szCs w:val="28"/>
          <w:lang w:val="en-US" w:eastAsia="zh-CN"/>
        </w:rPr>
        <w:t>0.5</w:t>
      </w:r>
      <w:r>
        <w:rPr>
          <w:rFonts w:hint="eastAsia"/>
          <w:b w:val="0"/>
          <w:bCs/>
          <w:sz w:val="28"/>
          <w:szCs w:val="28"/>
        </w:rPr>
        <w:t>小时内</w:t>
      </w:r>
      <w:r>
        <w:rPr>
          <w:rFonts w:eastAsia="宋体" w:hint="eastAsia"/>
          <w:b w:val="0"/>
          <w:bCs/>
          <w:sz w:val="28"/>
          <w:szCs w:val="28"/>
          <w:lang w:val="en-US" w:eastAsia="zh-CN"/>
        </w:rPr>
        <w:t>做好食材配货工作</w:t>
      </w:r>
      <w:r>
        <w:rPr>
          <w:rFonts w:hint="eastAsia"/>
          <w:b w:val="0"/>
          <w:bCs/>
          <w:sz w:val="28"/>
          <w:szCs w:val="28"/>
        </w:rPr>
        <w:t>。</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2"/>
        <w:rPr>
          <w:rFonts w:ascii="宋体" w:eastAsia="宋体" w:hAnsi="宋体" w:cs="宋体" w:hint="eastAsia"/>
          <w:b/>
          <w:bCs w:val="0"/>
          <w:spacing w:val="0"/>
          <w:position w:val="0"/>
          <w:sz w:val="28"/>
          <w:szCs w:val="28"/>
        </w:rPr>
      </w:pPr>
      <w:bookmarkStart w:id="3" w:name="_Toc4905"/>
      <w:bookmarkStart w:id="4" w:name="_Toc955"/>
      <w:r>
        <w:rPr>
          <w:rFonts w:ascii="宋体" w:eastAsia="宋体" w:hAnsi="宋体" w:cs="宋体" w:hint="eastAsia"/>
          <w:b/>
          <w:bCs w:val="0"/>
          <w:spacing w:val="0"/>
          <w:position w:val="0"/>
          <w:sz w:val="28"/>
          <w:szCs w:val="28"/>
          <w:lang w:val="en-US" w:eastAsia="zh-CN"/>
        </w:rPr>
        <w:t>2、</w:t>
      </w:r>
      <w:r>
        <w:rPr>
          <w:rFonts w:ascii="宋体" w:eastAsia="宋体" w:hAnsi="宋体" w:cs="宋体" w:hint="eastAsia"/>
          <w:b/>
          <w:bCs w:val="0"/>
          <w:spacing w:val="0"/>
          <w:position w:val="0"/>
          <w:sz w:val="28"/>
          <w:szCs w:val="28"/>
        </w:rPr>
        <w:t>分货</w:t>
      </w:r>
      <w:bookmarkEnd w:id="3"/>
      <w:bookmarkEnd w:id="4"/>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一、肉类</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本公司所采购食品来源主要以全国各地名优企业为主，并对供应商进行严格考察，从供应商的生产能力、环境卫生、产品质量、市场的信誉度、品牌的知名度出发，经考察合格后才与其合作。</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1、猪肉类：肉联厂，要求必须是放心肉，交货时需配有动物卫生检疫及屠宰证明，去除筋、杂物，肉质鲜嫩，不注水，符合食品卫生要求；对于鲜猪手脚等；必须去除一切杂毛污物，无异味，交货以干净、新鲜、大小适中为标准。</w:t>
      </w:r>
    </w:p>
    <w:p>
      <w:pPr>
        <w:numPr>
          <w:ilvl w:val="0"/>
          <w:numId w:val="1"/>
        </w:num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牛肉、羊肉类：肉联厂，要求有动物卫生检疫及屠宰证明，去除筋、杂物，肉质鲜嫩，不注水，符合食品卫生要求。</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肉类采购检测指标如下：</w:t>
      </w:r>
    </w:p>
    <w:tbl>
      <w:tblPr>
        <w:tblStyle w:val="GridTable5DarkAccent20"/>
        <w:tblW w:w="98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1008"/>
        <w:gridCol w:w="6822"/>
        <w:gridCol w:w="2036"/>
      </w:tblGrid>
      <w:tr>
        <w:tblPrEx>
          <w:tblW w:w="98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blHeader/>
        </w:trPr>
        <w:tc>
          <w:tcPr>
            <w:tcW w:w="1008" w:type="dxa"/>
            <w:tcBorders>
              <w:insideV w:val="nil"/>
            </w:tcBorders>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品名</w:t>
            </w:r>
          </w:p>
        </w:tc>
        <w:tc>
          <w:tcPr>
            <w:tcW w:w="6822" w:type="dxa"/>
            <w:tcBorders>
              <w:insideV w:val="nil"/>
            </w:tcBorders>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质量标准</w:t>
            </w:r>
          </w:p>
        </w:tc>
        <w:tc>
          <w:tcPr>
            <w:tcW w:w="2036" w:type="dxa"/>
            <w:tcBorders>
              <w:insideV w:val="nil"/>
            </w:tcBorders>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扣秤标准</w:t>
            </w: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边猪及其散肉</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鲜度标准：肉质有弹性，手指轻按，凹陷地方马上恢复，脂肪为白色或乳白色，整体色泽光润，切面红色、微微湿润但不粘手；无淤血、无注水，无寄生虫。分级标准：一级猪：重量在60-65kg之间，从头往下数第五、六肋骨上方脊膘厚度≤2cm，后腿肌肉丰满，臀部弧线明显，成弓状，且体表无伤；二级猪：重量在70-75kg间，从头往下数第五、六肋骨上方脊膘厚度小于3cm，大于2cm，后腿肌肉丰满，且体表无伤；三级猪：重量在75kg以上，从头往下数第五、六肋骨上方脊膘厚度超过3cm，后腿肌肉松弛皱折多</w:t>
            </w:r>
          </w:p>
        </w:tc>
        <w:tc>
          <w:tcPr>
            <w:tcW w:w="2036"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1-5%。订一级猪送二级猪，扣秤按10-20%，三级猪拒收</w:t>
            </w:r>
          </w:p>
        </w:tc>
      </w:tr>
    </w:tbl>
    <w:p>
      <w:pPr>
        <w:sectPr>
          <w:type w:val="nextPage"/>
          <w:pgSz w:w="11906" w:h="16838"/>
          <w:pgMar w:top="1440" w:right="1080" w:bottom="1440" w:left="1080" w:header="851" w:footer="992" w:gutter="0"/>
          <w:pgNumType w:start="3"/>
          <w:cols w:num="1" w:space="425"/>
          <w:titlePg w:val="0"/>
          <w:docGrid w:type="lines" w:linePitch="312" w:charSpace="0"/>
        </w:sectPr>
      </w:pPr>
    </w:p>
    <w:tbl>
      <w:tblPr>
        <w:tblStyle w:val="GridTable5DarkAccent21"/>
        <w:tblW w:w="98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1008"/>
        <w:gridCol w:w="6822"/>
        <w:gridCol w:w="2036"/>
      </w:tblGrid>
      <w:tr>
        <w:tblPrEx>
          <w:tblW w:w="98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上肉</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瘦肉较多，带有肥肉或瘦肉，</w:t>
            </w:r>
          </w:p>
        </w:tc>
        <w:tc>
          <w:tcPr>
            <w:tcW w:w="2036" w:type="dxa"/>
            <w:vMerge w:val="restart"/>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按一级猪标准收及扣秤</w:t>
            </w: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五花肉</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带皮的肥瘦肉，肌肉与脂肪相间多层</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瘦肉</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基本为瘦肉，无肥肉，肌腱少</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猪扒</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圆而长的通脊肉，全部是瘦肉，肉质细嫩、紧密</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排骨</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带肉的排骨，排骨带少量肉，不带肥油，厚实、完整，不得剔除，骨肉不分离</w:t>
            </w:r>
          </w:p>
        </w:tc>
        <w:tc>
          <w:tcPr>
            <w:tcW w:w="2036" w:type="dxa"/>
            <w:vMerge w:val="restart"/>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临场与供应商协议扣秤</w:t>
            </w: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龙骨</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剔除了里脊肉的脊椎骨，色泽肉红，不带皮，不带油</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汤骨</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腿骨，圆管形，浅黄骨髓充满全部管状骨腔，带部分肌肉</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猪蹄</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干净、完整、无毛、无黑斑、无指甲、表皮光滑，肉质有弹性</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猪肝</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肝叶完整、暗红，质地柔软、湿润、有光泽，边缘薄</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猪心</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心冠脂肪洁白，组织结实有弹性，用手可挤出鲜红的血液和血凝结块</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猪肺</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内呈红色，有光泽</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猪腰</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表面有一层光亮的薄膜，呈浅红色，柔软有光泽、有弹性</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猪大肠</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呈浅黄，无黑斑，柔软，表面光滑湿润，无异物，极小味道</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r>
        <w:tblPrEx>
          <w:tblW w:w="9866" w:type="dxa"/>
          <w:tblInd w:w="0" w:type="dxa"/>
          <w:shd w:val="clear" w:color="auto" w:fill="auto"/>
          <w:tblLayout w:type="fixed"/>
          <w:tblCellMar>
            <w:top w:w="0" w:type="dxa"/>
            <w:left w:w="108" w:type="dxa"/>
            <w:bottom w:w="0" w:type="dxa"/>
            <w:right w:w="108" w:type="dxa"/>
          </w:tblCellMar>
        </w:tblPrEx>
        <w:tc>
          <w:tcPr>
            <w:tcW w:w="1008"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猪肚</w:t>
            </w:r>
          </w:p>
        </w:tc>
        <w:tc>
          <w:tcPr>
            <w:tcW w:w="6822" w:type="dxa"/>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呈浅白，色泽光润，不带肥油，内部干净，无异物，极小味道</w:t>
            </w:r>
          </w:p>
        </w:tc>
        <w:tc>
          <w:tcPr>
            <w:tcW w:w="2036" w:type="dxa"/>
            <w:vMerge/>
            <w:shd w:val="clear" w:color="auto" w:fill="auto"/>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tc>
      </w:tr>
    </w:tbl>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ascii="宋体" w:eastAsia="宋体" w:hAnsi="宋体" w:cs="宋体" w:hint="eastAsia"/>
          <w:b w:val="0"/>
          <w:bCs/>
          <w:color w:val="auto"/>
          <w:sz w:val="28"/>
          <w:szCs w:val="28"/>
        </w:rPr>
      </w:pPr>
    </w:p>
    <w:tbl>
      <w:tblPr>
        <w:tblStyle w:val="GridTable5DarkAccent21"/>
        <w:tblW w:w="995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1012"/>
        <w:gridCol w:w="5868"/>
        <w:gridCol w:w="3078"/>
      </w:tblGrid>
      <w:tr>
        <w:tblPrEx>
          <w:tblW w:w="995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rHeight w:val="542"/>
        </w:trPr>
        <w:tc>
          <w:tcPr>
            <w:tcW w:w="1012"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品名</w:t>
            </w:r>
          </w:p>
        </w:tc>
        <w:tc>
          <w:tcPr>
            <w:tcW w:w="5868"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质量验收标准</w:t>
            </w:r>
          </w:p>
        </w:tc>
        <w:tc>
          <w:tcPr>
            <w:tcW w:w="3078"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扣秤标准</w:t>
            </w:r>
          </w:p>
        </w:tc>
      </w:tr>
      <w:tr>
        <w:tblPrEx>
          <w:tblW w:w="9958" w:type="dxa"/>
          <w:tblInd w:w="0" w:type="dxa"/>
          <w:shd w:val="clear" w:color="auto" w:fill="auto"/>
          <w:tblLayout w:type="fixed"/>
          <w:tblCellMar>
            <w:top w:w="0" w:type="dxa"/>
            <w:left w:w="108" w:type="dxa"/>
            <w:bottom w:w="0" w:type="dxa"/>
            <w:right w:w="108" w:type="dxa"/>
          </w:tblCellMar>
        </w:tblPrEx>
        <w:trPr>
          <w:trHeight w:val="2138"/>
        </w:trPr>
        <w:tc>
          <w:tcPr>
            <w:tcW w:w="101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鲜牛肉</w:t>
            </w:r>
          </w:p>
        </w:tc>
        <w:tc>
          <w:tcPr>
            <w:tcW w:w="5868"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肉色深红，肉质有弹性，指压凹陷部分会立刻恢复，切面有光泽及微湿润，极少渗出物；具有浓郁的牛肉气味，脂肪白色或乳白色；无寄生虫，无注水</w:t>
            </w:r>
          </w:p>
        </w:tc>
        <w:tc>
          <w:tcPr>
            <w:tcW w:w="3078"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若有注水且注水不明显，按10-20%扣秤；注水明显的拒收</w:t>
            </w:r>
          </w:p>
        </w:tc>
      </w:tr>
    </w:tbl>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ascii="宋体" w:eastAsia="宋体" w:hAnsi="宋体" w:cs="宋体" w:hint="eastAsia"/>
          <w:b w:val="0"/>
          <w:bCs/>
          <w:color w:val="auto"/>
          <w:sz w:val="28"/>
          <w:szCs w:val="28"/>
        </w:rPr>
      </w:pP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肉类配送采用当日采购、当日配送的原则。采购的肉类检查合格后，直接装入冷藏车，利用冷库车的挂钩悬挂，不接触车壁，调节好温度，然后直接配送至客户指定地点，由客户验收。</w:t>
      </w:r>
    </w:p>
    <w:p>
      <w:pPr>
        <w:spacing w:line="360" w:lineRule="auto"/>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b w:val="0"/>
          <w:bCs/>
          <w:color w:val="auto"/>
          <w:sz w:val="28"/>
          <w:szCs w:val="28"/>
        </w:rPr>
        <w:t>二、蔬菜</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我公司有长期合作开发的蔬菜供应基地，蔬菜基地采用有机肥种植，不使用化肥、农药，保证蔬菜属于绿色有机无公害蔬菜。</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蔬菜采购指标如下：</w:t>
      </w:r>
    </w:p>
    <w:tbl>
      <w:tblPr>
        <w:tblStyle w:val="GridTable5DarkAccent22"/>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85"/>
        <w:gridCol w:w="810"/>
        <w:gridCol w:w="4575"/>
        <w:gridCol w:w="3780"/>
      </w:tblGrid>
      <w:tr>
        <w:tblPrEx>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rHeight w:val="285"/>
          <w:tblHeader/>
          <w:jc w:val="center"/>
        </w:trPr>
        <w:tc>
          <w:tcPr>
            <w:tcW w:w="9750" w:type="dxa"/>
            <w:gridSpan w:val="4"/>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蔬菜的详细验收标准</w:t>
            </w:r>
          </w:p>
        </w:tc>
      </w:tr>
      <w:tr>
        <w:tblPrEx>
          <w:tblW w:w="9750" w:type="dxa"/>
          <w:jc w:val="center"/>
          <w:shd w:val="clear" w:color="auto" w:fill="auto"/>
          <w:tblLayout w:type="fixed"/>
          <w:tblCellMar>
            <w:top w:w="0" w:type="dxa"/>
            <w:left w:w="108" w:type="dxa"/>
            <w:bottom w:w="0" w:type="dxa"/>
            <w:right w:w="108" w:type="dxa"/>
          </w:tblCellMar>
        </w:tblPrEx>
        <w:trPr>
          <w:trHeight w:val="580"/>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序号</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品名</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优质质量形态</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劣质质量形态</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小白菜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梗白色,较嫩较短,叶子淡绿色,整棵菜水份充足,无根.</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有黄叶,枯萎,虫蛀洞或小虫,腐烂,压伤,散水太多;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青菜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梗白色或浅绿色,较嫩,叶子深绿色,整棵菜水份充足,无根.</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有黄叶,枯萎,虫蛀洞或小虫,腐烂,压伤,散水太多;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菜秧</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梗较细较嫩,叶子细长,淡绿色,棵小似鸡毛,水份充足.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有黄叶,枯萎,虫蛀洞或小虫,腐烂,压伤,散水太多;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油菜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梗短粗,呈淡绿色或白色,叶子厚肥大,主茎无花蕾.水份充足,无根.</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有黄叶,枯萎,小虫,腐烂,压伤,散水太多;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韭菜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叶较宽,挺直,翠绿色,根部洁白,软嫩且有韭菜味,根株均匀,长20历米以内;</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有泥土,黄叶或叶上有斑,枯萎,无尖,腐烂.</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韭黄</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叶肥挺,稍弯曲,色泽淡黄,香味浓郁,长20历米以内.</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有泥土,黄叶,干软,有断裂,腐烂.</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7</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香芹</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又旱芹,叶翠绿,无主茎分枝少,根细,茎挺直,脆,芹菜香味,水份充足,长约30历米.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有泥土,黄叶,烂叶.干叶、根粗、分枝多、茎老帮、弯曲、空心，有锈斑、黄斑、断裂、腐烂。</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8</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水芹</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叶嫩绿或黄绿，茎、根部呈白色，茎细软，中间空、水份充足，有清香味，长约30历米。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有泥土、烂叶、黄叶、根茎变黄、有锈斑、黄斑、断裂、腐烂、杂草。</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9</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西芹</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叶茎宽厚，颜色深绿，新鲜肥嫩，爽口无渣。</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有黄叶、梗伤，水秀，腐烂，断裂，枯萎。</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10</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菠菜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颜色碧绿，平嫩，叶子大、挺直，根桃红，无主茎且无柄无红色，棵株适当。</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有泥土，带穗，抽茎和黄叶，枯叶，干尖，腐烂和虫眼。</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11</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生菜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颜色鲜艳，淡绿，叶子水份充足，脆嫩薄、可竖起，棵株挺直。</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叶子发黄，有褐色边或褐斑，干软，卷曲，脱叶。</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12</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空心菜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ascii="宋体" w:eastAsia="宋体" w:hAnsi="宋体" w:cs="宋体" w:hint="eastAsia"/>
                <w:b w:val="0"/>
                <w:bCs/>
                <w:color w:val="auto"/>
                <w:sz w:val="28"/>
                <w:szCs w:val="28"/>
              </w:rPr>
            </w:pP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ascii="宋体" w:eastAsia="宋体" w:hAnsi="宋体" w:cs="宋体" w:hint="eastAsia"/>
                <w:b w:val="0"/>
                <w:bCs/>
                <w:color w:val="auto"/>
                <w:sz w:val="28"/>
                <w:szCs w:val="28"/>
              </w:rPr>
            </w:pPr>
          </w:p>
        </w:tc>
      </w:tr>
    </w:tbl>
    <w:p>
      <w:pPr>
        <w:sectPr>
          <w:type w:val="nextPage"/>
          <w:pgSz w:w="11906" w:h="16838"/>
          <w:pgMar w:top="1440" w:right="1080" w:bottom="1440" w:left="1080" w:header="851" w:footer="992" w:gutter="0"/>
          <w:pgNumType w:start="5"/>
          <w:cols w:num="1" w:space="425"/>
          <w:titlePg w:val="0"/>
          <w:docGrid w:type="lines" w:linePitch="312" w:charSpace="0"/>
        </w:sectPr>
      </w:pPr>
    </w:p>
    <w:tbl>
      <w:tblPr>
        <w:tblStyle w:val="GridTable5DarkAccent23"/>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85"/>
        <w:gridCol w:w="810"/>
        <w:gridCol w:w="4575"/>
        <w:gridCol w:w="3780"/>
      </w:tblGrid>
      <w:tr>
        <w:tblPrEx>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tc>
        <w:tc>
          <w:tcPr>
            <w:tcW w:w="810" w:type="dxa"/>
            <w:shd w:val="clear" w:color="auto" w:fill="auto"/>
            <w:vAlign w:val="center"/>
          </w:tcP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叶薄小翠绿，有光泽，棵株挺直，梗细嫩脆、淡绿色易折断，棵株约15历米。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叶子大、黄叶、烂叶和锈斑，有花蕾、虫洞、腐烂，棵株软，梗粗老，节上有白色支头。</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13</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西洋菜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颜色淡绿或深绿，茎细脆嫩，易折断，水份充足，棵株挺直。</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茎粗老，白色支头多，有黄叶、烂叶、杂草，棵株软且大。</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14</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麦菜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叶淡绿、肥厚，嫩脆，无主茎，叶株挺直、水份充足，根部的切面嫩绿色，稍有苦涩味。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黄叶、烂叶、有叶斑，有主茎，干软。</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15</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芥菜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叶大而薄、深绿色、柄嫩绿脆，无主茎，叶株挺直，水份充足。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黄叶、黄叶边、有虫、干软。</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16</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苋菜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有红绿两种，叶子为绿色或红色，叶大薄软，有光泽，茎细短、光滑嫩脆，棵株挺直，水份充足。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有黄叶，叶背有白点有虫，枯萎有籽，茎粗老。</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17</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潺菜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颜色碧绿、叶厚实，有光泽，梗细短、光滑嫩绿，掐之易断。</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有叶斑或叶子过大，枯萎，有杂质，梗粗老。</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18</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菜芯</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颜色碧绿、梗脆嫩，掐之易断，有花蕾或无花蕾，棵株挺直，水分充足。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有叶班、虫洞、枯萎，梗粗老，或开花过多。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19</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芥兰</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颜色墨绿，叶短少，有白霜，挺直，梗皮有光泽、绿色、粗长、断面绿白色、湿润，</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叶枯萎有花蕾、压伤，断面黄色、锈色、腐烂或干涩。</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20</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小葱</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叶翠绿、饱满充气，均匀细长、鳞茎洁白、挺直、香味浓郁，长15-30历米。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有黄叶、烂叶、干尖、叶斑。有毛根、泥土，枯萎，茎弯曲或浸水过多。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21</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胡葱</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叶翠绿、饱满充气，均匀细长、鳞茎洁白、挺直、香味浓郁，长15-30历米。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有黄叶、烂叶、干尖、叶斑。有毛根、泥土，枯萎，茎弯曲或浸水过多。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22</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青蒜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叶翠绿、薄嫩、挺直，蒜茎洁白，水份充足，外表无水。</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有黄叶、干尖、烂梢，有根、泥土。</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23</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香菜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翠绿、挺直、根部无泥、香气重、水份充足。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黄叶、腐烂、泥土、发蔫。</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24</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青椒</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长形或萝卜形，颜色碧绿，有光泽、表面光滑，饱满有一定硬度和弹性，肉层中等有辣味。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腐烂、干尖、表面无光泽、有皱纹、断裂，干软、凹陷，有泥土．</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25</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西椒</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柿形或灯笼形，较大，颜色碧绿、有光泽、表面光滑饱满有一定硬度各弹性，肉厚少籽，味道香甜。</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腐烂、表面无光泽、有皱纹、断裂，干软、压伤划痕。</w:t>
            </w:r>
          </w:p>
        </w:tc>
      </w:tr>
    </w:tbl>
    <w:p>
      <w:pPr>
        <w:sectPr>
          <w:type w:val="nextPage"/>
          <w:pgSz w:w="11906" w:h="16838"/>
          <w:pgMar w:top="1440" w:right="1080" w:bottom="1440" w:left="1080" w:header="851" w:footer="992" w:gutter="0"/>
          <w:pgNumType w:start="6"/>
          <w:cols w:num="1" w:space="425"/>
          <w:titlePg w:val="0"/>
          <w:docGrid w:type="lines" w:linePitch="312" w:charSpace="0"/>
        </w:sectPr>
      </w:pPr>
    </w:p>
    <w:tbl>
      <w:tblPr>
        <w:tblStyle w:val="GridTable5DarkAccent24"/>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85"/>
        <w:gridCol w:w="810"/>
        <w:gridCol w:w="4575"/>
        <w:gridCol w:w="3780"/>
      </w:tblGrid>
      <w:tr>
        <w:tblPrEx>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26</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辣椒</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细长圆锥形、颜色黄绿或碧绿，有光泽、表面光滑，饱满有一定硬度和弹性，肉薄籽多、辣味重。</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腐烂、干尖、表面无光泽、有皱纹、断裂，干软、划痕．</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27</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红椒</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颜色红艳、有光泽、表面光滑，饱满有一定硬度和弹性。</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腐烂、干尖、表面无光泽、有皱纹、断裂，干软、划痕．颜色部分红。</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28</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蕃茄</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颜色大红、粉红或黄色、光泽亮艳，个大圆整，饱满有弹性，至少八成熟，肉厚籽少，味甜中带酸。</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腐烂、压伤、过软或过硬，表皮有斑点或畸形果。</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29</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大白菜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外叶淡绿色、奶黄色、帮白内叶乳白色，叶新鲜光泽，棵株大，完整，包心坚实紧密，根部断面洁白完整。</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空心、乱心、压伤、冻伤、虫蛀、雨淋、水浸、裂缝、老帮黄叶、外叶萎蔫，包心松，有泥土。</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30</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苞菜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外叶淡绿色、，内叶淡黄色，叶肥厚脆嫩，棵株大，完整，包心坚实紧密，根部断面洁白完整。</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包心松散有黄叶、虫蛀，萎蔫、雨淋水浸。</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31</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大葱</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葱叶为管状、浅绿色，，葱白长、紧实、挺直，无根、长约５０历米。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分葱、花皮、枯萎、霉叶、黄叶，有泥土、葱白松空、弯曲。</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32</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茄子</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色正（青、紫、白）形正（棒形、卵形、灯泡形），表面光滑有光泽，有弹性不软，皮薄肉嫩籽少，个体均匀。</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表皮有皱，压伤、虫蛀、烂斑、籽肉分离，太软。</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33</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蒿笋</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笋形粗壮，条直、均匀、叶绿色，茎皮光泽，绿或淡绿色，断面碧绿。嫩叶少。</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压伤、裂纹、水锈斑，空心、厚度、黄叶、毛根、有泥土。</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34</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蒜苔</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颜色深绿、梗细滑、有光泽、挺直、鲜嫩、指甲掐之易断。</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颜色黄绿，梗粗，表面有皱纹。老掐之不断，梗尖干黄。</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35</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花菜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花蕾颜色洁白或乳白、功密紧实不散，球形完整、表面湿润，花梗乳白或淡绿，紧凑，外叶绿色且少，主茎短，断面洁白。</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花蕾发黄，有黑斑及污点，粗且松，表面发干，压伤，刀伤，虫害，主茎长。</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36</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西兰花</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花蕾颜色深绿、功密紧实不散，球形完整、表面有白霜,花梗深绿、紧凑，外叶绿色且少，主茎短。</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花蕾有烂斑，污点、粗且松，表面发干，压伤、刀伤、主茎长。</w:t>
            </w:r>
          </w:p>
        </w:tc>
      </w:tr>
    </w:tbl>
    <w:p>
      <w:pPr>
        <w:sectPr>
          <w:type w:val="nextPage"/>
          <w:pgSz w:w="11906" w:h="16838"/>
          <w:pgMar w:top="1440" w:right="1080" w:bottom="1440" w:left="1080" w:header="851" w:footer="992" w:gutter="0"/>
          <w:pgNumType w:start="7"/>
          <w:cols w:num="1" w:space="425"/>
          <w:titlePg w:val="0"/>
          <w:docGrid w:type="lines" w:linePitch="312" w:charSpace="0"/>
        </w:sectPr>
      </w:pPr>
    </w:p>
    <w:tbl>
      <w:tblPr>
        <w:tblStyle w:val="GridTable5DarkAccent25"/>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85"/>
        <w:gridCol w:w="810"/>
        <w:gridCol w:w="4575"/>
        <w:gridCol w:w="3780"/>
      </w:tblGrid>
      <w:tr>
        <w:tblPrEx>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37</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黄瓜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颜色青绿，瓜身细短、条直均匀，瓜把小，顶花带刺，有白霜或光泽，肉脆甜、瓤小籽少。</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颜色黄，皮皱，有大肚或瘦尖，弯曲，有压伤、腐烂、断裂，肉白或有空心。</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38</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冬瓜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皮青翠，有白霜，肉洁白、厚嫩、紧密，膛小，有一定硬度。</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压伤、烂斑、较软，肉有空隙，水份少，发糠。</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39</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丝瓜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有棱和无棱两种，皮颜色翠绿、薄嫩、有白霜，条直均匀、细长挺直，易断无弹性，肉洁白软嫩、子小。</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颜色泛黄、皮粗糙，弯曲、不均，伤疤、烂斑、黄斑，较软有弹性，肉松软或空。</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40</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苦瓜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颜色淡绿色有光泽，凸处明显，条直均匀，有一定硬度，瓤黄白，子小、味苦。</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腐烂、压伤、刀伤、磨损，有虫洞，斑点，颜色发黄、甚至发红，瓜身软。</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41</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毛瓜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颜色翠绿色有光泽，有细绒毛,皮薄嫩,肉洁白子小、形正，有一定硬度。</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压伤、烂斑、凹瘪，黄斑，瓜身软，绒毛倒伏．</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42</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南瓜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颜色金黄色或橙黄色，瓜形周正，肉金黄紧密、粉甜，表面硬实。</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斑疤、破裂、虫洞、料斑、软烂、畸形。</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43</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蒲瓜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颜色淡绿色、有光泽，表面光滑平整、有白色绒毛，有一定硬度无弹性，皮薄肉洁白鲜嫩，瓜形周正。</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断裂、划伤、软烂、干皱、畸形，颜色发黄。</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44</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佛手瓜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颜色浅绿色，佛手形，有一定硬度，皮脆硬，肉晶莹透明，瓜形正。</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表皮擦伤，干皱、烂斑。</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45</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角瓜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颜色黄绿色、表皮光滑有花纹和棱边，皮薄肉嫩，瓤小子少，有一定硬度，尾蒂有毛刺。</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表皮粗糙、烂斑、划伤、软烂。</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46</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新豆</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颜色淡绿有光泽，豆荚细长、均匀、挺直、饱满、有花蒂，有弹性，折之易断。</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虫洞、黄斑、烂斑、粗细不均、豆荚松软，有空、折之不断、筋丝较韧。</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47</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毛豆</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颜色青绿、表面有黄色绒毛，豆荚饱满，剥开后豆粒呈淡绿色、完整、有清香。</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受潮、虫洞、软烂、颜色发黄发黑，豆粒瘪而小有异味。</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48</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青豆</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颜色青绿单一、有光泽，豆粒大，均匀完整，较嫩。</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颜色杂，大小不均匀，碎粒、烂粒、霉粒、杂质。</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49</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四季豆</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颜色翠绿色、表面有细绒毛，豆荚细长均匀，水分充足。饱满有韧性、能弯曲，指甲掐之后有痕，断之容易。</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有虫洞，斑点水锈腐烂萎蔫，纤维明显，筋丝粗韧，豆荚粗壮，难弯曲。</w:t>
            </w:r>
          </w:p>
        </w:tc>
      </w:tr>
    </w:tbl>
    <w:p>
      <w:pPr>
        <w:sectPr>
          <w:type w:val="nextPage"/>
          <w:pgSz w:w="11906" w:h="16838"/>
          <w:pgMar w:top="1440" w:right="1080" w:bottom="1440" w:left="1080" w:header="851" w:footer="992" w:gutter="0"/>
          <w:pgNumType w:start="8"/>
          <w:cols w:num="1" w:space="425"/>
          <w:titlePg w:val="0"/>
          <w:docGrid w:type="lines" w:linePitch="312" w:charSpace="0"/>
        </w:sectPr>
      </w:pPr>
    </w:p>
    <w:tbl>
      <w:tblPr>
        <w:tblStyle w:val="GridTable5DarkAccent26"/>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85"/>
        <w:gridCol w:w="810"/>
        <w:gridCol w:w="4575"/>
        <w:gridCol w:w="3780"/>
      </w:tblGrid>
      <w:tr>
        <w:tblPrEx>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50</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荷兰豆</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颜色嫩绿有光泽，豆荚挺直，折之易断，筋丝不明显，豆粒小而无。</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枯萎、颜色黄绿色，筋丝明显，折之不断。</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51</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黄豆芽</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豆芽挺直，芽身短而粗，根须少，芽色洁白晶莹。</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发黄、发黑、干燥、豆壳多，断芽、烂头、烂尾。</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52</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绿豆芽</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豆芽挺直，芽身短而粗，根须少，芽色洁白晶莹。</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发黄、发黑、干燥、豆壳多，断芽、烂头、烂尾。</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53</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土豆</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颜色为淡黄色或奶白色，个大形正、大小整齐，表皮光滑，体硬不软，饱满。</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发芽、青斑、萎蔫、腐烂、坑眼多、有毛根、泥土、糙皮。</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54</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洋葱</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鳞片颜色粉白或紫白，鳞片肥厚，完整无损，抱合紧密，球茎干度适中，有一定硬度。</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腐烂、干枯、过软、裂开、发芽、发乌、有泥土。</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55</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红薯</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颜色粉红或淡黄色，依品种而定，个大形正，大小整齐，表面无伤，体硬不软、饱满。</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腐烂、破皮、坑眼多、畸形、泥土多发软。</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56</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生姜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颜色淡黄，表皮完整，姜体脆硬，肥大有姜味。</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烂斑、干硬、碰伤、毛根、泥土多。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57</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蒜头</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颜色白色或紫色，蒜皮干燥，蒜瓣结实不散，有硬度。</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发芽、散瓣、烂瓣，瘪瓣、虫孔，须根。</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58</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胡萝卜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颜色红色可橘黄色，表面光滑、条直匀称，粗壮、硬实不软、肉质甜脆、中心柱细小。</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表皮争缩，刀伤、开裂、体软、褐斑，肉质薄、发糠、泥土多。</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59</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青萝卜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颜色青绿，皮薄且较细，肉质紧密，形体完整，水分大份量重。</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糠心、开裂、刀伤、泥土多，局部腐烂。</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60</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白萝卜</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颜色洁白光亮，表面光滑、细腻，形体完整、份量重，底部切面洁白，水分大，肉嫩脆、味甜适中。</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糠心、花心、灰心、断裂、压伤、虫洞、毛根、糙皮、泥土多，表面有黄斑或褐斑。</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61</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芋头</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颜色为红褐色,表皮粗糙,个体方面军中,断面肉质洁白,且有紫色斑点,不硬心.</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刀伤、根须、疤痕、泥土多、个体过小，水份蒸发、肉硬但不脆。</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62</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莲藕</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表皮颜色白中带黄，藕节肥大，无叉，水分充足，肉洁白脆嫩，藕节一般为3-4节。</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有外伤、断裂、有褐色斑，干萎颜色发黄。</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63</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鲛白</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ascii="宋体" w:eastAsia="宋体" w:hAnsi="宋体" w:cs="宋体" w:hint="eastAsia"/>
                <w:b w:val="0"/>
                <w:bCs/>
                <w:color w:val="auto"/>
                <w:sz w:val="28"/>
                <w:szCs w:val="28"/>
              </w:rPr>
            </w:pP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茎肉颜色青绿、有斑、较细且空、有刀伤或虫洞。</w:t>
            </w:r>
          </w:p>
        </w:tc>
      </w:tr>
    </w:tbl>
    <w:p>
      <w:pPr>
        <w:sectPr>
          <w:type w:val="nextPage"/>
          <w:pgSz w:w="11906" w:h="16838"/>
          <w:pgMar w:top="1440" w:right="1080" w:bottom="1440" w:left="1080" w:header="851" w:footer="992" w:gutter="0"/>
          <w:pgNumType w:start="9"/>
          <w:cols w:num="1" w:space="425"/>
          <w:titlePg w:val="0"/>
          <w:docGrid w:type="lines" w:linePitch="312" w:charSpace="0"/>
        </w:sectPr>
      </w:pPr>
    </w:p>
    <w:tbl>
      <w:tblPr>
        <w:tblStyle w:val="GridTable5DarkAccent27"/>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85"/>
        <w:gridCol w:w="810"/>
        <w:gridCol w:w="4575"/>
        <w:gridCol w:w="3780"/>
      </w:tblGrid>
      <w:tr>
        <w:tblPrEx>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tc>
        <w:tc>
          <w:tcPr>
            <w:tcW w:w="810" w:type="dxa"/>
            <w:shd w:val="clear" w:color="auto" w:fill="auto"/>
            <w:vAlign w:val="center"/>
          </w:tcP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叶颜色青绿，完整，茎粗壮、肉肥厚较嫩，颜色洁白或淡黄色，折之易断。</w:t>
            </w:r>
          </w:p>
        </w:tc>
        <w:tc>
          <w:tcPr>
            <w:tcW w:w="3780" w:type="dxa"/>
            <w:shd w:val="clear" w:color="auto" w:fill="auto"/>
            <w:vAlign w:val="center"/>
          </w:tcP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64</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冬笋</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笋壳淡黄色，有光泽、完整清洁，壳肉紧帖、饱满，肉质洁白较嫩，根小。</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冰冻、霉烂、风干、刀伤，壳皮卷曲，离肉、有黑斑，根大、肉老。</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65</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竹笋</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笋壳淡黄色，有光泽，笋体粗壮、充实、饱满，肉质洁白较嫩，水分多。</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断裂、黑斑、风干、刀伤，壳皮卷曲，壳肉有空隙，笋根变黑、肉变色。</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66</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茨前</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外包膜颜色淡黄、顶端尖芽淡黄色，形大饱满、洁净、肉乳白细腻。</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刀伤、虫洞、裂开、腐烂、冰冻、个小、多泥、顶端尖芽萎蔫。</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67</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香菇</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菌盖颜色褐色、有光泽、菌耀为淡米色或乳白色，菌身完整无损，不湿，菌盖大、有弹性、柄短小，香味浓、重量轻。</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腐烂、破损、潮湿、粘手，菌身不完整，颜色暗淡，发黑，味淡或异味。</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68</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平菇</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菌为洁白色或浅黑色，菌身完整、大小均匀，菌盖与柄、菌环相连未展开，根短。</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发霉、潮湿、粘手、水浸、杂质、菌盖边缘裂开，盖柄脱离，颜色发黄有黄斑。</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69</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草菇</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顶部颜色为鼠灰色，根部为乳白色，蛋或卵圆形、饱满，菌膜未破、湿度适中。</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潮湿、粘手、水浸、菌盖边缘欲裂或腰凹陷．</w:t>
            </w:r>
          </w:p>
        </w:tc>
      </w:tr>
      <w:tr>
        <w:tblPrEx>
          <w:tblW w:w="9750" w:type="dxa"/>
          <w:jc w:val="center"/>
          <w:shd w:val="clear" w:color="auto" w:fill="auto"/>
          <w:tblLayout w:type="fixed"/>
          <w:tblCellMar>
            <w:top w:w="0" w:type="dxa"/>
            <w:left w:w="108" w:type="dxa"/>
            <w:bottom w:w="0" w:type="dxa"/>
            <w:right w:w="108" w:type="dxa"/>
          </w:tblCellMar>
        </w:tblPrEx>
        <w:trPr>
          <w:trHeight w:val="795"/>
          <w:jc w:val="center"/>
        </w:trPr>
        <w:tc>
          <w:tcPr>
            <w:tcW w:w="58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70</w:t>
            </w:r>
          </w:p>
        </w:tc>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金针菇</w:t>
            </w:r>
          </w:p>
        </w:tc>
        <w:tc>
          <w:tcPr>
            <w:tcW w:w="457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菌盖颜色乳白、菌柄淡黄色、根部淡褐色，菌身细短，挺直。</w:t>
            </w:r>
          </w:p>
        </w:tc>
        <w:tc>
          <w:tcPr>
            <w:tcW w:w="378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lang w:bidi="ar"/>
              </w:rPr>
              <w:t>腐烂、潮湿、枯萎、菌盖脱落，柄粗长，颜色发黄。</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eastAsia="宋体" w:hAnsi="宋体" w:cs="宋体" w:hint="eastAsia"/>
          <w:b w:val="0"/>
          <w:bCs/>
          <w:color w:val="auto"/>
          <w:sz w:val="28"/>
          <w:szCs w:val="28"/>
        </w:rPr>
      </w:pP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蔬菜类配送采用当日采购、当日配送的原则。当客户下达订单后，我公司采购经理将携同采购人员一同前往蔬菜供应基地，现场采摘所需要的蔬菜，不采摘过熟或欠熟的蔬菜，采摘完毕后由基地工作人员进行清水清洗，</w:t>
      </w:r>
      <w:r>
        <w:rPr>
          <w:rFonts w:ascii="宋体" w:eastAsia="宋体" w:hAnsi="宋体" w:cs="宋体" w:hint="eastAsia"/>
          <w:b w:val="0"/>
          <w:bCs/>
          <w:color w:val="auto"/>
          <w:kern w:val="0"/>
          <w:sz w:val="28"/>
          <w:szCs w:val="28"/>
        </w:rPr>
        <w:t>保证菜面干净、无明显泥土、无黄叶、枯死叶、无虫、无杂质。清洗完后，采用洁净的保鲜筐盛装，按统一标准放置，码放整齐、无破损、大小基本统一，然后装入干燥、整洁的面包车，直接配送至客户指定地点。</w:t>
      </w:r>
    </w:p>
    <w:p>
      <w:pPr>
        <w:keepNext w:val="0"/>
        <w:keepLines w:val="0"/>
        <w:pageBreakBefore w:val="0"/>
        <w:wordWrap/>
        <w:overflowPunct/>
        <w:topLinePunct w:val="0"/>
        <w:bidi w:val="0"/>
        <w:adjustRightInd w:val="0"/>
        <w:snapToGrid w:val="0"/>
        <w:spacing w:line="360" w:lineRule="auto"/>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b w:val="0"/>
          <w:bCs/>
          <w:color w:val="auto"/>
          <w:sz w:val="28"/>
          <w:szCs w:val="28"/>
        </w:rPr>
        <w:t>三、鸡蛋</w:t>
      </w:r>
    </w:p>
    <w:p>
      <w:pPr>
        <w:keepNext w:val="0"/>
        <w:keepLines w:val="0"/>
        <w:pageBreakBefore w:val="0"/>
        <w:wordWrap/>
        <w:overflowPunct/>
        <w:topLinePunct w:val="0"/>
        <w:bidi w:val="0"/>
        <w:adjustRightInd w:val="0"/>
        <w:snapToGrid w:val="0"/>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我公司有固定养鸡场合作伙伴，该养鸡场养殖技术先进科学，具有政府监督所检疫章的动物检疫证明，产出的鸡蛋质量合格。</w:t>
      </w:r>
    </w:p>
    <w:p>
      <w:pPr>
        <w:keepNext w:val="0"/>
        <w:keepLines w:val="0"/>
        <w:pageBreakBefore w:val="0"/>
        <w:wordWrap/>
        <w:overflowPunct/>
        <w:topLinePunct w:val="0"/>
        <w:bidi w:val="0"/>
        <w:adjustRightInd w:val="0"/>
        <w:snapToGrid w:val="0"/>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我公司定期采购鸡蛋进行存储，以备客户所需。我公司有专门的鸡蛋存储仓库，我公司采用以下措施保障鸡蛋质量：</w:t>
      </w:r>
    </w:p>
    <w:p>
      <w:pPr>
        <w:keepNext w:val="0"/>
        <w:keepLines w:val="0"/>
        <w:pageBreakBefore w:val="0"/>
        <w:numPr>
          <w:ilvl w:val="0"/>
          <w:numId w:val="2"/>
        </w:numPr>
        <w:wordWrap/>
        <w:overflowPunct/>
        <w:topLinePunct w:val="0"/>
        <w:bidi w:val="0"/>
        <w:adjustRightInd w:val="0"/>
        <w:snapToGrid w:val="0"/>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采购回来的鸡蛋入库前，先利用醋液对鸡蛋表面进行清洗。</w:t>
      </w:r>
    </w:p>
    <w:p>
      <w:pPr>
        <w:keepNext w:val="0"/>
        <w:keepLines w:val="0"/>
        <w:pageBreakBefore w:val="0"/>
        <w:numPr>
          <w:ilvl w:val="0"/>
          <w:numId w:val="2"/>
        </w:numPr>
        <w:wordWrap/>
        <w:overflowPunct/>
        <w:topLinePunct w:val="0"/>
        <w:bidi w:val="0"/>
        <w:adjustRightInd w:val="0"/>
        <w:snapToGrid w:val="0"/>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对仓库进行消毒，保证仓库的干净、卫生。</w:t>
      </w:r>
    </w:p>
    <w:p>
      <w:pPr>
        <w:keepNext w:val="0"/>
        <w:keepLines w:val="0"/>
        <w:pageBreakBefore w:val="0"/>
        <w:numPr>
          <w:ilvl w:val="0"/>
          <w:numId w:val="2"/>
        </w:numPr>
        <w:wordWrap/>
        <w:overflowPunct/>
        <w:topLinePunct w:val="0"/>
        <w:bidi w:val="0"/>
        <w:adjustRightInd w:val="0"/>
        <w:snapToGrid w:val="0"/>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仓库每天通风10小时以上，保证蛋壳无霉点现象。</w:t>
      </w:r>
    </w:p>
    <w:p>
      <w:pPr>
        <w:numPr>
          <w:ilvl w:val="0"/>
          <w:numId w:val="2"/>
        </w:num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利用控温设备，将仓库温度控制长期控制在5℃～6℃，保证鸡蛋品质无异常，不会出现发黑发臭现象。</w:t>
      </w:r>
    </w:p>
    <w:p>
      <w:pPr>
        <w:numPr>
          <w:ilvl w:val="0"/>
          <w:numId w:val="2"/>
        </w:num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利用臭氧定期对鸡蛋进行消毒。</w:t>
      </w:r>
    </w:p>
    <w:p>
      <w:pPr>
        <w:numPr>
          <w:ilvl w:val="0"/>
          <w:numId w:val="2"/>
        </w:num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采购鸡蛋指标如下：</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理化指标</w:t>
      </w:r>
    </w:p>
    <w:tbl>
      <w:tblPr>
        <w:tblStyle w:val="GridTable5DarkAccent28"/>
        <w:tblW w:w="982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691"/>
        <w:gridCol w:w="4136"/>
      </w:tblGrid>
      <w:tr>
        <w:tblPrEx>
          <w:tblW w:w="982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blHeader/>
        </w:trPr>
        <w:tc>
          <w:tcPr>
            <w:tcW w:w="5691" w:type="dxa"/>
            <w:tcBorders>
              <w:insideV w:val="nil"/>
            </w:tcBorders>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项目</w:t>
            </w:r>
          </w:p>
        </w:tc>
        <w:tc>
          <w:tcPr>
            <w:tcW w:w="4136" w:type="dxa"/>
            <w:tcBorders>
              <w:insideV w:val="nil"/>
            </w:tcBorders>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指标</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汞（Hg)，mg/kg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0.03</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铅（Pb)，mg/kg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0.1</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砷(As），mg/kg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0.5</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铬（Cr),mg/kg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1.0</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镉（Cd),mg/kg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0.05</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六六六（BHC)，mg/kg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0.2</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滴滴涕（DDT），mg/kg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0.2</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金霉素（chlortetracycline)，mg/kg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1</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土霉素（oxytetracyline），mg/kg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0.1</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磺胺类（以磺胺类总量计），mg/kg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0.1</w:t>
            </w:r>
          </w:p>
        </w:tc>
      </w:tr>
      <w:tr>
        <w:tblPrEx>
          <w:tblW w:w="9827"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呋喃唑酮，mg/kg</w:t>
            </w:r>
          </w:p>
        </w:tc>
        <w:tc>
          <w:tcPr>
            <w:tcW w:w="4136"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0.1</w:t>
            </w:r>
          </w:p>
        </w:tc>
      </w:tr>
    </w:tbl>
    <w:p>
      <w:pPr>
        <w:spacing w:line="360" w:lineRule="auto"/>
        <w:ind w:firstLine="560" w:firstLineChars="200"/>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b w:val="0"/>
          <w:bCs/>
          <w:color w:val="auto"/>
          <w:kern w:val="0"/>
          <w:sz w:val="28"/>
          <w:szCs w:val="28"/>
        </w:rPr>
        <w:t>微生物指标</w:t>
      </w:r>
    </w:p>
    <w:tbl>
      <w:tblPr>
        <w:tblStyle w:val="GridTable5DarkAccent29"/>
        <w:tblW w:w="98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691"/>
        <w:gridCol w:w="4157"/>
      </w:tblGrid>
      <w:tr>
        <w:tblPrEx>
          <w:tblW w:w="984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c>
          <w:tcPr>
            <w:tcW w:w="5691" w:type="dxa"/>
            <w:tcBorders>
              <w:insideV w:val="nil"/>
            </w:tcBorders>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项目</w:t>
            </w:r>
          </w:p>
        </w:tc>
        <w:tc>
          <w:tcPr>
            <w:tcW w:w="4157" w:type="dxa"/>
            <w:tcBorders>
              <w:insideV w:val="nil"/>
            </w:tcBorders>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指标</w:t>
            </w:r>
          </w:p>
        </w:tc>
      </w:tr>
      <w:tr>
        <w:tblPrEx>
          <w:tblW w:w="9848"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菌落总数</w:t>
            </w:r>
          </w:p>
        </w:tc>
        <w:tc>
          <w:tcPr>
            <w:tcW w:w="4157"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5×104</w:t>
            </w:r>
          </w:p>
        </w:tc>
      </w:tr>
      <w:tr>
        <w:tblPrEx>
          <w:tblW w:w="9848"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大肠杆菌</w:t>
            </w:r>
          </w:p>
        </w:tc>
        <w:tc>
          <w:tcPr>
            <w:tcW w:w="4157"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100</w:t>
            </w:r>
          </w:p>
        </w:tc>
      </w:tr>
      <w:tr>
        <w:tblPrEx>
          <w:tblW w:w="9848" w:type="dxa"/>
          <w:tblInd w:w="0" w:type="dxa"/>
          <w:shd w:val="clear" w:color="auto" w:fill="auto"/>
          <w:tblLayout w:type="fixed"/>
          <w:tblCellMar>
            <w:top w:w="0" w:type="dxa"/>
            <w:left w:w="108" w:type="dxa"/>
            <w:bottom w:w="0" w:type="dxa"/>
            <w:right w:w="108" w:type="dxa"/>
          </w:tblCellMar>
        </w:tblPrEx>
        <w:tc>
          <w:tcPr>
            <w:tcW w:w="5691"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致病菌（沙门氏菌、志贺氏菌、葡萄球菌、溶血性链球菌）</w:t>
            </w:r>
          </w:p>
        </w:tc>
        <w:tc>
          <w:tcPr>
            <w:tcW w:w="4157" w:type="dxa"/>
            <w:shd w:val="clear" w:color="auto" w:fill="auto"/>
          </w:tcPr>
          <w:p>
            <w:pPr>
              <w:spacing w:line="360" w:lineRule="auto"/>
              <w:ind w:firstLine="560" w:firstLineChars="200"/>
              <w:jc w:val="center"/>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不得检出</w:t>
            </w:r>
          </w:p>
        </w:tc>
      </w:tr>
    </w:tbl>
    <w:p>
      <w:pPr>
        <w:spacing w:line="360" w:lineRule="auto"/>
        <w:ind w:firstLine="560" w:firstLineChars="200"/>
        <w:rPr>
          <w:rFonts w:ascii="宋体" w:eastAsia="宋体" w:hAnsi="宋体" w:cs="宋体" w:hint="eastAsia"/>
          <w:b w:val="0"/>
          <w:bCs/>
          <w:color w:val="auto"/>
          <w:sz w:val="28"/>
          <w:szCs w:val="28"/>
        </w:rPr>
      </w:pP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客户下单后，我公司立刻组织人员进行装箱作用。我公司采用木箱包装鲜蛋，保证木箱结实、清洁、干燥，鸡蛋放入蛋托中，蛋的小头朝下，大头朝上，呈倒立状态。每蛋一格，每盘30枚，每个鸡蛋上面都要裹上防震气泡膜，然后放在蛋托上，蛋与蛋之间用塑料泡沫全部填满。蛋托放入木箱前，先将木箱底部铺上一层5～6厘米厚的填充物，箱子的四个角要稍厚些，然后将蛋托放入木箱中，这样一层填充物一层蛋直至将箱装满，最后一层应铺5～6厘米厚的填充物后加盖。木箱盖应当用钉子钉牢固，纸箱则应将箱盖盖严，并用绳子包扎结实。最后注明品名、重量并贴上“请勿倒置”、“小心轻放”的标志。</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公司采用面包车运输，面包车保持清洁干燥。在运输过程中应尽量做到缩短运输时间，减少中转。根据不同的距离和交通状况选用不同的运输工具，做到快、稳、轻。“快”就是尽可能减少运输中的时间；“稳”就是减少震动，选择平稳的交通工具；“轻”就是装卸时要轻拿轻放。</w:t>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四、豆制品</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我公司有专门的豆制品生产加工合作伙伴，拥有丰富的豆制品品种，质量有保障，种类如下：</w:t>
      </w:r>
    </w:p>
    <w:p>
      <w:pPr>
        <w:spacing w:line="360" w:lineRule="auto"/>
        <w:ind w:firstLine="560" w:firstLineChars="200"/>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b w:val="0"/>
          <w:bCs/>
          <w:color w:val="auto"/>
          <w:sz w:val="28"/>
          <w:szCs w:val="28"/>
        </w:rPr>
        <w:t>客户下单后，我公司采购人员立即联系生产商，通知他们准备新鲜食材生产加工豆制品，采购员开冷库车前往生产豆制品加工厂，待产品完成检测合格后，用保鲜盒分类分别包装，然后装入冷藏车，即日送往客户指定地点，减少路途中的时间，保障豆制品的新鲜。</w:t>
      </w:r>
    </w:p>
    <w:tbl>
      <w:tblPr>
        <w:tblStyle w:val="GridTable5DarkAccent210"/>
        <w:tblW w:w="984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40"/>
        <w:gridCol w:w="1410"/>
        <w:gridCol w:w="1230"/>
        <w:gridCol w:w="1200"/>
        <w:gridCol w:w="3043"/>
        <w:gridCol w:w="2421"/>
      </w:tblGrid>
      <w:tr>
        <w:tblPrEx>
          <w:tblW w:w="984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blHeader/>
        </w:trPr>
        <w:tc>
          <w:tcPr>
            <w:tcW w:w="540" w:type="dxa"/>
            <w:vMerge w:val="restart"/>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类别</w:t>
            </w:r>
          </w:p>
        </w:tc>
        <w:tc>
          <w:tcPr>
            <w:tcW w:w="1410" w:type="dxa"/>
            <w:vMerge w:val="restart"/>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品种</w:t>
            </w:r>
          </w:p>
        </w:tc>
        <w:tc>
          <w:tcPr>
            <w:tcW w:w="7894" w:type="dxa"/>
            <w:gridSpan w:val="4"/>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项 目</w:t>
            </w:r>
          </w:p>
        </w:tc>
      </w:tr>
      <w:tr>
        <w:tblPrEx>
          <w:tblW w:w="9844" w:type="dxa"/>
          <w:tblInd w:w="0" w:type="dxa"/>
          <w:shd w:val="clear" w:color="auto" w:fill="auto"/>
          <w:tblLayout w:type="fixed"/>
          <w:tblCellMar>
            <w:top w:w="0" w:type="dxa"/>
            <w:left w:w="108" w:type="dxa"/>
            <w:bottom w:w="0" w:type="dxa"/>
            <w:right w:w="108" w:type="dxa"/>
          </w:tblCellMar>
        </w:tblPrEx>
        <w:trPr>
          <w:tblHeader/>
        </w:trPr>
        <w:tc>
          <w:tcPr>
            <w:tcW w:w="540" w:type="dxa"/>
            <w:vMerge/>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vMerge/>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230"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色泽</w:t>
            </w:r>
          </w:p>
        </w:tc>
        <w:tc>
          <w:tcPr>
            <w:tcW w:w="1200"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气味</w:t>
            </w:r>
          </w:p>
        </w:tc>
        <w:tc>
          <w:tcPr>
            <w:tcW w:w="3043"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形态</w:t>
            </w:r>
          </w:p>
        </w:tc>
        <w:tc>
          <w:tcPr>
            <w:tcW w:w="2421"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质地</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大</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豆</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制</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品</w:t>
            </w: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盒装内酯嫩豆腐</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白色或乳白色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略有豆香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持水性较好，刀切后不坍、不裂</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细腻、嫩滑、无涩味</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盒装内酯老豆腐</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白色或乳白色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略有豆香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持水性好，刀切后不坍、不裂</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滑爽不粗，无涩味</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石膏嫩豆腐</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乳白色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有豆香，不酸</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揭布后，不脱皮，不坍，切口光亮，持水性好</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滑爽不粗，无石膏脚</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石膏老豆腐</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乳白色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有豆香，不酸</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揭布后，不脱皮，不坍，切口光亮，持水性好</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滑爽不粗，较密实，无石膏脚</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豆腐干（香干）</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淡黄色或黄色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有豆香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块形整齐，厚薄均匀</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密实，有韧性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五香豆腐干</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褐色、有光泽</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五香味</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块形整齐，厚薄均匀</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薰香干</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淡褐色和淡黄色相间</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有辛香料柴火香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块形整齐，厚薄均匀，</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乡里柴火干</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淡褐色和淡黄色相间</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有辛香料柴火香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块形整齐，厚薄均匀，</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油豆腐</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金黄色或黄色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有油香和豆香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方形，三角形或长条形</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皮薄软糯，内呈蜂窝状，不实心</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油划方</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金黄色或黄色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有油香和豆香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方形或菱形，大小均匀</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各面生皮，不碎</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素鸡</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乳白色或淡米色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稍带碱味</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圆拄形</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无裂缝，不烂心</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薄百页</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淡黄色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有豆香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方形薄张，无白边、白头、花洞厚薄均匀</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有韧性，稍有拉力</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厚百页</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乳白色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有豆香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方形、厚薄均匀，完整不破碎</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稍有韧性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豆腐衣</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金黄色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有油香</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薄膜状</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稍有韧性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面</w:t>
            </w:r>
            <w:r>
              <w:rPr>
                <w:rFonts w:ascii="宋体" w:eastAsia="宋体" w:hAnsi="宋体" w:cs="宋体" w:hint="eastAsia"/>
                <w:b w:val="0"/>
                <w:bCs/>
                <w:color w:val="auto"/>
                <w:kern w:val="0"/>
                <w:sz w:val="28"/>
                <w:szCs w:val="28"/>
              </w:rPr>
              <w:br/>
            </w:r>
            <w:r>
              <w:rPr>
                <w:rFonts w:ascii="宋体" w:eastAsia="宋体" w:hAnsi="宋体" w:cs="宋体" w:hint="eastAsia"/>
                <w:b w:val="0"/>
                <w:bCs/>
                <w:color w:val="auto"/>
                <w:kern w:val="0"/>
                <w:sz w:val="28"/>
                <w:szCs w:val="28"/>
              </w:rPr>
              <w:t>筋</w:t>
            </w:r>
            <w:r>
              <w:rPr>
                <w:rFonts w:ascii="宋体" w:eastAsia="宋体" w:hAnsi="宋体" w:cs="宋体" w:hint="eastAsia"/>
                <w:b w:val="0"/>
                <w:bCs/>
                <w:color w:val="auto"/>
                <w:kern w:val="0"/>
                <w:sz w:val="28"/>
                <w:szCs w:val="28"/>
              </w:rPr>
              <w:br/>
            </w:r>
            <w:r>
              <w:rPr>
                <w:rFonts w:ascii="宋体" w:eastAsia="宋体" w:hAnsi="宋体" w:cs="宋体" w:hint="eastAsia"/>
                <w:b w:val="0"/>
                <w:bCs/>
                <w:color w:val="auto"/>
                <w:kern w:val="0"/>
                <w:sz w:val="28"/>
                <w:szCs w:val="28"/>
              </w:rPr>
              <w:t>制</w:t>
            </w:r>
            <w:r>
              <w:rPr>
                <w:rFonts w:ascii="宋体" w:eastAsia="宋体" w:hAnsi="宋体" w:cs="宋体" w:hint="eastAsia"/>
                <w:b w:val="0"/>
                <w:bCs/>
                <w:color w:val="auto"/>
                <w:kern w:val="0"/>
                <w:sz w:val="28"/>
                <w:szCs w:val="28"/>
              </w:rPr>
              <w:br/>
            </w:r>
            <w:r>
              <w:rPr>
                <w:rFonts w:ascii="宋体" w:eastAsia="宋体" w:hAnsi="宋体" w:cs="宋体" w:hint="eastAsia"/>
                <w:b w:val="0"/>
                <w:bCs/>
                <w:color w:val="auto"/>
                <w:kern w:val="0"/>
                <w:sz w:val="28"/>
                <w:szCs w:val="28"/>
              </w:rPr>
              <w:t>品</w:t>
            </w: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栗子面筋</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灰白色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有麦香，无酸味</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栗子状</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素肠</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灰白色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有麦香，无酸味</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猪肠状，不包头</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烤夫</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米黄色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ascii="宋体" w:eastAsia="宋体" w:hAnsi="宋体" w:cs="宋体" w:hint="eastAsia"/>
                <w:b w:val="0"/>
                <w:bCs/>
                <w:color w:val="auto"/>
                <w:sz w:val="28"/>
                <w:szCs w:val="28"/>
              </w:rPr>
            </w:pP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蜂窝状</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松软，僵底高度</w:t>
            </w:r>
            <w:r>
              <w:rPr>
                <w:rFonts w:ascii="宋体" w:eastAsia="宋体" w:hAnsi="宋体" w:cs="宋体" w:hint="eastAsia"/>
                <w:b w:val="0"/>
                <w:bCs/>
                <w:color w:val="auto"/>
                <w:kern w:val="0"/>
                <w:sz w:val="28"/>
                <w:szCs w:val="28"/>
              </w:rPr>
              <w:t xml:space="preserve"> ≤</w:t>
            </w:r>
          </w:p>
        </w:tc>
      </w:tr>
    </w:tbl>
    <w:p>
      <w:pPr>
        <w:sectPr>
          <w:type w:val="nextPage"/>
          <w:pgSz w:w="11906" w:h="16838"/>
          <w:pgMar w:top="1440" w:right="1080" w:bottom="1440" w:left="1080" w:header="851" w:footer="992" w:gutter="0"/>
          <w:pgNumType w:start="13"/>
          <w:cols w:num="1" w:space="425"/>
          <w:titlePg w:val="0"/>
          <w:docGrid w:type="lines" w:linePitch="312" w:charSpace="0"/>
        </w:sectPr>
      </w:pPr>
    </w:p>
    <w:tbl>
      <w:tblPr>
        <w:tblStyle w:val="GridTable5DarkAccent211"/>
        <w:tblW w:w="984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540"/>
        <w:gridCol w:w="1410"/>
        <w:gridCol w:w="1230"/>
        <w:gridCol w:w="1200"/>
        <w:gridCol w:w="3043"/>
        <w:gridCol w:w="2421"/>
      </w:tblGrid>
      <w:tr>
        <w:tblPrEx>
          <w:tblW w:w="984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c>
          <w:tcPr>
            <w:tcW w:w="540" w:type="dxa"/>
            <w:vMerge w:val="restart"/>
            <w:shd w:val="clear" w:color="auto" w:fill="auto"/>
            <w:vAlign w:val="center"/>
          </w:tcPr>
          <w:p/>
        </w:tc>
        <w:tc>
          <w:tcPr>
            <w:tcW w:w="1410" w:type="dxa"/>
            <w:shd w:val="clear" w:color="auto" w:fill="auto"/>
            <w:vAlign w:val="center"/>
          </w:tcPr>
          <w:p/>
        </w:tc>
        <w:tc>
          <w:tcPr>
            <w:tcW w:w="1230" w:type="dxa"/>
            <w:shd w:val="clear" w:color="auto" w:fill="auto"/>
            <w:vAlign w:val="center"/>
          </w:tcP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有麦香，无酸味</w:t>
            </w:r>
          </w:p>
        </w:tc>
        <w:tc>
          <w:tcPr>
            <w:tcW w:w="3043" w:type="dxa"/>
            <w:shd w:val="clear" w:color="auto" w:fill="auto"/>
            <w:vAlign w:val="center"/>
          </w:tcP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 xml:space="preserve"> 5</w:t>
            </w:r>
            <w:r>
              <w:rPr>
                <w:rFonts w:ascii="宋体" w:eastAsia="宋体" w:hAnsi="宋体" w:cs="宋体" w:hint="eastAsia"/>
                <w:b w:val="0"/>
                <w:bCs/>
                <w:color w:val="auto"/>
                <w:kern w:val="0"/>
                <w:sz w:val="28"/>
                <w:szCs w:val="28"/>
              </w:rPr>
              <w:t xml:space="preserve"> mm</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油面筋</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金黄色</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有油香，无异味</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呈球状</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内呈丝网状</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豆</w:t>
            </w:r>
            <w:r>
              <w:rPr>
                <w:rFonts w:ascii="宋体" w:eastAsia="宋体" w:hAnsi="宋体" w:cs="宋体" w:hint="eastAsia"/>
                <w:b w:val="0"/>
                <w:bCs/>
                <w:color w:val="auto"/>
                <w:kern w:val="0"/>
                <w:sz w:val="28"/>
                <w:szCs w:val="28"/>
              </w:rPr>
              <w:br/>
            </w:r>
            <w:r>
              <w:rPr>
                <w:rFonts w:ascii="宋体" w:eastAsia="宋体" w:hAnsi="宋体" w:cs="宋体" w:hint="eastAsia"/>
                <w:b w:val="0"/>
                <w:bCs/>
                <w:color w:val="auto"/>
                <w:kern w:val="0"/>
                <w:sz w:val="28"/>
                <w:szCs w:val="28"/>
              </w:rPr>
              <w:t>类</w:t>
            </w:r>
            <w:r>
              <w:rPr>
                <w:rFonts w:ascii="宋体" w:eastAsia="宋体" w:hAnsi="宋体" w:cs="宋体" w:hint="eastAsia"/>
                <w:b w:val="0"/>
                <w:bCs/>
                <w:color w:val="auto"/>
                <w:kern w:val="0"/>
                <w:sz w:val="28"/>
                <w:szCs w:val="28"/>
              </w:rPr>
              <w:br/>
            </w:r>
            <w:r>
              <w:rPr>
                <w:rFonts w:ascii="宋体" w:eastAsia="宋体" w:hAnsi="宋体" w:cs="宋体" w:hint="eastAsia"/>
                <w:b w:val="0"/>
                <w:bCs/>
                <w:color w:val="auto"/>
                <w:kern w:val="0"/>
                <w:sz w:val="28"/>
                <w:szCs w:val="28"/>
              </w:rPr>
              <w:t>淀</w:t>
            </w:r>
            <w:r>
              <w:rPr>
                <w:rFonts w:ascii="宋体" w:eastAsia="宋体" w:hAnsi="宋体" w:cs="宋体" w:hint="eastAsia"/>
                <w:b w:val="0"/>
                <w:bCs/>
                <w:color w:val="auto"/>
                <w:kern w:val="0"/>
                <w:sz w:val="28"/>
                <w:szCs w:val="28"/>
              </w:rPr>
              <w:br/>
            </w:r>
            <w:r>
              <w:rPr>
                <w:rFonts w:ascii="宋体" w:eastAsia="宋体" w:hAnsi="宋体" w:cs="宋体" w:hint="eastAsia"/>
                <w:b w:val="0"/>
                <w:bCs/>
                <w:color w:val="auto"/>
                <w:kern w:val="0"/>
                <w:sz w:val="28"/>
                <w:szCs w:val="28"/>
              </w:rPr>
              <w:t>粉</w:t>
            </w:r>
            <w:r>
              <w:rPr>
                <w:rFonts w:ascii="宋体" w:eastAsia="宋体" w:hAnsi="宋体" w:cs="宋体" w:hint="eastAsia"/>
                <w:b w:val="0"/>
                <w:bCs/>
                <w:color w:val="auto"/>
                <w:kern w:val="0"/>
                <w:sz w:val="28"/>
                <w:szCs w:val="28"/>
              </w:rPr>
              <w:br/>
            </w:r>
            <w:r>
              <w:rPr>
                <w:rFonts w:ascii="宋体" w:eastAsia="宋体" w:hAnsi="宋体" w:cs="宋体" w:hint="eastAsia"/>
                <w:b w:val="0"/>
                <w:bCs/>
                <w:color w:val="auto"/>
                <w:kern w:val="0"/>
                <w:sz w:val="28"/>
                <w:szCs w:val="28"/>
              </w:rPr>
              <w:t>制</w:t>
            </w:r>
            <w:r>
              <w:rPr>
                <w:rFonts w:ascii="宋体" w:eastAsia="宋体" w:hAnsi="宋体" w:cs="宋体" w:hint="eastAsia"/>
                <w:b w:val="0"/>
                <w:bCs/>
                <w:color w:val="auto"/>
                <w:kern w:val="0"/>
                <w:sz w:val="28"/>
                <w:szCs w:val="28"/>
              </w:rPr>
              <w:br/>
            </w:r>
            <w:r>
              <w:rPr>
                <w:rFonts w:ascii="宋体" w:eastAsia="宋体" w:hAnsi="宋体" w:cs="宋体" w:hint="eastAsia"/>
                <w:b w:val="0"/>
                <w:bCs/>
                <w:color w:val="auto"/>
                <w:kern w:val="0"/>
                <w:sz w:val="28"/>
                <w:szCs w:val="28"/>
              </w:rPr>
              <w:t>品</w:t>
            </w: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粉皮</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乳白色，半透明有光泽</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无酸味</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方或圆形，揭开完整不碎</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稍有韧性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麻腐</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乳白色，半透明有光泽</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无酸味</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块形完整</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有弹性</w:t>
            </w:r>
          </w:p>
        </w:tc>
      </w:tr>
      <w:tr>
        <w:tblPrEx>
          <w:tblW w:w="9844" w:type="dxa"/>
          <w:tblInd w:w="0" w:type="dxa"/>
          <w:shd w:val="clear" w:color="auto" w:fill="auto"/>
          <w:tblLayout w:type="fixed"/>
          <w:tblCellMar>
            <w:top w:w="0" w:type="dxa"/>
            <w:left w:w="108" w:type="dxa"/>
            <w:bottom w:w="0" w:type="dxa"/>
            <w:right w:w="108" w:type="dxa"/>
          </w:tblCellMar>
        </w:tblPrEx>
        <w:tc>
          <w:tcPr>
            <w:tcW w:w="540"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水粉丝</w:t>
            </w:r>
          </w:p>
        </w:tc>
        <w:tc>
          <w:tcPr>
            <w:tcW w:w="12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乳白色，半透明有光泽</w:t>
            </w:r>
          </w:p>
        </w:tc>
        <w:tc>
          <w:tcPr>
            <w:tcW w:w="12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无酸味</w:t>
            </w:r>
          </w:p>
        </w:tc>
        <w:tc>
          <w:tcPr>
            <w:tcW w:w="304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长线形，无珠子粒</w:t>
            </w:r>
          </w:p>
        </w:tc>
        <w:tc>
          <w:tcPr>
            <w:tcW w:w="2421"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kern w:val="0"/>
                <w:sz w:val="28"/>
                <w:szCs w:val="28"/>
              </w:rPr>
              <w:t>有韧性</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eastAsia="宋体" w:hAnsi="宋体" w:cs="宋体" w:hint="eastAsia"/>
          <w:b w:val="0"/>
          <w:bCs/>
          <w:color w:val="auto"/>
          <w:sz w:val="28"/>
          <w:szCs w:val="28"/>
        </w:rPr>
      </w:pP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五、水果</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我公司有专门种植果树的合作伙伴，拥有大面积的果园，包括苹果、梨、葡萄、桃子等，水果种植过程中，不使用农药喷洒水果，不用催熟剂等化学药品，自然生长成熟，品质优良，绿色无公害。</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水果配送采用当日采摘、当日配送的原则。</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客户下单后，我公司采购人员立即驱车前往果园，组织果园工人进行采摘，选择成熟的水果、不采摘欠熟的水果，保证水果无虫。按照订单要求的种类、数量采摘完毕后，由园区人员将水果进行统一清洗，保证水果果面干净、无泥土，分类放入水果筐中，码放整齐、无破损、大小基本统一，然后让水果筐装入面包车，立即送往客户指定地点，减少路途中的时间。</w:t>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六、米面</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我公司有专门的米线面条加工生产合作商，该合作商拥有先进的生产工艺、严格的质量要求，能够保障米线、面条的品质，符合国家食品行业的标准。</w:t>
      </w:r>
    </w:p>
    <w:p>
      <w:pPr>
        <w:spacing w:line="360" w:lineRule="auto"/>
        <w:ind w:firstLine="560" w:firstLineChars="200"/>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b w:val="0"/>
          <w:bCs/>
          <w:color w:val="auto"/>
          <w:sz w:val="28"/>
          <w:szCs w:val="28"/>
        </w:rPr>
        <w:t>米线面条保鲜措施如下：</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1、将加工成熟后的米线或面条或卷粉(以下将所说的米线、面条、卷粉统称为凉熟食品)经过20-30分钟自然凉晒，除去多余水份，冷却至常温;</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2、冷却后的凉熟食品渗油，即用重量为所说的凉熟食品重量2-5%的食用植物油浸渗熟食品，充分混匀，使每一根条状凉熟食品均涂有一薄层油膜;</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3、渗油后的凉熟食品移入到紫外灭菌箱内进行灭菌处理，即用紫外线照射凉熟食品20-30分钟;</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4、灭菌处理后的凉熟食品按重量规格装入无毒的塑料内膜袋内，再将内膜袋装入无毒的、强度较高的外袋(真空袋)内，再用紫外线照射真空袋3-5分钟，待封口包装;</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5、将经过D工序的真空袋移入到一具有紫外线灯、(功率20-30W)、抽气/充气装置和热封头的真空充气双箱包装机内在紫外线照射下，对所说的真空袋抽真空至5.8-6.8KPa，接着充惰性气体至8-9KPa，充气完成后，仍在紫外线照射下热封头自动将真空袋封口，自动关断紫外灯，然后取出成品。</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米线面条采用当日采购、当日配送的原则。</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客户下单后，我公司采购人员驱车前往米线、面条生产商处，采购订单所需要的种类及数量，采购包装完好的米线，与新鲜的米条，将面条装入备好的保鲜袋中，进行密封。然后装入面包车中，运往客户指定地点。</w:t>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七、大米</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我公司有专门的大米供应商，该供应商拥有优质的大米，而且拥有先进的存储技术，能够保障大米的质量。存储方式如下：</w:t>
      </w:r>
    </w:p>
    <w:p>
      <w:pPr>
        <w:spacing w:line="360" w:lineRule="auto"/>
        <w:ind w:firstLine="560" w:firstLineChars="200"/>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15"/>
          <w:cols w:num="1" w:space="425"/>
          <w:titlePg w:val="0"/>
          <w:docGrid w:type="lines" w:linePitch="312" w:charSpace="0"/>
        </w:sectPr>
      </w:pP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大米能否安全储藏，主要取决于水分、温度两个条件，大米的相对安全水分由于各地的气候条件，温湿度、仓房条件不同等因素，各地的相对安全水分值也不同。大米储藏受制于外界环境条件的影响，其平衡水分值也会因不同温度、水分数值而变化。在不同温度下，以20℃为中心增减10℃，即在30℃时，平衡水分在散湿的情况下降低0.9%-0.5%，在吸湿的情况下增加0.3%-0.6%，不同滞后作用，20℃时最多降到1.2%，30℃时降低到0.9%。</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采用低温储藏是大米保鲜的有效途径。霉菌在20℃以下大为减少；10℃以下可完全抑制害虫繁殖，霉菌停止活动，大米呼吸，酶的活性均极微弱，可以保持大米的新鲜程度。我国冬米储藏即为自然低温储藏的很好方式，将低水分大米，在冬季加工，利用当时寒冷条件，降低粮温后再入库储藏，采取相应的防潮隔热措施。使粮食较长期处于低温状态，相对延长粮温回升时间，是大米安全度夏的一种有效方法。倒散通风。抓住1-2月份气温最低时机，把包装出风，倒成散装，继续通风降温，降低粮湿到5℃以下。包围压盖。冬米倒散装前，做好“隔墙包围”。散装大米降温后，即进行压盖密闭。"包围压盖"的目的是保持和延续低温，是冬米保管很重要的关键之一，隔墙包围的材料，一般都用稻壳，碎麦杆作为压盖的材料，也有用异种粮压盖，如小麦、蚕虫、薯干（丝）等防潮隔热性能效果较好的粮种。压法有散压、包压和在散压上再加包压（压二层）几种，各有优缺点：散压严密均匀，但以后与大米筛分困难；包压搬动方便，适于检查与后期的搬压通风。无论那种压盖，必须压厚（30-50厘米）、压实。撒压通风，当进入9月份后，气温和仓温已逐渐下降，为消除粮堆湿热聚积和粮温继续上升现象，采取及时撒压，使粮堆周围和表面都能得到气体交换，同时浅翻粮面，加强门窗夜间通风等管理，这对防止大米表层结露、生霉、及降低粮温起到良好效果。</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大米配送采用当日下单、48小时内送达的原则。</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待客户下单后，我公司采购人员与大米供货商进行沟通，告知所需的品种、质量及数量，采购人员驱车前往供货点，检测大米品质及数量，品质数量合格后，进行装袋，我公司采用真空包装大米，将大米装入袋中后，进行抽真空操作，保证袋中无空气及水分，保障大米不会变质。</w:t>
      </w:r>
    </w:p>
    <w:p>
      <w:pPr>
        <w:spacing w:line="360" w:lineRule="auto"/>
        <w:ind w:firstLine="560" w:firstLineChars="200"/>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16"/>
          <w:cols w:num="1" w:space="425"/>
          <w:titlePg w:val="0"/>
          <w:docGrid w:type="lines" w:linePitch="312" w:charSpace="0"/>
        </w:sectPr>
      </w:pP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采用真空包装，可以降低储藏包装内的氧气浓度，抑制大米的呼吸强度和霉菌的繁殖，防止大米陈变、发霉、生虫等，更好地保持大米的品质。目前大米真空包装选用的真空度一般在-0.07~-0.09</w:t>
      </w:r>
      <w:r>
        <w:rPr>
          <w:rFonts w:ascii="宋体" w:eastAsia="宋体" w:hAnsi="宋体" w:cs="宋体" w:hint="eastAsia"/>
          <w:b w:val="0"/>
          <w:bCs/>
          <w:color w:val="auto"/>
          <w:sz w:val="28"/>
          <w:szCs w:val="28"/>
        </w:rPr>
        <w:t xml:space="preserve"> kPa之间。由于真空度较大，包装材料紧紧包裹大米，包装袋很容易被米粒扎破，致使真空包装失效。在流通过程中袋与袋之间的摩擦、碰撞和跌落也很容易造成包装袋破袋。所以在对大米进行保鲜包装的同时要和流通环境结合起来，这样才能取得良好的效果。</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将真空包装大米装入车中，选择合适的路线，保证48小时内送到客户指定地点。</w:t>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八、面粉</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面粉为粉剂，密度0.52g/cm³。包装要求防虫、防面粉潮湿结块、发霉等。现在市场上面粉包装袋主要为塑料编织袋，有少数塑料复合膜，纸塑复合材料。初步考虑塑料编织袋、无纺布两种材料。 </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塑料编织袋。塑料编织袋目前应用很多，透气透湿性能良好，力学性能良好，无毒无害，成本低廉，可回收再利用，不可降解。但是塑料编织袋密封性不好，在包装、储存、运输过程中有损失；塑料编织袋适用于大袋、中袋包装，不适用小袋包装；塑料编织袋封口为缝口，CDS180并不能完成；塑料编织袋包装面粉时，储存条件要求干燥，中低温，避免暴晒。</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无纺布袋。无纺布是比较新的材料，由聚丙烯树脂（PP）为主要原料，是无需纺织的纺织布料。无毒无害，无污染，可回收再利用，也可自然降解；透气透湿性良好，有拒水性、抗菌性，力学性能良好；质量轻，密封性良好；成本低廉，稍高于塑料包装袋。适用各种尺寸袋子包装，可热封，但是热封效果不如超声波封的好。储存条件中低温，干燥，避免暴晒。  </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我公司采用这两种包装袋进行面粉包装。</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面粉配送采用当日采购、48小时内送达的原则。当客户下单后，我公司采购员将选择优质的生产商采购面粉，面粉检测合格后，采用无纺布袋装载面粉，然后装入面包车，运往客户指定位置。</w:t>
      </w:r>
    </w:p>
    <w:p>
      <w:pPr>
        <w:spacing w:line="360" w:lineRule="auto"/>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17"/>
          <w:cols w:num="1" w:space="425"/>
          <w:titlePg w:val="0"/>
          <w:docGrid w:type="lines" w:linePitch="312" w:charSpace="0"/>
        </w:sectPr>
      </w:pPr>
      <w:r>
        <w:rPr>
          <w:rFonts w:ascii="宋体" w:eastAsia="宋体" w:hAnsi="宋体" w:cs="宋体" w:hint="eastAsia"/>
          <w:b w:val="0"/>
          <w:bCs/>
          <w:color w:val="auto"/>
          <w:sz w:val="28"/>
          <w:szCs w:val="28"/>
        </w:rPr>
        <w:t>九、食用油</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我公司将选择具有良好信誉、完善生产工艺、质量检测合格的大豆油生产商作为采购地点，采购前对大豆油进行二次检测，质量合格后方可采购。采购大豆油指标如下：</w:t>
      </w:r>
    </w:p>
    <w:tbl>
      <w:tblPr>
        <w:tblStyle w:val="GridTable5DarkAccent212"/>
        <w:tblW w:w="982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2962"/>
        <w:gridCol w:w="6865"/>
      </w:tblGrid>
      <w:tr>
        <w:tblPrEx>
          <w:tblW w:w="982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c>
          <w:tcPr>
            <w:tcW w:w="2962" w:type="dxa"/>
            <w:tcBorders>
              <w:insideV w:val="nil"/>
            </w:tcBorders>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指标</w:t>
            </w:r>
          </w:p>
        </w:tc>
        <w:tc>
          <w:tcPr>
            <w:tcW w:w="6865" w:type="dxa"/>
            <w:tcBorders>
              <w:insideV w:val="nil"/>
            </w:tcBorders>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要求</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外观色泽</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浅黄色油状液体，色泽（铂-钴比色）：≤150</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比重（20</w:t>
            </w:r>
            <w:r>
              <w:rPr>
                <w:rFonts w:ascii="宋体" w:eastAsia="宋体" w:hAnsi="宋体" w:cs="宋体" w:hint="eastAsia"/>
                <w:b w:val="0"/>
                <w:bCs/>
                <w:color w:val="auto"/>
                <w:sz w:val="28"/>
                <w:szCs w:val="28"/>
                <w:vertAlign w:val="superscript"/>
              </w:rPr>
              <w:t>o</w:t>
            </w:r>
            <w:r>
              <w:rPr>
                <w:rFonts w:ascii="宋体" w:eastAsia="宋体" w:hAnsi="宋体" w:cs="宋体" w:hint="eastAsia"/>
                <w:b w:val="0"/>
                <w:bCs/>
                <w:color w:val="auto"/>
                <w:sz w:val="28"/>
                <w:szCs w:val="28"/>
              </w:rPr>
              <w:t>C）</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0.990±0.005</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环氧值%</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≥6.0</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酸值(毫克氢氧化钾/克)</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≤0.5</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加热减量 %（125℃*3小时）</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≤0.4</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碘值 %</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≤6.0</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热稳定性（177℃*3小 时）</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环氧值降低在10%以内，保留率在90%以上</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折光率(n25D)</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1.471±0.006</w:t>
            </w:r>
          </w:p>
        </w:tc>
      </w:tr>
      <w:tr>
        <w:tblPrEx>
          <w:tblW w:w="9827" w:type="dxa"/>
          <w:tblInd w:w="0" w:type="dxa"/>
          <w:shd w:val="clear" w:color="auto" w:fill="auto"/>
          <w:tblLayout w:type="fixed"/>
          <w:tblCellMar>
            <w:top w:w="0" w:type="dxa"/>
            <w:left w:w="108" w:type="dxa"/>
            <w:bottom w:w="0" w:type="dxa"/>
            <w:right w:w="108" w:type="dxa"/>
          </w:tblCellMar>
        </w:tblPrEx>
        <w:tc>
          <w:tcPr>
            <w:tcW w:w="2962"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闪点（开口式）</w:t>
            </w:r>
          </w:p>
        </w:tc>
        <w:tc>
          <w:tcPr>
            <w:tcW w:w="6865" w:type="dxa"/>
            <w:shd w:val="clear" w:color="auto" w:fill="auto"/>
          </w:tcPr>
          <w:p>
            <w:pPr>
              <w:spacing w:line="360" w:lineRule="auto"/>
              <w:ind w:firstLine="480"/>
              <w:jc w:val="center"/>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≥280℃</w:t>
            </w:r>
          </w:p>
        </w:tc>
      </w:tr>
    </w:tbl>
    <w:p>
      <w:pPr>
        <w:sectPr>
          <w:type w:val="nextPage"/>
          <w:pgSz w:w="11906" w:h="16838"/>
          <w:pgMar w:top="1440" w:right="1080" w:bottom="1440" w:left="1080" w:header="851" w:footer="992" w:gutter="0"/>
          <w:pgNumType w:start="18"/>
          <w:cols w:num="1" w:space="425"/>
          <w:titlePg w:val="0"/>
          <w:docGrid w:type="lines" w:linePitch="312" w:charSpace="0"/>
        </w:sectPr>
      </w:pP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drawing>
          <wp:inline distT="0" distB="0" distL="0" distR="0">
            <wp:extent cx="6141720" cy="4024630"/>
            <wp:effectExtent l="28575" t="28575" r="40005" b="425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6141720" cy="4024630"/>
                    </a:xfrm>
                    <a:prstGeom prst="rect">
                      <a:avLst/>
                    </a:prstGeom>
                    <a:noFill/>
                    <a:ln w="28575">
                      <a:solidFill>
                        <a:sysClr val="windowText" lastClr="000000"/>
                      </a:solidFill>
                    </a:ln>
                  </pic:spPr>
                </pic:pic>
              </a:graphicData>
            </a:graphic>
          </wp:inline>
        </w:drawing>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大豆油采购采用当日采购、48小时内送到的原则。</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客户下单后，我公司采购员立即前往大豆油生产商，对新鲜的大豆油进行检测，检测合格后，采用小型塑料瓶包装，包装瓶干净整洁，密封完好，符合盛装标准。将瓶装大豆油装入纸箱中，放入缓震气泡膜进行填充，然后装车，运往客户指定地点。</w:t>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十、水产品配送</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水产品的配送采用当日采购、当日送达的原则，保持水产品的新鲜活力。</w:t>
      </w:r>
    </w:p>
    <w:p>
      <w:pPr>
        <w:spacing w:line="360" w:lineRule="auto"/>
        <w:ind w:firstLine="560" w:firstLineChars="200"/>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19"/>
          <w:cols w:num="1" w:space="425"/>
          <w:titlePg w:val="0"/>
          <w:docGrid w:type="lines" w:linePitch="312" w:charSpace="0"/>
        </w:sectPr>
      </w:pPr>
      <w:r>
        <w:rPr>
          <w:rFonts w:ascii="宋体" w:eastAsia="宋体" w:hAnsi="宋体" w:cs="宋体" w:hint="eastAsia"/>
          <w:b w:val="0"/>
          <w:bCs/>
          <w:color w:val="auto"/>
          <w:sz w:val="28"/>
          <w:szCs w:val="28"/>
        </w:rPr>
        <w:t>客户下单后，我公司采购员将立即驱车前往水产品批发市场，选择新鲜有活力的水产品（鱼类、螃蟹、虾、黄鳝等），分别采用不同的工具进行装运。</w:t>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 xml:space="preserve"> </w:t>
      </w:r>
      <w:r>
        <w:rPr>
          <w:rFonts w:ascii="宋体" w:eastAsia="宋体" w:hAnsi="宋体" w:cs="宋体" w:hint="eastAsia"/>
          <w:b w:val="0"/>
          <w:bCs/>
          <w:color w:val="auto"/>
          <w:sz w:val="28"/>
          <w:szCs w:val="28"/>
        </w:rPr>
        <w:drawing>
          <wp:inline distT="0" distB="0" distL="0" distR="0">
            <wp:extent cx="5954395" cy="3317875"/>
            <wp:effectExtent l="28575" t="28575" r="36830" b="444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5954395" cy="3317875"/>
                    </a:xfrm>
                    <a:prstGeom prst="rect">
                      <a:avLst/>
                    </a:prstGeom>
                    <a:noFill/>
                    <a:ln w="28575">
                      <a:solidFill>
                        <a:sysClr val="windowText" lastClr="000000"/>
                      </a:solidFill>
                    </a:ln>
                  </pic:spPr>
                </pic:pic>
              </a:graphicData>
            </a:graphic>
          </wp:inline>
        </w:drawing>
      </w:r>
    </w:p>
    <w:p>
      <w:pPr>
        <w:spacing w:line="360" w:lineRule="auto"/>
        <w:ind w:firstLine="560" w:firstLineChars="200"/>
        <w:jc w:val="left"/>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河蟹运输采用严实的篓子存装，先在篓底铺一层泥，并放一些芝麻或打散的鸡蛋，而后将活蟹一只只摆平叠放，再加盖保荫。在蟹群中放些吸水的海绵或泡沫塑料，效果会更好。因蟹怕风吹，所以在运输途中一定要用蒲包或麻袋挡风。</w:t>
      </w:r>
    </w:p>
    <w:p>
      <w:pPr>
        <w:spacing w:line="360" w:lineRule="auto"/>
        <w:jc w:val="left"/>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drawing>
          <wp:inline distT="0" distB="0" distL="0" distR="0">
            <wp:extent cx="6122035" cy="2384425"/>
            <wp:effectExtent l="28575" t="28575" r="40640" b="444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6122035" cy="2384425"/>
                    </a:xfrm>
                    <a:prstGeom prst="rect">
                      <a:avLst/>
                    </a:prstGeom>
                    <a:noFill/>
                    <a:ln w="28575">
                      <a:solidFill>
                        <a:sysClr val="windowText" lastClr="000000"/>
                      </a:solidFill>
                    </a:ln>
                  </pic:spPr>
                </pic:pic>
              </a:graphicData>
            </a:graphic>
          </wp:inline>
        </w:drawing>
      </w:r>
    </w:p>
    <w:p>
      <w:pPr>
        <w:spacing w:line="360" w:lineRule="auto"/>
        <w:ind w:firstLine="560" w:firstLineChars="200"/>
        <w:jc w:val="left"/>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 xml:space="preserve">鲜活鱼的运输，采用木箱盛装，在木箱底部及四周铺上塑料薄膜，盛水装运。为减少路途中的死亡，装运前要清除活动不够灵活、有机械性创伤的鱼。同时，在木箱上面加盖尼龙网罩，防止活鱼跳出水面或摔出车外。  </w:t>
      </w:r>
    </w:p>
    <w:p>
      <w:pPr>
        <w:spacing w:line="360" w:lineRule="auto"/>
        <w:ind w:firstLine="560" w:firstLineChars="200"/>
        <w:jc w:val="left"/>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20"/>
          <w:cols w:num="1" w:space="425"/>
          <w:titlePg w:val="0"/>
          <w:docGrid w:type="lines" w:linePitch="312" w:charSpace="0"/>
        </w:sectPr>
      </w:pPr>
    </w:p>
    <w:p>
      <w:pPr>
        <w:spacing w:line="360" w:lineRule="auto"/>
        <w:ind w:firstLine="560" w:firstLineChars="200"/>
        <w:jc w:val="left"/>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在运输途中常注入配备好的新水，可增加水中含氧量。新水的温度、盐度一般要与旧水基本相似。对运输车内的木箱进行适度的振荡，使水时有波动，以增加水与空气的接触面，增加溶解氧。要注意运输器不能摇动过猛，以免伤害鱼体。在运输过程中要安装增氧机或充气机，可随时进行增氧。</w:t>
      </w:r>
    </w:p>
    <w:p>
      <w:pPr>
        <w:spacing w:line="360" w:lineRule="auto"/>
        <w:jc w:val="left"/>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drawing>
          <wp:inline distT="0" distB="0" distL="0" distR="0">
            <wp:extent cx="6135370" cy="3366135"/>
            <wp:effectExtent l="28575" t="9525" r="46355" b="342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6135370" cy="3366135"/>
                    </a:xfrm>
                    <a:prstGeom prst="rect">
                      <a:avLst/>
                    </a:prstGeom>
                    <a:noFill/>
                    <a:ln w="28575">
                      <a:solidFill>
                        <a:sysClr val="windowText" lastClr="000000"/>
                      </a:solidFill>
                    </a:ln>
                  </pic:spPr>
                </pic:pic>
              </a:graphicData>
            </a:graphic>
          </wp:inline>
        </w:drawing>
      </w:r>
    </w:p>
    <w:p>
      <w:pPr>
        <w:spacing w:line="360" w:lineRule="auto"/>
        <w:ind w:firstLine="560" w:firstLineChars="200"/>
        <w:jc w:val="left"/>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黄鳝的耐氧能力特强，极利于长短途运输。将采购来的黄鳝放在木桶中贮养，放养几天待其体内的废弃物基本排净后，才能起装外运。数小时的短途运输，可用水充分淋湿鱼体后盛入水桶或帆布篓内。运输途中必须勤淋水，使其保持体表湿润；长途贩运由于密度大、溶氧低，加之鱼体相互缠绕，移动性与透气性差，很容易造成鳝体发热、缺氧。为此，要坚持每天换水1次至2次，每隔24小时投放一次青霉素，以防止黄鳝"发烧"，还可在每50公斤黄鳝中放入1公斤至1.5公斤泥鳅，利用泥鳅好动的习性，使其在容器中上下窜游，既可避免黄鳝互相缠绕，又可提高容器内部的通气性，进而使鳝鱼运输成活率提高。</w:t>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十一、冻品</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我公司采购员不定期的前往冻品市场采购合格的冻品，采购后存入我公司冷库中，以备急需。</w:t>
      </w:r>
    </w:p>
    <w:p>
      <w:pPr>
        <w:spacing w:line="360" w:lineRule="auto"/>
        <w:ind w:firstLine="560" w:firstLineChars="200"/>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21"/>
          <w:cols w:num="1" w:space="425"/>
          <w:titlePg w:val="0"/>
          <w:docGrid w:type="lines" w:linePitch="312" w:charSpace="0"/>
        </w:sectPr>
      </w:pP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冷冻食品的包装材料须具备的条件是：具有一定的机械强度（耐高低温）、具有阻隔性（对气体和液体的高度阻断性）、对内容物的可耐性（耐酸、油）、卫生性、耐操作性。一般来说，在-8℃的冷藏温度下，多数微生物停止了活动，但酵母菌、霉菌比细菌耐低温的能力强，有些霉菌和酵母菌能在-9℃基质中生存。因此，冷藏食品的温度通常采用-8℃以下、冷冻点以上的温度。当温度达到-18℃以下或者更低的时候，除了某些嗜冷性细菌，大多数微生物的繁殖活动已经停止或者被杀死。而酶对食品的作用在-18℃或者更低的温度下也基本被抑制了。因此，冷冻食品的温度通常采用-18℃或者更低一些的温度。因此，标准将冷冻食品定义为：以可食用农、畜、禽、水产品等为主要原料，经加工处理、速冻、包装等工序，在-18℃以下储运与销售的食品。</w:t>
      </w:r>
    </w:p>
    <w:p>
      <w:pPr>
        <w:spacing w:line="360" w:lineRule="auto"/>
        <w:ind w:firstLine="560" w:firstLineChars="200"/>
        <w:rPr>
          <w:rFonts w:ascii="宋体" w:eastAsia="宋体" w:hAnsi="宋体" w:cs="宋体" w:hint="eastAsia"/>
          <w:b w:val="0"/>
          <w:bCs/>
          <w:color w:val="auto"/>
          <w:sz w:val="28"/>
          <w:szCs w:val="28"/>
        </w:rPr>
        <w:sectPr>
          <w:type w:val="nextPage"/>
          <w:pgSz w:w="11906" w:h="16838"/>
          <w:pgMar w:top="1440" w:right="1080" w:bottom="1440" w:left="1080" w:header="851" w:footer="992" w:gutter="0"/>
          <w:pgNumType w:start="22"/>
          <w:cols w:num="1" w:space="425"/>
          <w:titlePg w:val="0"/>
          <w:docGrid w:type="lines" w:linePitch="312" w:charSpace="0"/>
        </w:sectPr>
      </w:pPr>
      <w:r>
        <w:rPr>
          <w:rFonts w:ascii="宋体" w:eastAsia="宋体" w:hAnsi="宋体" w:cs="宋体" w:hint="eastAsia"/>
          <w:b w:val="0"/>
          <w:bCs/>
          <w:color w:val="auto"/>
          <w:sz w:val="28"/>
          <w:szCs w:val="28"/>
        </w:rPr>
        <w:t>我公司冷库采用冷藏包装技术--气调冷藏。其原理是在一定的封闭体系内，通过各种调节方式得到的不同于正常大气组成（或浓度）的调节气体，以此来抑制引起食品品质劣变的生理生化过程或抑制食品中微生物生繁殖（新鲜果蔬的呼吸和蒸发、食品成分的氧化或褐变作用、微生物的生长繁殖等），从而达到延长食品保鲜或保藏期的目的。气调主要以调节空气中的氧气和二氧化碳为主，因为：引起食品品质下降的食品自身生理生化过程和微生物作用过程，多数与氧和二氧化碳有关。另一方面，许多食品的变质过程要释放二氧化碳，二氧化碳对许多引起食品变质的微生物有直接抑制作用。 气调冷藏技术的核心是使空气组分中的二氧化碳浓度上升，而氧气的浓度下降，配合适当的低温条件，来延长食品的寿命。实验证明，当氧气浓度降到2%左右，或二氧化碳浓度增加到40%以上，霉菌受到抑制，害虫也很快死亡，并能较好地保持粮食品质。</w:t>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drawing>
          <wp:inline distT="0" distB="0" distL="0" distR="0">
            <wp:extent cx="6160770" cy="2959100"/>
            <wp:effectExtent l="28575" t="28575" r="40005" b="412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6160770" cy="2959100"/>
                    </a:xfrm>
                    <a:prstGeom prst="rect">
                      <a:avLst/>
                    </a:prstGeom>
                    <a:noFill/>
                    <a:ln w="28575">
                      <a:solidFill>
                        <a:sysClr val="windowText" lastClr="000000"/>
                      </a:solidFill>
                    </a:ln>
                  </pic:spPr>
                </pic:pic>
              </a:graphicData>
            </a:graphic>
          </wp:inline>
        </w:drawing>
      </w: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drawing>
          <wp:inline distT="0" distB="0" distL="0" distR="0">
            <wp:extent cx="6148070" cy="3057525"/>
            <wp:effectExtent l="28575" t="28575" r="33655" b="3810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6148070" cy="3057525"/>
                    </a:xfrm>
                    <a:prstGeom prst="rect">
                      <a:avLst/>
                    </a:prstGeom>
                    <a:noFill/>
                    <a:ln w="28575">
                      <a:solidFill>
                        <a:sysClr val="windowText" lastClr="000000"/>
                      </a:solidFill>
                    </a:ln>
                  </pic:spPr>
                </pic:pic>
              </a:graphicData>
            </a:graphic>
          </wp:inline>
        </w:drawing>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采购的冻品冻品外包装需完整，无破损，无不封口现象，有生产日期，符合国家绿色批发市场标准。待客户下单后，直接将包装好的冻品装入冷藏车，及时运至客户指定地点，减少路途上的时间。冻品在解冻后，发现质量问题我公司退货并及时发送新货。</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冻品采购指标如下：</w:t>
      </w:r>
    </w:p>
    <w:tbl>
      <w:tblPr>
        <w:tblStyle w:val="GridTable5DarkAccent213"/>
        <w:tblW w:w="980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1008"/>
        <w:gridCol w:w="6800"/>
        <w:gridCol w:w="1993"/>
      </w:tblGrid>
      <w:tr>
        <w:tblPrEx>
          <w:tblW w:w="980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c>
          <w:tcPr>
            <w:tcW w:w="1008"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品名</w:t>
            </w:r>
          </w:p>
        </w:tc>
        <w:tc>
          <w:tcPr>
            <w:tcW w:w="6800"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质量验收标准</w:t>
            </w:r>
          </w:p>
        </w:tc>
        <w:tc>
          <w:tcPr>
            <w:tcW w:w="1993" w:type="dxa"/>
            <w:tcBorders>
              <w:insideV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扣秤标准</w:t>
            </w:r>
          </w:p>
        </w:tc>
      </w:tr>
      <w:tr>
        <w:tblPrEx>
          <w:tblW w:w="9801" w:type="dxa"/>
          <w:tblInd w:w="0" w:type="dxa"/>
          <w:shd w:val="clear" w:color="auto" w:fill="auto"/>
          <w:tblLayout w:type="fixed"/>
          <w:tblCellMar>
            <w:top w:w="0" w:type="dxa"/>
            <w:left w:w="108" w:type="dxa"/>
            <w:bottom w:w="0" w:type="dxa"/>
            <w:right w:w="108" w:type="dxa"/>
          </w:tblCellMar>
        </w:tblPrEx>
        <w:tc>
          <w:tcPr>
            <w:tcW w:w="100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冻猪肉</w:t>
            </w:r>
          </w:p>
        </w:tc>
        <w:tc>
          <w:tcPr>
            <w:tcW w:w="68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ascii="宋体" w:eastAsia="宋体" w:hAnsi="宋体" w:cs="宋体" w:hint="eastAsia"/>
                <w:b w:val="0"/>
                <w:bCs/>
                <w:color w:val="auto"/>
                <w:sz w:val="28"/>
                <w:szCs w:val="28"/>
              </w:rPr>
            </w:pPr>
          </w:p>
        </w:tc>
        <w:tc>
          <w:tcPr>
            <w:tcW w:w="199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ascii="宋体" w:eastAsia="宋体" w:hAnsi="宋体" w:cs="宋体" w:hint="eastAsia"/>
                <w:b w:val="0"/>
                <w:bCs/>
                <w:color w:val="auto"/>
                <w:sz w:val="28"/>
                <w:szCs w:val="28"/>
              </w:rPr>
            </w:pPr>
          </w:p>
        </w:tc>
      </w:tr>
    </w:tbl>
    <w:p>
      <w:pPr>
        <w:sectPr>
          <w:type w:val="nextPage"/>
          <w:pgSz w:w="11906" w:h="16838"/>
          <w:pgMar w:top="1440" w:right="1080" w:bottom="1440" w:left="1080" w:header="851" w:footer="992" w:gutter="0"/>
          <w:pgNumType w:start="23"/>
          <w:cols w:num="1" w:space="425"/>
          <w:titlePg w:val="0"/>
          <w:docGrid w:type="lines" w:linePitch="312" w:charSpace="0"/>
        </w:sectPr>
      </w:pPr>
    </w:p>
    <w:tbl>
      <w:tblPr>
        <w:tblStyle w:val="GridTable5DarkAccent214"/>
        <w:tblW w:w="980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1008"/>
        <w:gridCol w:w="6800"/>
        <w:gridCol w:w="1993"/>
      </w:tblGrid>
      <w:tr>
        <w:tblPrEx>
          <w:tblW w:w="980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c>
          <w:tcPr>
            <w:tcW w:w="1008" w:type="dxa"/>
            <w:shd w:val="clear" w:color="auto" w:fill="auto"/>
            <w:vAlign w:val="center"/>
          </w:tcPr>
          <w:p/>
        </w:tc>
        <w:tc>
          <w:tcPr>
            <w:tcW w:w="68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肌肉有光泽，色红均匀，脂肪洁白，无霉点；肉质紧密，有坚实感；外表及切面微湿润，不粘手；无异味；外包装箱完好。</w:t>
            </w:r>
          </w:p>
        </w:tc>
        <w:tc>
          <w:tcPr>
            <w:tcW w:w="1993"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外包装箱完好，符合质量标准一般不扣，若有注水迹象拒收。</w:t>
            </w:r>
          </w:p>
        </w:tc>
      </w:tr>
      <w:tr>
        <w:tblPrEx>
          <w:tblW w:w="9801" w:type="dxa"/>
          <w:tblInd w:w="0" w:type="dxa"/>
          <w:shd w:val="clear" w:color="auto" w:fill="auto"/>
          <w:tblLayout w:type="fixed"/>
          <w:tblCellMar>
            <w:top w:w="0" w:type="dxa"/>
            <w:left w:w="108" w:type="dxa"/>
            <w:bottom w:w="0" w:type="dxa"/>
            <w:right w:w="108" w:type="dxa"/>
          </w:tblCellMar>
        </w:tblPrEx>
        <w:tc>
          <w:tcPr>
            <w:tcW w:w="100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冻牛肉</w:t>
            </w:r>
          </w:p>
        </w:tc>
        <w:tc>
          <w:tcPr>
            <w:tcW w:w="68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肌肉色红均匀，有光泽，脂肪白色或微黄；肌肉外表微干或有风干膜，或外表湿润，但不粘手；肌肉结构紧密，有坚实感，肌纤维韧性强。</w:t>
            </w:r>
          </w:p>
        </w:tc>
        <w:tc>
          <w:tcPr>
            <w:tcW w:w="1993"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r>
        <w:tblPrEx>
          <w:tblW w:w="9801" w:type="dxa"/>
          <w:tblInd w:w="0" w:type="dxa"/>
          <w:shd w:val="clear" w:color="auto" w:fill="auto"/>
          <w:tblLayout w:type="fixed"/>
          <w:tblCellMar>
            <w:top w:w="0" w:type="dxa"/>
            <w:left w:w="108" w:type="dxa"/>
            <w:bottom w:w="0" w:type="dxa"/>
            <w:right w:w="108" w:type="dxa"/>
          </w:tblCellMar>
        </w:tblPrEx>
        <w:tc>
          <w:tcPr>
            <w:tcW w:w="100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冻羊肉</w:t>
            </w:r>
          </w:p>
        </w:tc>
        <w:tc>
          <w:tcPr>
            <w:tcW w:w="68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肌肉色鲜艳，有光泽，脂肪白色；外表微干或有风干膜，或外表湿润，但不粘手；肌肉结构紧密，有坚实感，肌纤维韧性强，外包装箱完好。</w:t>
            </w:r>
          </w:p>
        </w:tc>
        <w:tc>
          <w:tcPr>
            <w:tcW w:w="1993"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r>
        <w:tblPrEx>
          <w:tblW w:w="9801" w:type="dxa"/>
          <w:tblInd w:w="0" w:type="dxa"/>
          <w:shd w:val="clear" w:color="auto" w:fill="auto"/>
          <w:tblLayout w:type="fixed"/>
          <w:tblCellMar>
            <w:top w:w="0" w:type="dxa"/>
            <w:left w:w="108" w:type="dxa"/>
            <w:bottom w:w="0" w:type="dxa"/>
            <w:right w:w="108" w:type="dxa"/>
          </w:tblCellMar>
        </w:tblPrEx>
        <w:tc>
          <w:tcPr>
            <w:tcW w:w="100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冻鸡肉</w:t>
            </w:r>
          </w:p>
        </w:tc>
        <w:tc>
          <w:tcPr>
            <w:tcW w:w="680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眼球饱满或平坦；皮肤有光泽，因品种不同而呈淡黄、淡红或灰白色等，肌肉切面有光泽；外表微湿润，不粘手；指压后的凹陷恢复，且不能完全恢复；外包装箱完好。</w:t>
            </w:r>
          </w:p>
        </w:tc>
        <w:tc>
          <w:tcPr>
            <w:tcW w:w="1993" w:type="dxa"/>
            <w:vMerg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eastAsia="宋体" w:hAnsi="宋体" w:cs="宋体" w:hint="eastAsia"/>
          <w:b w:val="0"/>
          <w:bCs/>
          <w:color w:val="auto"/>
          <w:sz w:val="28"/>
          <w:szCs w:val="28"/>
        </w:rPr>
      </w:pPr>
    </w:p>
    <w:tbl>
      <w:tblPr>
        <w:tblStyle w:val="GridTable5DarkAccent214"/>
        <w:tblW w:w="988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
      <w:tblGrid>
        <w:gridCol w:w="1368"/>
        <w:gridCol w:w="6376"/>
        <w:gridCol w:w="2143"/>
      </w:tblGrid>
      <w:tr>
        <w:tblPrEx>
          <w:tblW w:w="988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ayout w:type="fixed"/>
          <w:tblCellMar>
            <w:top w:w="0" w:type="dxa"/>
            <w:left w:w="108" w:type="dxa"/>
            <w:bottom w:w="0" w:type="dxa"/>
            <w:right w:w="108" w:type="dxa"/>
          </w:tblCellMar>
        </w:tblPrEx>
        <w:trPr>
          <w:tblHeader/>
        </w:trPr>
        <w:tc>
          <w:tcPr>
            <w:tcW w:w="1368" w:type="dxa"/>
            <w:tcBorders>
              <w:insideV w:val="nil"/>
            </w:tcBorders>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品名</w:t>
            </w:r>
          </w:p>
        </w:tc>
        <w:tc>
          <w:tcPr>
            <w:tcW w:w="6376" w:type="dxa"/>
            <w:tcBorders>
              <w:insideV w:val="nil"/>
            </w:tcBorders>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质量验收标准</w:t>
            </w:r>
          </w:p>
        </w:tc>
        <w:tc>
          <w:tcPr>
            <w:tcW w:w="2143" w:type="dxa"/>
            <w:tcBorders>
              <w:insideV w:val="nil"/>
            </w:tcBorders>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扣秤标准</w:t>
            </w:r>
          </w:p>
        </w:tc>
      </w:tr>
      <w:tr>
        <w:tblPrEx>
          <w:tblW w:w="9887" w:type="dxa"/>
          <w:tblInd w:w="0" w:type="dxa"/>
          <w:shd w:val="clear" w:color="auto" w:fill="auto"/>
          <w:tblLayout w:type="fixed"/>
          <w:tblCellMar>
            <w:top w:w="0" w:type="dxa"/>
            <w:left w:w="108" w:type="dxa"/>
            <w:bottom w:w="0" w:type="dxa"/>
            <w:right w:w="108" w:type="dxa"/>
          </w:tblCellMar>
        </w:tblPrEx>
        <w:tc>
          <w:tcPr>
            <w:tcW w:w="1368"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鸡中翼</w:t>
            </w:r>
          </w:p>
        </w:tc>
        <w:tc>
          <w:tcPr>
            <w:tcW w:w="6376"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无黄衣，大小均匀，无异味，无碎杂，有光泽；无明显淤块，无破皮，外表色泽正常，无    ，肉质淡红，无鸡毛。</w:t>
            </w:r>
          </w:p>
        </w:tc>
        <w:tc>
          <w:tcPr>
            <w:tcW w:w="2143" w:type="dxa"/>
            <w:vMerge w:val="restart"/>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外包装箱完好，符合质量标准，一般不扣</w:t>
            </w:r>
          </w:p>
        </w:tc>
      </w:tr>
      <w:tr>
        <w:tblPrEx>
          <w:tblW w:w="9887" w:type="dxa"/>
          <w:tblInd w:w="0" w:type="dxa"/>
          <w:shd w:val="clear" w:color="auto" w:fill="auto"/>
          <w:tblLayout w:type="fixed"/>
          <w:tblCellMar>
            <w:top w:w="0" w:type="dxa"/>
            <w:left w:w="108" w:type="dxa"/>
            <w:bottom w:w="0" w:type="dxa"/>
            <w:right w:w="108" w:type="dxa"/>
          </w:tblCellMar>
        </w:tblPrEx>
        <w:tc>
          <w:tcPr>
            <w:tcW w:w="1368"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鸡爪</w:t>
            </w:r>
          </w:p>
        </w:tc>
        <w:tc>
          <w:tcPr>
            <w:tcW w:w="6376"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大小均匀，色泽乳白；无粘手，无异味，无黑斑，无碎架，爪底部无</w:t>
            </w:r>
          </w:p>
        </w:tc>
        <w:tc>
          <w:tcPr>
            <w:tcW w:w="2143" w:type="dxa"/>
            <w:vMerge/>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r>
        <w:tblPrEx>
          <w:tblW w:w="9887" w:type="dxa"/>
          <w:tblInd w:w="0" w:type="dxa"/>
          <w:shd w:val="clear" w:color="auto" w:fill="auto"/>
          <w:tblLayout w:type="fixed"/>
          <w:tblCellMar>
            <w:top w:w="0" w:type="dxa"/>
            <w:left w:w="108" w:type="dxa"/>
            <w:bottom w:w="0" w:type="dxa"/>
            <w:right w:w="108" w:type="dxa"/>
          </w:tblCellMar>
        </w:tblPrEx>
        <w:tc>
          <w:tcPr>
            <w:tcW w:w="1368"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鸡全翼</w:t>
            </w:r>
          </w:p>
        </w:tc>
        <w:tc>
          <w:tcPr>
            <w:tcW w:w="6376"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大小均匀，无碎杂，有光泽；无异味，肉色淡红，无骨折和破皮，无黄衣，无异味，无鸡毛。</w:t>
            </w:r>
          </w:p>
        </w:tc>
        <w:tc>
          <w:tcPr>
            <w:tcW w:w="2143" w:type="dxa"/>
            <w:vMerge/>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r>
        <w:tblPrEx>
          <w:tblW w:w="9887" w:type="dxa"/>
          <w:tblInd w:w="0" w:type="dxa"/>
          <w:shd w:val="clear" w:color="auto" w:fill="auto"/>
          <w:tblLayout w:type="fixed"/>
          <w:tblCellMar>
            <w:top w:w="0" w:type="dxa"/>
            <w:left w:w="108" w:type="dxa"/>
            <w:bottom w:w="0" w:type="dxa"/>
            <w:right w:w="108" w:type="dxa"/>
          </w:tblCellMar>
        </w:tblPrEx>
        <w:tc>
          <w:tcPr>
            <w:tcW w:w="1368"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鸡腿</w:t>
            </w:r>
          </w:p>
        </w:tc>
        <w:tc>
          <w:tcPr>
            <w:tcW w:w="6376"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大小均匀，无碎杂，无黄衣，无淤血斑，有光泽，肉质淡红，无异味。</w:t>
            </w:r>
          </w:p>
        </w:tc>
        <w:tc>
          <w:tcPr>
            <w:tcW w:w="2143" w:type="dxa"/>
            <w:vMerge/>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r>
        <w:tblPrEx>
          <w:tblW w:w="9887" w:type="dxa"/>
          <w:tblInd w:w="0" w:type="dxa"/>
          <w:shd w:val="clear" w:color="auto" w:fill="auto"/>
          <w:tblLayout w:type="fixed"/>
          <w:tblCellMar>
            <w:top w:w="0" w:type="dxa"/>
            <w:left w:w="108" w:type="dxa"/>
            <w:bottom w:w="0" w:type="dxa"/>
            <w:right w:w="108" w:type="dxa"/>
          </w:tblCellMar>
        </w:tblPrEx>
        <w:tc>
          <w:tcPr>
            <w:tcW w:w="1368"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猪耳</w:t>
            </w:r>
          </w:p>
        </w:tc>
        <w:tc>
          <w:tcPr>
            <w:tcW w:w="6376"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无种猪猪耳，无毛或少毛，无异味，色泽正常。</w:t>
            </w:r>
          </w:p>
        </w:tc>
        <w:tc>
          <w:tcPr>
            <w:tcW w:w="2143" w:type="dxa"/>
            <w:vMerge/>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r>
        <w:tblPrEx>
          <w:tblW w:w="9887" w:type="dxa"/>
          <w:tblInd w:w="0" w:type="dxa"/>
          <w:shd w:val="clear" w:color="auto" w:fill="auto"/>
          <w:tblLayout w:type="fixed"/>
          <w:tblCellMar>
            <w:top w:w="0" w:type="dxa"/>
            <w:left w:w="108" w:type="dxa"/>
            <w:bottom w:w="0" w:type="dxa"/>
            <w:right w:w="108" w:type="dxa"/>
          </w:tblCellMar>
        </w:tblPrEx>
        <w:tc>
          <w:tcPr>
            <w:tcW w:w="1368"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鸡肾</w:t>
            </w:r>
          </w:p>
        </w:tc>
        <w:tc>
          <w:tcPr>
            <w:tcW w:w="6376"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呈鸡肾特有色泽，无病斑，外表及切面湿润，但不粘手；无污物及其它肉眼可风杂质；无异味。</w:t>
            </w:r>
          </w:p>
        </w:tc>
        <w:tc>
          <w:tcPr>
            <w:tcW w:w="2143" w:type="dxa"/>
            <w:vMerge/>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r>
        <w:tblPrEx>
          <w:tblW w:w="9887" w:type="dxa"/>
          <w:tblInd w:w="0" w:type="dxa"/>
          <w:shd w:val="clear" w:color="auto" w:fill="auto"/>
          <w:tblLayout w:type="fixed"/>
          <w:tblCellMar>
            <w:top w:w="0" w:type="dxa"/>
            <w:left w:w="108" w:type="dxa"/>
            <w:bottom w:w="0" w:type="dxa"/>
            <w:right w:w="108" w:type="dxa"/>
          </w:tblCellMar>
        </w:tblPrEx>
        <w:tc>
          <w:tcPr>
            <w:tcW w:w="1368"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猪副产品</w:t>
            </w:r>
          </w:p>
        </w:tc>
        <w:tc>
          <w:tcPr>
            <w:tcW w:w="6376" w:type="dxa"/>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无冻干脱水发暗迹象，其它同鲜猪肉副产品</w:t>
            </w:r>
          </w:p>
        </w:tc>
        <w:tc>
          <w:tcPr>
            <w:tcW w:w="2143" w:type="dxa"/>
            <w:vMerge/>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eastAsia="宋体" w:hAnsi="宋体" w:cs="宋体" w:hint="eastAsia"/>
                <w:b w:val="0"/>
                <w:bCs/>
                <w:color w:val="auto"/>
                <w:sz w:val="28"/>
                <w:szCs w:val="28"/>
              </w:rPr>
            </w:pP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eastAsia="宋体" w:hAnsi="宋体" w:cs="宋体" w:hint="eastAsia"/>
          <w:b w:val="0"/>
          <w:bCs/>
          <w:color w:val="auto"/>
          <w:sz w:val="28"/>
          <w:szCs w:val="28"/>
        </w:rPr>
      </w:pPr>
    </w:p>
    <w:p>
      <w:pPr>
        <w:spacing w:line="360" w:lineRule="auto"/>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十二、调料</w:t>
      </w:r>
    </w:p>
    <w:p>
      <w:pPr>
        <w:spacing w:line="360" w:lineRule="auto"/>
        <w:ind w:firstLine="560" w:firstLineChars="200"/>
        <w:rPr>
          <w:rFonts w:ascii="宋体" w:eastAsia="宋体" w:hAnsi="宋体" w:cs="宋体" w:hint="eastAsia"/>
          <w:b w:val="0"/>
          <w:bCs/>
          <w:color w:val="auto"/>
          <w:sz w:val="28"/>
          <w:szCs w:val="28"/>
        </w:rPr>
      </w:pPr>
      <w:r>
        <w:rPr>
          <w:rFonts w:ascii="宋体" w:eastAsia="宋体" w:hAnsi="宋体" w:cs="宋体" w:hint="eastAsia"/>
          <w:b w:val="0"/>
          <w:bCs/>
          <w:color w:val="auto"/>
          <w:sz w:val="28"/>
          <w:szCs w:val="28"/>
        </w:rPr>
        <w:t>调料配送采用当日下单、48小时配送的原则。客户下单后，我公司采购员立即前往调料批发市场，选择具有营业执照、产品合格证明、良好信誉的商家购买调料品，按照以下标准采购：外包装无污物、无泄漏，无胀袋或胖听或鼓盖现象，无变质发霉现象。色泽正常，具有该品种固有的香味，滋味无异味，油酱均匀的酱体或无结块的粉状固体，封口平整，无破包，夹包，漏包，无污染。</w:t>
      </w:r>
      <w:r>
        <w:rPr>
          <w:rFonts w:ascii="宋体" w:eastAsia="宋体" w:hAnsi="宋体" w:cs="宋体" w:hint="eastAsia"/>
          <w:b w:val="0"/>
          <w:bCs/>
          <w:color w:val="auto"/>
          <w:sz w:val="28"/>
          <w:szCs w:val="28"/>
        </w:rPr>
        <w:br/>
      </w:r>
      <w:r>
        <w:rPr>
          <w:rFonts w:ascii="宋体" w:eastAsia="宋体" w:hAnsi="宋体" w:cs="宋体" w:hint="eastAsia"/>
          <w:b w:val="0"/>
          <w:bCs/>
          <w:color w:val="auto"/>
          <w:sz w:val="28"/>
          <w:szCs w:val="28"/>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10" w:history="1">
        <w:r>
          <w:rPr>
            <w:rFonts w:ascii="SimSun" w:eastAsia="SimSun" w:hAnsi="SimSun" w:cs="SimSun"/>
            <w:b/>
            <w:bCs/>
            <w:snapToGrid/>
            <w:color w:val="0000EE"/>
            <w:kern w:val="0"/>
            <w:sz w:val="30"/>
            <w:szCs w:val="30"/>
            <w:u w:val="single" w:color="0000EE"/>
          </w:rPr>
          <w:t>https://d.book118.com/735144104101011114</w:t>
        </w:r>
      </w:hyperlink>
    </w:p>
    <w:p>
      <w:pPr>
        <w:spacing w:line="360" w:lineRule="auto"/>
        <w:ind w:firstLine="560" w:firstLineChars="200"/>
        <w:rPr>
          <w:rFonts w:ascii="宋体" w:eastAsia="宋体" w:hAnsi="宋体" w:cs="宋体" w:hint="eastAsia"/>
          <w:b w:val="0"/>
          <w:bCs/>
          <w:color w:val="auto"/>
          <w:sz w:val="28"/>
          <w:szCs w:val="28"/>
        </w:rPr>
      </w:pPr>
    </w:p>
    <w:sectPr>
      <w:type w:val="nextPage"/>
      <w:pgSz w:w="11906" w:h="16838"/>
      <w:pgMar w:top="1440" w:right="1080" w:bottom="1440" w:left="108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D49782D"/>
    <w:multiLevelType w:val="singleLevel"/>
    <w:tmpl w:val="FD49782D"/>
    <w:lvl w:ilvl="0">
      <w:start w:val="1"/>
      <w:numFmt w:val="chineseCounting"/>
      <w:suff w:val="nothing"/>
      <w:lvlText w:val="%1、"/>
      <w:lvlJc w:val="left"/>
      <w:rPr>
        <w:rFonts w:hint="eastAsia"/>
      </w:rPr>
    </w:lvl>
  </w:abstractNum>
  <w:abstractNum w:abstractNumId="1">
    <w:nsid w:val="3A406F19"/>
    <w:multiLevelType w:val="multilevel"/>
    <w:tmpl w:val="3A406F19"/>
    <w:lvl w:ilvl="0">
      <w:start w:val="1"/>
      <w:numFmt w:val="bullet"/>
      <w:lvlText w:val=""/>
      <w:lvlJc w:val="left"/>
      <w:pPr>
        <w:ind w:left="1080" w:hanging="360"/>
      </w:pPr>
      <w:rPr>
        <w:rFonts w:ascii="Wingdings" w:hAnsi="Wingding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2">
    <w:nsid w:val="5459CA3B"/>
    <w:multiLevelType w:val="singleLevel"/>
    <w:tmpl w:val="5459CA3B"/>
    <w:lvl w:ilvl="0">
      <w:start w:val="1"/>
      <w:numFmt w:val="decimal"/>
      <w:suff w:val="nothing"/>
      <w:lvlText w:val="%1、"/>
      <w:lvlJc w:val="left"/>
    </w:lvl>
  </w:abstractNum>
  <w:abstractNum w:abstractNumId="3">
    <w:nsid w:val="57273D8E"/>
    <w:multiLevelType w:val="singleLevel"/>
    <w:tmpl w:val="57273D8E"/>
    <w:lvl w:ilvl="0">
      <w:start w:val="1"/>
      <w:numFmt w:val="decimal"/>
      <w:suff w:val="nothing"/>
      <w:lvlText w:val="%1、"/>
      <w:lvlJc w:val="left"/>
    </w:lvl>
  </w:abstractNum>
  <w:abstractNum w:abstractNumId="4">
    <w:nsid w:val="5728499B"/>
    <w:multiLevelType w:val="singleLevel"/>
    <w:tmpl w:val="5728499B"/>
    <w:lvl w:ilvl="0">
      <w:start w:val="2"/>
      <w:numFmt w:val="decimal"/>
      <w:suff w:val="nothing"/>
      <w:lvlText w:val="%1、"/>
      <w:lvlJc w:val="left"/>
    </w:lvl>
  </w:abstractNum>
  <w:abstractNum w:abstractNumId="5">
    <w:nsid w:val="70E54975"/>
    <w:multiLevelType w:val="multilevel"/>
    <w:tmpl w:val="70E54975"/>
    <w:lvl w:ilvl="0">
      <w:start w:val="3"/>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4"/>
  </w:num>
  <w:num w:numId="2">
    <w:abstractNumId w:val="3"/>
  </w:num>
  <w:num w:numId="3">
    <w:abstractNumId w:val="2"/>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76E2E"/>
    <w:rsid w:val="0F7A4A71"/>
    <w:rsid w:val="51576E2E"/>
  </w:rsids>
  <w:docVars>
    <w:docVar w:name="commondata" w:val="eyJoZGlkIjoiMzk4MzdiN2RlYWFiMjE4NzA2M2M4OGM2MjRkNzRiMj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TOC3">
    <w:name w:val="toc 3"/>
    <w:basedOn w:val="Normal"/>
    <w:next w:val="Normal"/>
    <w:pPr>
      <w:ind w:left="840" w:leftChars="400"/>
    </w:pPr>
  </w:style>
  <w:style w:type="paragraph" w:styleId="Footer">
    <w:name w:val="footer"/>
    <w:basedOn w:val="Normal"/>
    <w:next w:val="Normal"/>
    <w:qFormat/>
    <w:pPr>
      <w:tabs>
        <w:tab w:val="center" w:pos="4153"/>
        <w:tab w:val="right" w:pos="8306"/>
      </w:tabs>
      <w:snapToGrid w:val="0"/>
      <w:jc w:val="left"/>
    </w:pPr>
    <w:rPr>
      <w:sz w:val="18"/>
    </w:rPr>
  </w:style>
  <w:style w:type="paragraph" w:styleId="TOC4">
    <w:name w:val="toc 4"/>
    <w:basedOn w:val="Normal"/>
    <w:next w:val="Normal"/>
    <w:pPr>
      <w:ind w:left="1260" w:leftChars="600"/>
    </w:p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table" w:customStyle="1" w:styleId="GridTable5DarkAccent2">
    <w:name w:val="Grid Table 5 Dark Accent 2"/>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paragraph" w:styleId="ListParagraph">
    <w:name w:val="List Paragraph"/>
    <w:basedOn w:val="Normal"/>
    <w:autoRedefine/>
    <w:uiPriority w:val="1"/>
    <w:qFormat/>
    <w:pPr>
      <w:spacing w:before="160"/>
      <w:ind w:left="120" w:firstLine="480"/>
    </w:pPr>
    <w:rPr>
      <w:rFonts w:ascii="宋体" w:eastAsia="宋体" w:hAnsi="宋体" w:cs="宋体"/>
      <w:lang w:val="zh-CN" w:eastAsia="zh-CN" w:bidi="zh-CN"/>
    </w:rPr>
  </w:style>
  <w:style w:type="paragraph" w:customStyle="1" w:styleId="txt">
    <w:name w:val="txt"/>
    <w:basedOn w:val="Normal"/>
    <w:autoRedefine/>
    <w:qFormat/>
    <w:pPr>
      <w:widowControl/>
      <w:spacing w:before="100" w:beforeAutospacing="1" w:after="100" w:afterAutospacing="1"/>
      <w:jc w:val="left"/>
    </w:pPr>
    <w:rPr>
      <w:rFonts w:ascii="宋体" w:eastAsia="宋体" w:hAnsi="宋体" w:cs="宋体"/>
      <w:kern w:val="0"/>
      <w:sz w:val="24"/>
      <w:szCs w:val="24"/>
    </w:rPr>
  </w:style>
  <w:style w:type="table" w:customStyle="1" w:styleId="GridTable5DarkAccent20">
    <w:name w:val="Grid Table 5 Dark Accent 2_0"/>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1">
    <w:name w:val="Grid Table 5 Dark Accent 2_1"/>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2">
    <w:name w:val="Grid Table 5 Dark Accent 2_2"/>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3">
    <w:name w:val="Grid Table 5 Dark Accent 2_3"/>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4">
    <w:name w:val="Grid Table 5 Dark Accent 2_4"/>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5">
    <w:name w:val="Grid Table 5 Dark Accent 2_5"/>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6">
    <w:name w:val="Grid Table 5 Dark Accent 2_6"/>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7">
    <w:name w:val="Grid Table 5 Dark Accent 2_7"/>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8">
    <w:name w:val="Grid Table 5 Dark Accent 2_8"/>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9">
    <w:name w:val="Grid Table 5 Dark Accent 2_9"/>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10">
    <w:name w:val="Grid Table 5 Dark Accent 2_10"/>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11">
    <w:name w:val="Grid Table 5 Dark Accent 2_11"/>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12">
    <w:name w:val="Grid Table 5 Dark Accent 2_12"/>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13">
    <w:name w:val="Grid Table 5 Dark Accent 2_13"/>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214">
    <w:name w:val="Grid Table 5 Dark Accent 2_14"/>
    <w:basedOn w:val="TableNormal"/>
    <w:autoRedefine/>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14:textFill>
          <w14:solidFill>
            <w14:schemeClr w14:val="bg1"/>
          </w14:solidFill>
        </w14:textFill>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14:textFill>
          <w14:solidFill>
            <w14:schemeClr w14:val="bg1"/>
          </w14:solidFill>
        </w14:textFill>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14:textFill>
          <w14:solidFill>
            <w14:schemeClr w14:val="bg1"/>
          </w14:solidFill>
        </w14:textFill>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735144104101011114"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某月某日</dc:creator>
  <cp:lastModifiedBy>某月某日</cp:lastModifiedBy>
  <cp:revision>1</cp:revision>
  <dcterms:created xsi:type="dcterms:W3CDTF">2024-03-04T01:36:00Z</dcterms:created>
  <dcterms:modified xsi:type="dcterms:W3CDTF">2024-03-04T01:46:10Z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728B4A4D9C8B443999859CFED1AA2AF6_11</vt:lpwstr>
  </property>
  <property fmtid="{D5CDD505-2E9C-101B-9397-08002B2CF9AE}" pid="3" name="KSOProductBuildVer">
    <vt:lpwstr>2052-12.1.0.16364</vt:lpwstr>
  </property>
</Properties>
</file>