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left"/>
      </w:pPr>
      <w:r>
        <w:rPr>
          <w:rFonts w:ascii="宋体" w:eastAsia="宋体" w:hAnsi="宋体" w:cs="宋体"/>
          <w:b/>
          <w:color w:val="auto"/>
          <w:sz w:val="24"/>
        </w:rPr>
        <w:drawing>
          <wp:anchor simplePos="0" relativeHeight="251658240" behindDoc="0" locked="0" layoutInCell="1" allowOverlap="1">
            <wp:simplePos x="0" y="0"/>
            <wp:positionH relativeFrom="page">
              <wp:posOffset>12293600</wp:posOffset>
            </wp:positionH>
            <wp:positionV relativeFrom="topMargin">
              <wp:posOffset>12446000</wp:posOffset>
            </wp:positionV>
            <wp:extent cx="368300" cy="254000"/>
            <wp:wrapNone/>
            <wp:docPr id="10003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4" name=""/>
                    <pic:cNvPicPr>
                      <a:picLocks noChangeAspect="1"/>
                    </pic:cNvPicPr>
                  </pic:nvPicPr>
                  <pic:blipFill>
                    <a:blip xmlns:r="http://schemas.openxmlformats.org/officeDocument/2006/relationships" r:embed="rId5"/>
                    <a:stretch>
                      <a:fillRect/>
                    </a:stretch>
                  </pic:blipFill>
                  <pic:spPr>
                    <a:xfrm>
                      <a:off x="0" y="0"/>
                      <a:ext cx="368300" cy="254000"/>
                    </a:xfrm>
                    <a:prstGeom prst="rect">
                      <a:avLst/>
                    </a:prstGeom>
                  </pic:spPr>
                </pic:pic>
              </a:graphicData>
            </a:graphic>
          </wp:anchor>
        </w:drawing>
      </w:r>
      <w:r>
        <w:rPr>
          <w:rFonts w:ascii="宋体" w:eastAsia="宋体" w:hAnsi="宋体" w:cs="宋体"/>
          <w:b/>
          <w:color w:val="auto"/>
          <w:sz w:val="24"/>
        </w:rPr>
        <w:t>秘密</w:t>
      </w:r>
      <w:r>
        <w:rPr>
          <w:rFonts w:ascii="Segoe UI Symbol" w:eastAsia="Segoe UI Symbol" w:hAnsi="Segoe UI Symbol" w:cs="Segoe UI Symbol"/>
          <w:b/>
          <w:color w:val="auto"/>
          <w:sz w:val="24"/>
        </w:rPr>
        <w:t>★</w:t>
      </w:r>
      <w:r>
        <w:rPr>
          <w:rFonts w:ascii="宋体" w:eastAsia="宋体" w:hAnsi="宋体" w:cs="宋体"/>
          <w:b/>
          <w:color w:val="auto"/>
          <w:sz w:val="24"/>
        </w:rPr>
        <w:t>启用前</w:t>
      </w:r>
    </w:p>
    <w:p w:rsidR="00FC5860" w:rsidRPr="00BE1BCD">
      <w:pPr>
        <w:spacing w:line="360" w:lineRule="auto"/>
        <w:jc w:val="center"/>
      </w:pPr>
      <w:r>
        <w:rPr>
          <w:rFonts w:ascii="宋体" w:eastAsia="宋体" w:hAnsi="宋体" w:cs="宋体"/>
          <w:b/>
          <w:color w:val="auto"/>
          <w:sz w:val="32"/>
        </w:rPr>
        <w:t>巴中市</w:t>
      </w:r>
      <w:r>
        <w:rPr>
          <w:rFonts w:ascii="Times New Roman" w:eastAsia="Times New Roman" w:hAnsi="Times New Roman" w:cs="Times New Roman"/>
          <w:b/>
          <w:color w:val="auto"/>
          <w:sz w:val="32"/>
        </w:rPr>
        <w:t>2023</w:t>
      </w:r>
      <w:r>
        <w:rPr>
          <w:rFonts w:ascii="宋体" w:eastAsia="宋体" w:hAnsi="宋体" w:cs="宋体"/>
          <w:b/>
          <w:color w:val="auto"/>
          <w:sz w:val="32"/>
        </w:rPr>
        <w:t>年秋学期高二期末考试</w:t>
      </w:r>
    </w:p>
    <w:p w:rsidR="00FC5860" w:rsidRPr="00BE1BCD">
      <w:pPr>
        <w:spacing w:line="360" w:lineRule="auto"/>
        <w:jc w:val="center"/>
      </w:pPr>
      <w:r>
        <w:rPr>
          <w:rFonts w:ascii="宋体" w:eastAsia="宋体" w:hAnsi="宋体" w:cs="宋体"/>
          <w:b/>
          <w:color w:val="auto"/>
          <w:sz w:val="32"/>
        </w:rPr>
        <w:t>生物学试题</w:t>
      </w:r>
    </w:p>
    <w:p w:rsidR="00FC5860" w:rsidRPr="00BE1BCD">
      <w:pPr>
        <w:spacing w:line="360" w:lineRule="auto"/>
        <w:jc w:val="left"/>
      </w:pPr>
      <w:r>
        <w:rPr>
          <w:rFonts w:ascii="宋体" w:eastAsia="宋体" w:hAnsi="宋体" w:cs="宋体"/>
          <w:b/>
          <w:color w:val="auto"/>
          <w:sz w:val="24"/>
        </w:rPr>
        <w:t>注意事项：</w:t>
      </w:r>
    </w:p>
    <w:p w:rsidR="00FC5860" w:rsidRPr="00BE1BCD">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．考试时间：</w:t>
      </w:r>
      <w:r>
        <w:rPr>
          <w:rFonts w:ascii="Times New Roman" w:eastAsia="Times New Roman" w:hAnsi="Times New Roman" w:cs="Times New Roman"/>
          <w:b/>
          <w:color w:val="auto"/>
          <w:sz w:val="24"/>
        </w:rPr>
        <w:t>75</w:t>
      </w:r>
      <w:r>
        <w:rPr>
          <w:rFonts w:ascii="宋体" w:eastAsia="宋体" w:hAnsi="宋体" w:cs="宋体"/>
          <w:b/>
          <w:color w:val="auto"/>
          <w:sz w:val="24"/>
        </w:rPr>
        <w:t>分钟。满分：</w:t>
      </w:r>
      <w:r>
        <w:rPr>
          <w:rFonts w:ascii="Times New Roman" w:eastAsia="Times New Roman" w:hAnsi="Times New Roman" w:cs="Times New Roman"/>
          <w:b/>
          <w:color w:val="auto"/>
          <w:sz w:val="24"/>
        </w:rPr>
        <w:t>100</w:t>
      </w:r>
      <w:r>
        <w:rPr>
          <w:rFonts w:ascii="宋体" w:eastAsia="宋体" w:hAnsi="宋体" w:cs="宋体"/>
          <w:b/>
          <w:color w:val="auto"/>
          <w:sz w:val="24"/>
        </w:rPr>
        <w:t>分。</w:t>
      </w:r>
    </w:p>
    <w:p w:rsidR="00FC5860" w:rsidRPr="00BE1BCD">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．所有题目必须在答题卡上作答，在试题卷、草稿纸上作答无效。</w:t>
      </w:r>
    </w:p>
    <w:p w:rsidR="00FC5860" w:rsidRPr="00BE1BCD">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．需填涂的地方，一律用</w:t>
      </w:r>
      <w:r>
        <w:rPr>
          <w:rFonts w:ascii="Times New Roman" w:eastAsia="Times New Roman" w:hAnsi="Times New Roman" w:cs="Times New Roman"/>
          <w:b/>
          <w:color w:val="auto"/>
          <w:sz w:val="24"/>
        </w:rPr>
        <w:t>2B</w:t>
      </w:r>
      <w:r>
        <w:rPr>
          <w:rFonts w:ascii="宋体" w:eastAsia="宋体" w:hAnsi="宋体" w:cs="宋体"/>
          <w:b/>
          <w:color w:val="auto"/>
          <w:sz w:val="24"/>
        </w:rPr>
        <w:t>铅笔涂满涂黑。需书写的地方一律用</w:t>
      </w:r>
      <w:r>
        <w:rPr>
          <w:rFonts w:ascii="Times New Roman" w:eastAsia="Times New Roman" w:hAnsi="Times New Roman" w:cs="Times New Roman"/>
          <w:b/>
          <w:color w:val="auto"/>
          <w:sz w:val="24"/>
        </w:rPr>
        <w:t>0</w:t>
      </w:r>
      <w:r>
        <w:rPr>
          <w:rFonts w:ascii="宋体" w:eastAsia="宋体" w:hAnsi="宋体" w:cs="宋体"/>
          <w:b/>
          <w:color w:val="auto"/>
          <w:sz w:val="24"/>
        </w:rPr>
        <w:t>．</w:t>
      </w:r>
      <w:r>
        <w:rPr>
          <w:rFonts w:ascii="Times New Roman" w:eastAsia="Times New Roman" w:hAnsi="Times New Roman" w:cs="Times New Roman"/>
          <w:b/>
          <w:color w:val="auto"/>
          <w:sz w:val="24"/>
        </w:rPr>
        <w:t>5mm</w:t>
      </w:r>
      <w:r>
        <w:rPr>
          <w:rFonts w:ascii="宋体" w:eastAsia="宋体" w:hAnsi="宋体" w:cs="宋体"/>
          <w:b/>
          <w:color w:val="auto"/>
          <w:sz w:val="24"/>
        </w:rPr>
        <w:t>黑色签字笔书写。</w:t>
      </w:r>
    </w:p>
    <w:p w:rsidR="00FC5860" w:rsidRPr="00BE1BCD">
      <w:pPr>
        <w:spacing w:line="360" w:lineRule="auto"/>
        <w:jc w:val="left"/>
      </w:pPr>
      <w:r>
        <w:rPr>
          <w:rFonts w:ascii="Times New Roman" w:eastAsia="Times New Roman" w:hAnsi="Times New Roman" w:cs="Times New Roman"/>
          <w:b/>
          <w:color w:val="auto"/>
          <w:sz w:val="24"/>
        </w:rPr>
        <w:t>4</w:t>
      </w:r>
      <w:r>
        <w:rPr>
          <w:rFonts w:ascii="宋体" w:eastAsia="宋体" w:hAnsi="宋体" w:cs="宋体"/>
          <w:b/>
          <w:color w:val="auto"/>
          <w:sz w:val="24"/>
        </w:rPr>
        <w:t>．答题前，务必将自己的姓名、班级、准考证号填写在答题卡规定的位置上。</w:t>
      </w:r>
    </w:p>
    <w:p w:rsidR="00FC5860" w:rsidRPr="00BE1BCD">
      <w:pPr>
        <w:spacing w:line="360" w:lineRule="auto"/>
        <w:jc w:val="center"/>
      </w:pPr>
      <w:r>
        <w:rPr>
          <w:rFonts w:ascii="宋体" w:eastAsia="宋体" w:hAnsi="宋体" w:cs="宋体"/>
          <w:b/>
          <w:color w:val="auto"/>
          <w:sz w:val="24"/>
        </w:rPr>
        <w:t>第</w:t>
      </w:r>
      <w:r>
        <w:rPr>
          <w:rFonts w:ascii="Times New Roman" w:eastAsia="Times New Roman" w:hAnsi="Times New Roman" w:cs="Times New Roman"/>
          <w:b/>
          <w:color w:val="auto"/>
          <w:sz w:val="24"/>
        </w:rPr>
        <w:t>I</w:t>
      </w:r>
      <w:r>
        <w:rPr>
          <w:rFonts w:ascii="宋体" w:eastAsia="宋体" w:hAnsi="宋体" w:cs="宋体"/>
          <w:b/>
          <w:color w:val="auto"/>
          <w:sz w:val="24"/>
        </w:rPr>
        <w:t>卷（选择题，共</w:t>
      </w:r>
      <w:r>
        <w:rPr>
          <w:rFonts w:ascii="Times New Roman" w:eastAsia="Times New Roman" w:hAnsi="Times New Roman" w:cs="Times New Roman"/>
          <w:b/>
          <w:color w:val="auto"/>
          <w:sz w:val="24"/>
        </w:rPr>
        <w:t>50</w:t>
      </w:r>
      <w:r>
        <w:rPr>
          <w:rFonts w:ascii="宋体" w:eastAsia="宋体" w:hAnsi="宋体" w:cs="宋体"/>
          <w:b/>
          <w:color w:val="auto"/>
          <w:sz w:val="24"/>
        </w:rPr>
        <w:t>分）</w:t>
      </w:r>
    </w:p>
    <w:p w:rsidR="00FC5860" w:rsidRPr="00BE1BCD">
      <w:pPr>
        <w:spacing w:line="360" w:lineRule="auto"/>
        <w:jc w:val="left"/>
      </w:pPr>
      <w:r>
        <w:rPr>
          <w:rFonts w:ascii="宋体" w:eastAsia="宋体" w:hAnsi="宋体" w:cs="宋体"/>
          <w:b/>
          <w:color w:val="auto"/>
          <w:sz w:val="24"/>
        </w:rPr>
        <w:t>一、选择题：本题共</w:t>
      </w:r>
      <w:r>
        <w:rPr>
          <w:rFonts w:ascii="Times New Roman" w:eastAsia="Times New Roman" w:hAnsi="Times New Roman" w:cs="Times New Roman"/>
          <w:b/>
          <w:color w:val="auto"/>
          <w:sz w:val="24"/>
        </w:rPr>
        <w:t>25</w:t>
      </w:r>
      <w:r>
        <w:rPr>
          <w:rFonts w:ascii="宋体" w:eastAsia="宋体" w:hAnsi="宋体" w:cs="宋体"/>
          <w:b/>
          <w:color w:val="auto"/>
          <w:sz w:val="24"/>
        </w:rPr>
        <w:t>小题，每小题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50</w:t>
      </w:r>
      <w:r>
        <w:rPr>
          <w:rFonts w:ascii="宋体" w:eastAsia="宋体" w:hAnsi="宋体" w:cs="宋体"/>
          <w:b/>
          <w:color w:val="auto"/>
          <w:sz w:val="24"/>
        </w:rPr>
        <w:t>分。在每小题给出的四个选项中，只有一项符合题目要求。</w:t>
      </w:r>
    </w:p>
    <w:p w:rsidR="00FC5860" w:rsidRPr="00BE1BCD">
      <w:pPr>
        <w:spacing w:line="360" w:lineRule="auto"/>
        <w:jc w:val="left"/>
      </w:pPr>
      <w:r>
        <w:rPr>
          <w:color w:val="auto"/>
        </w:rPr>
        <w:t xml:space="preserve">1. </w:t>
      </w:r>
      <w:r>
        <w:rPr>
          <w:rFonts w:ascii="宋体" w:eastAsia="宋体" w:hAnsi="宋体" w:cs="宋体"/>
          <w:color w:val="auto"/>
        </w:rPr>
        <w:t>在</w:t>
      </w:r>
      <w:r>
        <w:rPr>
          <w:rFonts w:ascii="Times New Roman" w:eastAsia="Times New Roman" w:hAnsi="Times New Roman" w:cs="Times New Roman"/>
          <w:color w:val="auto"/>
        </w:rPr>
        <w:t>2023</w:t>
      </w:r>
      <w:r>
        <w:rPr>
          <w:rFonts w:ascii="宋体" w:eastAsia="宋体" w:hAnsi="宋体" w:cs="宋体"/>
          <w:color w:val="auto"/>
        </w:rPr>
        <w:t>年的杭州亚运会上，我国运动健儿取得了傲人的成绩。以下是运动员在训练和比赛期间的部分监测指标，其中不属于内环境组成成分的是（</w:t>
      </w:r>
      <w:r>
        <w:rPr>
          <w:rFonts w:ascii="Times New Roman" w:eastAsia="Times New Roman" w:hAnsi="Times New Roman" w:cs="Times New Roman"/>
          <w:color w:val="auto"/>
        </w:rPr>
        <w:t xml:space="preserve">    </w:t>
      </w:r>
      <w:r>
        <w:rPr>
          <w:rFonts w:ascii="宋体" w:eastAsia="宋体" w:hAnsi="宋体" w:cs="宋体"/>
          <w:color w:val="auto"/>
        </w:rPr>
        <w:t>）</w:t>
      </w:r>
    </w:p>
    <w:p>
      <w:pPr>
        <w:tabs>
          <w:tab w:val="left" w:pos="2436"/>
          <w:tab w:val="left" w:pos="4873"/>
          <w:tab w:val="left" w:pos="7309"/>
        </w:tabs>
        <w:spacing w:line="360" w:lineRule="auto"/>
        <w:jc w:val="left"/>
        <w:textAlignment w:val="center"/>
        <w:rPr>
          <w:color w:val="000000"/>
        </w:rPr>
      </w:pPr>
      <w:r w:rsidRPr="00BE1BCD" w:rsidR="00FC5860">
        <w:t xml:space="preserve">A. </w:t>
      </w:r>
      <w:r>
        <w:rPr>
          <w:rFonts w:ascii="宋体" w:eastAsia="宋体" w:hAnsi="宋体" w:cs="宋体"/>
          <w:color w:val="auto"/>
        </w:rPr>
        <w:t>胆固醇</w:t>
      </w:r>
      <w:r w:rsidRPr="00BE1BCD" w:rsidR="00FC5860">
        <w:tab/>
      </w:r>
      <w:r w:rsidRPr="00BE1BCD" w:rsidR="00FC5860">
        <w:t xml:space="preserve">B. </w:t>
      </w:r>
      <w:r>
        <w:rPr>
          <w:rFonts w:ascii="宋体" w:eastAsia="宋体" w:hAnsi="宋体" w:cs="宋体"/>
          <w:color w:val="auto"/>
        </w:rPr>
        <w:t>红细胞</w:t>
      </w:r>
      <w:r w:rsidRPr="00BE1BCD" w:rsidR="00FC5860">
        <w:tab/>
      </w:r>
      <w:r w:rsidRPr="00BE1BCD" w:rsidR="00FC5860">
        <w:t xml:space="preserve">C. </w:t>
      </w:r>
      <w:r>
        <w:rPr>
          <w:rFonts w:ascii="宋体" w:eastAsia="宋体" w:hAnsi="宋体" w:cs="宋体"/>
          <w:color w:val="auto"/>
        </w:rPr>
        <w:t>三酰甘油</w:t>
      </w:r>
      <w:r w:rsidRPr="00BE1BCD" w:rsidR="00FC5860">
        <w:tab/>
      </w:r>
      <w:r w:rsidRPr="00BE1BCD" w:rsidR="00FC5860">
        <w:t xml:space="preserve">D. </w:t>
      </w:r>
      <w:r>
        <w:rPr>
          <w:rFonts w:ascii="宋体" w:eastAsia="宋体" w:hAnsi="宋体" w:cs="宋体"/>
          <w:color w:val="auto"/>
        </w:rPr>
        <w:t>多巴胺</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内环境主要由组织液、血浆、淋巴等组成，消化道、呼吸道、生殖道等都是直接与外界相通的，不属于内环境；细胞内的成分也不属于内环境。</w:t>
      </w:r>
    </w:p>
    <w:p>
      <w:pPr>
        <w:spacing w:line="360" w:lineRule="auto"/>
        <w:jc w:val="left"/>
        <w:textAlignment w:val="center"/>
        <w:rPr>
          <w:color w:val="000000"/>
        </w:rPr>
      </w:pPr>
      <w:r>
        <w:rPr>
          <w:color w:val="000000"/>
        </w:rPr>
        <w:t>【详解】</w:t>
      </w:r>
      <w:r>
        <w:rPr>
          <w:color w:val="000000"/>
        </w:rPr>
        <w:t>A、胆固醇可在血液中参与脂质的运输，是血浆的组成成分，A错误；</w:t>
      </w:r>
    </w:p>
    <w:p>
      <w:pPr>
        <w:spacing w:line="360" w:lineRule="auto"/>
        <w:jc w:val="left"/>
        <w:textAlignment w:val="center"/>
        <w:rPr>
          <w:color w:val="000000"/>
        </w:rPr>
      </w:pPr>
      <w:r>
        <w:rPr>
          <w:color w:val="000000"/>
        </w:rPr>
        <w:t>B、血液分为血细胞和血浆，血细胞不是内环境的组成成分，B正确;</w:t>
      </w:r>
    </w:p>
    <w:p>
      <w:pPr>
        <w:spacing w:line="360" w:lineRule="auto"/>
        <w:jc w:val="left"/>
        <w:textAlignment w:val="center"/>
        <w:rPr>
          <w:color w:val="000000"/>
        </w:rPr>
      </w:pPr>
      <w:r>
        <w:rPr>
          <w:color w:val="000000"/>
        </w:rPr>
        <w:t>C、三酰甘油即脂肪，可以出现在血浆中，C错误；</w:t>
      </w:r>
    </w:p>
    <w:p>
      <w:pPr>
        <w:spacing w:line="360" w:lineRule="auto"/>
        <w:jc w:val="left"/>
        <w:textAlignment w:val="center"/>
        <w:rPr>
          <w:color w:val="000000"/>
        </w:rPr>
      </w:pPr>
      <w:r>
        <w:rPr>
          <w:color w:val="000000"/>
        </w:rPr>
        <w:t>D、多巴胺是神经递质，可以出现在组织液中，D错误。</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2. </w:t>
      </w:r>
      <w:r>
        <w:rPr>
          <w:rFonts w:ascii="宋体" w:eastAsia="宋体" w:hAnsi="宋体" w:cs="宋体"/>
          <w:color w:val="000000"/>
        </w:rPr>
        <w:t>如图中电流表的两极接在离体神经纤维膜的外表面，</w:t>
      </w:r>
      <w:r>
        <w:rPr>
          <w:rFonts w:ascii="Times New Roman" w:eastAsia="Times New Roman" w:hAnsi="Times New Roman" w:cs="Times New Roman"/>
          <w:color w:val="000000"/>
        </w:rPr>
        <w:t>A</w:t>
      </w:r>
      <w:r>
        <w:rPr>
          <w:rFonts w:ascii="宋体" w:eastAsia="宋体" w:hAnsi="宋体" w:cs="宋体"/>
          <w:color w:val="000000"/>
        </w:rPr>
        <w:t>为刺激位点，已知电流表的指针偏转方向与电流方向一致。当</w:t>
      </w:r>
      <w:r>
        <w:rPr>
          <w:rFonts w:ascii="Times New Roman" w:eastAsia="Times New Roman" w:hAnsi="Times New Roman" w:cs="Times New Roman"/>
          <w:color w:val="000000"/>
        </w:rPr>
        <w:t>A</w:t>
      </w:r>
      <w:r>
        <w:rPr>
          <w:rFonts w:ascii="宋体" w:eastAsia="宋体" w:hAnsi="宋体" w:cs="宋体"/>
          <w:color w:val="000000"/>
        </w:rPr>
        <w:t>点受到适宜刺激后，电流表指针的偏转情况是（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790700" cy="55245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1790700" cy="55245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指针不发生偏转</w:t>
      </w:r>
      <w:r>
        <w:rPr>
          <w:color w:val="000000"/>
        </w:rPr>
        <w:tab/>
      </w:r>
      <w:r>
        <w:rPr>
          <w:color w:val="000000"/>
        </w:rPr>
        <w:t xml:space="preserve">B. </w:t>
      </w:r>
      <w:r>
        <w:rPr>
          <w:rFonts w:ascii="宋体" w:eastAsia="宋体" w:hAnsi="宋体" w:cs="宋体"/>
          <w:color w:val="000000"/>
        </w:rPr>
        <w:t>指针先向左偏转，随后向右偏转</w:t>
      </w:r>
    </w:p>
    <w:p>
      <w:pPr>
        <w:spacing w:line="360" w:lineRule="auto"/>
        <w:textAlignment w:val="center"/>
        <w:rPr>
          <w:color w:val="000000"/>
        </w:rPr>
        <w:sectPr w:rsidSect="00C321EB">
          <w:type w:val="nextPage"/>
          <w:pgSz w:w="11906" w:h="16838"/>
          <w:pgMar w:top="910" w:right="1080" w:bottom="1440" w:left="1080" w:header="152" w:footer="0" w:gutter="0"/>
          <w:pgNumType w:start="24"/>
          <w:cols w:space="720"/>
          <w:titlePg w:val="0"/>
          <w:docGrid w:type="lines" w:linePitch="312"/>
        </w:sectPr>
      </w:pPr>
      <w:r>
        <w:rPr>
          <w:color w:val="000000"/>
        </w:rPr>
        <w:t xml:space="preserve">C. </w:t>
      </w:r>
      <w:r>
        <w:rPr>
          <w:rFonts w:ascii="宋体" w:eastAsia="宋体" w:hAnsi="宋体" w:cs="宋体"/>
          <w:color w:val="000000"/>
        </w:rPr>
        <w:t>指针发生一次偏转</w:t>
      </w:r>
      <w:r>
        <w:rPr>
          <w:color w:val="000000"/>
        </w:rPr>
        <w:tab/>
      </w:r>
      <w:r>
        <w:rPr>
          <w:color w:val="000000"/>
        </w:rPr>
        <w:t xml:space="preserve">D. </w:t>
      </w:r>
      <w:r>
        <w:rPr>
          <w:rFonts w:ascii="宋体" w:eastAsia="宋体" w:hAnsi="宋体" w:cs="宋体"/>
          <w:color w:val="000000"/>
        </w:rPr>
        <w:t>指针先向右偏转，随后向左偏转</w:t>
      </w: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神经调节的基本方式是反射，其结构基础是反射弧。兴奋在神经纤维上的传导是双向的，在神经元之间的传递是单向的。神经纤维处于静息状态时，细胞膜内外电位为外正内负；神经纤维受到刺激产生动作电位时，细胞膜内外电位为内正外负。</w:t>
      </w:r>
    </w:p>
    <w:p>
      <w:pPr>
        <w:spacing w:line="360" w:lineRule="auto"/>
        <w:jc w:val="left"/>
        <w:textAlignment w:val="center"/>
        <w:rPr>
          <w:color w:val="000000"/>
        </w:rPr>
      </w:pPr>
      <w:r>
        <w:rPr>
          <w:color w:val="000000"/>
        </w:rPr>
        <w:t>【详解】</w:t>
      </w:r>
      <w:r>
        <w:rPr>
          <w:color w:val="000000"/>
        </w:rPr>
        <w:t>根据题意可知，A为刺激位点，且电流表的指针偏转方向与电流方向一致。由于兴奋在神经纤维上的传导是双向的，所以当A点受到适宜刺激后，电流表指针的偏转情况是先向右偏移再向左偏移，ABC错误，D正确。</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3. </w:t>
      </w:r>
      <w:r>
        <w:rPr>
          <w:rFonts w:ascii="宋体" w:eastAsia="宋体" w:hAnsi="宋体" w:cs="宋体"/>
          <w:color w:val="000000"/>
        </w:rPr>
        <w:t>下列事例不能说明神经系统中的高级中枢对低级中枢有调控作用的是（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跳水运动员入水时屏住呼吸</w:t>
      </w:r>
      <w:r>
        <w:rPr>
          <w:color w:val="000000"/>
        </w:rPr>
        <w:tab/>
      </w:r>
      <w:r>
        <w:rPr>
          <w:color w:val="000000"/>
        </w:rPr>
        <w:t xml:space="preserve">B. </w:t>
      </w:r>
      <w:r>
        <w:rPr>
          <w:rFonts w:ascii="宋体" w:eastAsia="宋体" w:hAnsi="宋体" w:cs="宋体"/>
          <w:color w:val="000000"/>
        </w:rPr>
        <w:t>尿检时，没有尿意也能排出尿液</w:t>
      </w:r>
    </w:p>
    <w:p>
      <w:pPr>
        <w:tabs>
          <w:tab w:val="left" w:pos="4873"/>
        </w:tabs>
        <w:spacing w:line="360" w:lineRule="auto"/>
        <w:jc w:val="left"/>
        <w:textAlignment w:val="center"/>
        <w:rPr>
          <w:color w:val="000000"/>
        </w:rPr>
      </w:pPr>
      <w:r>
        <w:rPr>
          <w:color w:val="000000"/>
        </w:rPr>
        <w:t>C</w:t>
      </w:r>
      <w:r>
        <w:rPr>
          <w:color w:val="000000"/>
          <w:position w:val="-22"/>
        </w:rPr>
        <w:drawing>
          <wp:inline>
            <wp:extent cx="31750" cy="88900"/>
            <wp:docPr id="94165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1651" name=""/>
                    <pic:cNvPicPr>
                      <a:picLocks noChangeAspect="1"/>
                    </pic:cNvPicPr>
                  </pic:nvPicPr>
                  <pic:blipFill>
                    <a:blip xmlns:r="http://schemas.openxmlformats.org/officeDocument/2006/relationships" r:embed="rId7"/>
                    <a:stretch>
                      <a:fillRect/>
                    </a:stretch>
                  </pic:blipFill>
                  <pic:spPr>
                    <a:xfrm>
                      <a:off x="0" y="0"/>
                      <a:ext cx="31750" cy="88900"/>
                    </a:xfrm>
                    <a:prstGeom prst="rect">
                      <a:avLst/>
                    </a:prstGeom>
                  </pic:spPr>
                </pic:pic>
              </a:graphicData>
            </a:graphic>
          </wp:inline>
        </w:drawing>
      </w:r>
      <w:r>
        <w:rPr>
          <w:color w:val="000000"/>
        </w:rPr>
        <w:t xml:space="preserve"> </w:t>
      </w:r>
      <w:r>
        <w:rPr>
          <w:rFonts w:ascii="宋体" w:eastAsia="宋体" w:hAnsi="宋体" w:cs="宋体"/>
          <w:color w:val="000000"/>
        </w:rPr>
        <w:t>下丘脑某部位受损引起体温调节紊乱</w:t>
      </w:r>
      <w:r>
        <w:rPr>
          <w:color w:val="000000"/>
        </w:rPr>
        <w:tab/>
      </w:r>
      <w:r>
        <w:rPr>
          <w:color w:val="000000"/>
        </w:rPr>
        <w:t xml:space="preserve">D. </w:t>
      </w:r>
      <w:r>
        <w:rPr>
          <w:rFonts w:ascii="宋体" w:eastAsia="宋体" w:hAnsi="宋体" w:cs="宋体"/>
          <w:color w:val="000000"/>
        </w:rPr>
        <w:t>高考体检采血时，考生保持胳膊不动</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脑和脊髓是神经系统的中枢部分，叫中枢神经系统；神经系统中的高级中枢在大脑皮层，低级中枢位于大脑皮层以下的部位（如脊髓），高级中枢能够控制低级中枢的活动。</w:t>
      </w:r>
    </w:p>
    <w:p>
      <w:pPr>
        <w:spacing w:line="360" w:lineRule="auto"/>
        <w:jc w:val="left"/>
        <w:textAlignment w:val="center"/>
        <w:rPr>
          <w:color w:val="000000"/>
        </w:rPr>
      </w:pPr>
      <w:r>
        <w:rPr>
          <w:color w:val="000000"/>
        </w:rPr>
        <w:t>【详解】</w:t>
      </w:r>
      <w:r>
        <w:rPr>
          <w:color w:val="000000"/>
        </w:rPr>
        <w:t>A、跳水运动员入水时屏住呼吸，是受到大脑皮层调控的，能说明高级中枢对低级中枢的调控，不符合题意，A错误；</w:t>
      </w:r>
    </w:p>
    <w:p>
      <w:pPr>
        <w:spacing w:line="360" w:lineRule="auto"/>
        <w:jc w:val="left"/>
        <w:textAlignment w:val="center"/>
        <w:rPr>
          <w:color w:val="000000"/>
        </w:rPr>
      </w:pPr>
      <w:r>
        <w:rPr>
          <w:color w:val="000000"/>
        </w:rPr>
        <w:t>B、尿检时，没有尿意也能排出尿液，说明脊髓中的低级中枢受到了脑中相应高级中枢的调控，不符合题意，B错误；</w:t>
      </w:r>
    </w:p>
    <w:p>
      <w:pPr>
        <w:spacing w:line="360" w:lineRule="auto"/>
        <w:jc w:val="left"/>
        <w:textAlignment w:val="center"/>
        <w:rPr>
          <w:color w:val="000000"/>
        </w:rPr>
      </w:pPr>
      <w:r>
        <w:rPr>
          <w:color w:val="000000"/>
        </w:rPr>
        <w:t>C、下丘脑是体温调节中枢，下丘脑某部位受损的患者，体温调节紊乱，但不能说明高级中枢能够控制低级中枢，符合题意，C正确；</w:t>
      </w:r>
    </w:p>
    <w:p>
      <w:pPr>
        <w:spacing w:line="360" w:lineRule="auto"/>
        <w:jc w:val="left"/>
        <w:textAlignment w:val="center"/>
        <w:rPr>
          <w:color w:val="000000"/>
        </w:rPr>
      </w:pPr>
      <w:r>
        <w:rPr>
          <w:color w:val="000000"/>
        </w:rPr>
        <w:t>D、缩手的低级中枢是脊髓，高级中枢是大脑皮层，所以高考体检采血时，考生保持胳膊不动说明脊髓的活动受大脑皮层控制，不符合题意，D错误。</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4. </w:t>
      </w:r>
      <w:r>
        <w:rPr>
          <w:rFonts w:ascii="宋体" w:eastAsia="宋体" w:hAnsi="宋体" w:cs="宋体"/>
          <w:color w:val="000000"/>
        </w:rPr>
        <w:t>同声传译是译员在不打断讲话者演讲的情况下，同步地将讲话内容翻译给听众的一种口译方式。在译员专心进行翻译时，参与的高级神经中枢主要有（</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w:t>
      </w:r>
      <w:r>
        <w:rPr>
          <w:rFonts w:ascii="Times New Roman" w:eastAsia="Times New Roman" w:hAnsi="Times New Roman" w:cs="Times New Roman"/>
          <w:color w:val="000000"/>
        </w:rPr>
        <w:t>H</w:t>
      </w:r>
      <w:r>
        <w:rPr>
          <w:rFonts w:ascii="宋体" w:eastAsia="宋体" w:hAnsi="宋体" w:cs="宋体"/>
          <w:color w:val="000000"/>
        </w:rPr>
        <w:t>区（听觉性语言中枢）②</w:t>
      </w:r>
      <w:r>
        <w:rPr>
          <w:rFonts w:ascii="Times New Roman" w:eastAsia="Times New Roman" w:hAnsi="Times New Roman" w:cs="Times New Roman"/>
          <w:color w:val="000000"/>
        </w:rPr>
        <w:t>S</w:t>
      </w:r>
      <w:r>
        <w:rPr>
          <w:rFonts w:ascii="宋体" w:eastAsia="宋体" w:hAnsi="宋体" w:cs="宋体"/>
          <w:color w:val="000000"/>
        </w:rPr>
        <w:t>区（运动性语言中枢）③</w:t>
      </w:r>
      <w:r>
        <w:rPr>
          <w:rFonts w:ascii="Times New Roman" w:eastAsia="Times New Roman" w:hAnsi="Times New Roman" w:cs="Times New Roman"/>
          <w:color w:val="000000"/>
        </w:rPr>
        <w:t>V</w:t>
      </w:r>
      <w:r>
        <w:rPr>
          <w:rFonts w:ascii="宋体" w:eastAsia="宋体" w:hAnsi="宋体" w:cs="宋体"/>
          <w:color w:val="000000"/>
        </w:rPr>
        <w:t>区（视觉性语言中枢）④</w:t>
      </w:r>
      <w:r>
        <w:rPr>
          <w:rFonts w:ascii="Times New Roman" w:eastAsia="Times New Roman" w:hAnsi="Times New Roman" w:cs="Times New Roman"/>
          <w:color w:val="000000"/>
        </w:rPr>
        <w:t>W</w:t>
      </w:r>
      <w:r>
        <w:rPr>
          <w:rFonts w:ascii="宋体" w:eastAsia="宋体" w:hAnsi="宋体" w:cs="宋体"/>
          <w:color w:val="000000"/>
        </w:rPr>
        <w:t>区（书写性语言中枢）</w:t>
      </w:r>
    </w:p>
    <w:p>
      <w:pPr>
        <w:spacing w:line="360" w:lineRule="auto"/>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r>
        <w:rPr>
          <w:color w:val="2E75B6"/>
        </w:rPr>
        <w:t>【答案】</w:t>
      </w:r>
      <w:r>
        <w:rPr>
          <w:color w:val="000000"/>
        </w:rPr>
        <w:t>A</w:t>
      </w:r>
    </w:p>
    <w:p>
      <w:pPr>
        <w:spacing w:line="360" w:lineRule="auto"/>
        <w:textAlignment w:val="center"/>
        <w:rPr>
          <w:color w:val="000000"/>
        </w:rPr>
        <w:sectPr w:rsidSect="00C321EB">
          <w:type w:val="nextPage"/>
          <w:pgSz w:w="11906" w:h="16838"/>
          <w:pgMar w:top="910" w:right="1080" w:bottom="1440" w:left="1080" w:header="152" w:footer="0" w:gutter="0"/>
          <w:pgNumType w:start="25"/>
          <w:cols w:space="720"/>
          <w:titlePg w:val="0"/>
          <w:docGrid w:type="lines" w:linePitch="312"/>
        </w:sect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大脑皮层除了对外部世界感知（感觉中枢在大脑皮层）还具有语言、学习、记忆和思维等方面的高级功能。语言文字是人类进行思维的主要工具，是人类特有的高级功能（在言语区）。大脑皮层功能区中，</w:t>
      </w:r>
      <w:r>
        <w:rPr>
          <w:rFonts w:ascii="Times New Roman" w:eastAsia="Times New Roman" w:hAnsi="Times New Roman" w:cs="Times New Roman"/>
          <w:color w:val="000000"/>
        </w:rPr>
        <w:t>W</w:t>
      </w:r>
      <w:r>
        <w:rPr>
          <w:rFonts w:ascii="宋体" w:eastAsia="宋体" w:hAnsi="宋体" w:cs="宋体"/>
          <w:color w:val="000000"/>
        </w:rPr>
        <w:t>区为书写中枢，与书写文字有关，</w:t>
      </w:r>
      <w:r>
        <w:rPr>
          <w:rFonts w:ascii="Times New Roman" w:eastAsia="Times New Roman" w:hAnsi="Times New Roman" w:cs="Times New Roman"/>
          <w:color w:val="000000"/>
        </w:rPr>
        <w:t>V</w:t>
      </w:r>
      <w:r>
        <w:rPr>
          <w:rFonts w:ascii="宋体" w:eastAsia="宋体" w:hAnsi="宋体" w:cs="宋体"/>
          <w:color w:val="000000"/>
        </w:rPr>
        <w:t>区为视觉性语言中枢，与阅读有关，</w:t>
      </w:r>
      <w:r>
        <w:rPr>
          <w:rFonts w:ascii="Times New Roman" w:eastAsia="Times New Roman" w:hAnsi="Times New Roman" w:cs="Times New Roman"/>
          <w:color w:val="000000"/>
        </w:rPr>
        <w:t>S</w:t>
      </w:r>
      <w:r>
        <w:rPr>
          <w:rFonts w:ascii="宋体" w:eastAsia="宋体" w:hAnsi="宋体" w:cs="宋体"/>
          <w:color w:val="000000"/>
        </w:rPr>
        <w:t>区为运动性语言中枢，与说话有关，</w:t>
      </w:r>
      <w:r>
        <w:rPr>
          <w:rFonts w:ascii="Times New Roman" w:eastAsia="Times New Roman" w:hAnsi="Times New Roman" w:cs="Times New Roman"/>
          <w:color w:val="000000"/>
        </w:rPr>
        <w:t>H</w:t>
      </w:r>
      <w:r>
        <w:rPr>
          <w:rFonts w:ascii="宋体" w:eastAsia="宋体" w:hAnsi="宋体" w:cs="宋体"/>
          <w:color w:val="000000"/>
        </w:rPr>
        <w:t>区为听觉性语言中枢，与听懂别人谈话有关。</w:t>
      </w:r>
    </w:p>
    <w:p>
      <w:pPr>
        <w:spacing w:line="360" w:lineRule="auto"/>
        <w:jc w:val="left"/>
        <w:textAlignment w:val="center"/>
        <w:rPr>
          <w:color w:val="000000"/>
        </w:rPr>
      </w:pPr>
      <w:r>
        <w:rPr>
          <w:color w:val="000000"/>
        </w:rPr>
        <w:t>【详解】</w:t>
      </w:r>
      <w:r>
        <w:rPr>
          <w:rFonts w:ascii="宋体" w:eastAsia="宋体" w:hAnsi="宋体" w:cs="宋体"/>
          <w:color w:val="000000"/>
        </w:rPr>
        <w:t>同声传译是译员在不打断讲话者演讲的情况下，不停地将其讲话内容传译给听众的一种口译方式。即译员主要是翻译及听讲，故参与的高级神经中枢主要有大脑皮层</w:t>
      </w:r>
      <w:r>
        <w:rPr>
          <w:rFonts w:ascii="Times New Roman" w:eastAsia="Times New Roman" w:hAnsi="Times New Roman" w:cs="Times New Roman"/>
          <w:color w:val="000000"/>
        </w:rPr>
        <w:t>S</w:t>
      </w:r>
      <w:r>
        <w:rPr>
          <w:rFonts w:ascii="宋体" w:eastAsia="宋体" w:hAnsi="宋体" w:cs="宋体"/>
          <w:color w:val="000000"/>
        </w:rPr>
        <w:t>区（运动性语言中枢）和大脑皮层</w:t>
      </w:r>
      <w:r>
        <w:rPr>
          <w:rFonts w:ascii="Times New Roman" w:eastAsia="Times New Roman" w:hAnsi="Times New Roman" w:cs="Times New Roman"/>
          <w:color w:val="000000"/>
        </w:rPr>
        <w:t>H</w:t>
      </w:r>
      <w:r>
        <w:rPr>
          <w:rFonts w:ascii="宋体" w:eastAsia="宋体" w:hAnsi="宋体" w:cs="宋体"/>
          <w:color w:val="000000"/>
        </w:rPr>
        <w:t>区（听觉性语言中枢）。综上分析，</w:t>
      </w:r>
      <w:r>
        <w:rPr>
          <w:rFonts w:ascii="Times New Roman" w:eastAsia="Times New Roman" w:hAnsi="Times New Roman" w:cs="Times New Roman"/>
          <w:color w:val="000000"/>
        </w:rPr>
        <w:t>A</w:t>
      </w:r>
      <w:r>
        <w:rPr>
          <w:rFonts w:ascii="宋体" w:eastAsia="宋体" w:hAnsi="宋体" w:cs="宋体"/>
          <w:color w:val="000000"/>
        </w:rPr>
        <w:t>正确，</w:t>
      </w:r>
      <w:r>
        <w:rPr>
          <w:rFonts w:ascii="Times New Roman" w:eastAsia="Times New Roman" w:hAnsi="Times New Roman" w:cs="Times New Roman"/>
          <w:color w:val="000000"/>
        </w:rPr>
        <w:t>BCD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 xml:space="preserve">5. </w:t>
      </w:r>
      <w:r>
        <w:rPr>
          <w:rFonts w:ascii="宋体" w:eastAsia="宋体" w:hAnsi="宋体" w:cs="宋体"/>
          <w:color w:val="000000"/>
        </w:rPr>
        <w:t>某成年人智力正常，但身高只有</w:t>
      </w:r>
      <w:r>
        <w:rPr>
          <w:rFonts w:ascii="Times New Roman" w:eastAsia="Times New Roman" w:hAnsi="Times New Roman" w:cs="Times New Roman"/>
          <w:color w:val="000000"/>
        </w:rPr>
        <w:t>93cm</w:t>
      </w:r>
      <w:r>
        <w:rPr>
          <w:rFonts w:ascii="宋体" w:eastAsia="宋体" w:hAnsi="宋体" w:cs="宋体"/>
          <w:color w:val="000000"/>
        </w:rPr>
        <w:t>，造成这一现象的原因可能是（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胰腺病变，导致生长激素分泌不足</w:t>
      </w:r>
      <w:r>
        <w:rPr>
          <w:color w:val="000000"/>
        </w:rPr>
        <w:tab/>
      </w:r>
      <w:r>
        <w:rPr>
          <w:color w:val="000000"/>
        </w:rPr>
        <w:t xml:space="preserve">B. </w:t>
      </w:r>
      <w:r>
        <w:rPr>
          <w:rFonts w:ascii="宋体" w:eastAsia="宋体" w:hAnsi="宋体" w:cs="宋体"/>
          <w:color w:val="000000"/>
        </w:rPr>
        <w:t>垂体病变，导致生长激素分泌不足</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下丘脑病变，导致甲状腺激素分泌不足</w:t>
      </w:r>
      <w:r>
        <w:rPr>
          <w:color w:val="000000"/>
        </w:rPr>
        <w:tab/>
      </w:r>
      <w:r>
        <w:rPr>
          <w:color w:val="000000"/>
        </w:rPr>
        <w:t xml:space="preserve">D. </w:t>
      </w:r>
      <w:r>
        <w:rPr>
          <w:rFonts w:ascii="宋体" w:eastAsia="宋体" w:hAnsi="宋体" w:cs="宋体"/>
          <w:color w:val="000000"/>
        </w:rPr>
        <w:t>甲状腺病变，导致甲状腺激素分泌不足</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题意分析：该成年人智力正常，说明与神经系统发育有关的甲状腺激素等分泌正常；而该人身高不足，说明可能为幼年时期生长激素分泌不足。</w:t>
      </w:r>
    </w:p>
    <w:p>
      <w:pPr>
        <w:spacing w:line="360" w:lineRule="auto"/>
        <w:jc w:val="left"/>
        <w:textAlignment w:val="center"/>
        <w:rPr>
          <w:color w:val="000000"/>
        </w:rPr>
      </w:pPr>
      <w:r>
        <w:rPr>
          <w:color w:val="000000"/>
        </w:rPr>
        <w:t>【详解】</w:t>
      </w:r>
      <w:r>
        <w:rPr>
          <w:color w:val="000000"/>
        </w:rPr>
        <w:t>A、生长激素可以促进骨骼的发育，促进个体生长，若生长激素分泌不足，会出现智力正常，但身高不足的现象，而生长激素是由垂体分泌的，胰腺病变不会导致生长激素分泌不足，A错误；</w:t>
      </w:r>
    </w:p>
    <w:p>
      <w:pPr>
        <w:spacing w:line="360" w:lineRule="auto"/>
        <w:jc w:val="left"/>
        <w:textAlignment w:val="center"/>
        <w:rPr>
          <w:color w:val="000000"/>
        </w:rPr>
      </w:pPr>
      <w:r>
        <w:rPr>
          <w:color w:val="000000"/>
        </w:rPr>
        <w:t>B、垂体病变，导致生长激素分泌不足，且生长激素可以促进骨骼的发育，促进个体生长，因而可推测，该成年人的症状是由于生长激素分泌不足引起的，B正确；</w:t>
      </w:r>
    </w:p>
    <w:p>
      <w:pPr>
        <w:spacing w:line="360" w:lineRule="auto"/>
        <w:jc w:val="left"/>
        <w:textAlignment w:val="center"/>
        <w:rPr>
          <w:color w:val="000000"/>
        </w:rPr>
      </w:pPr>
      <w:r>
        <w:rPr>
          <w:color w:val="000000"/>
        </w:rPr>
        <w:t>C、甲状腺激素的分泌受到下丘脑-垂体-甲状腺轴的调控，若下丘脑病变，会导致甲状腺激素分泌不足，但甲状腺激素分泌不足不会导致题中的症状，C错误；</w:t>
      </w:r>
    </w:p>
    <w:p>
      <w:pPr>
        <w:spacing w:line="360" w:lineRule="auto"/>
        <w:jc w:val="left"/>
        <w:textAlignment w:val="center"/>
        <w:rPr>
          <w:color w:val="000000"/>
        </w:rPr>
      </w:pPr>
      <w:r>
        <w:rPr>
          <w:color w:val="000000"/>
        </w:rPr>
        <w:t>D、甲状腺病变，导致甲状腺激素分泌不足，但不会出现题干所示现象，D错误。</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6. </w:t>
      </w:r>
      <w:r>
        <w:rPr>
          <w:rFonts w:ascii="宋体" w:eastAsia="宋体" w:hAnsi="宋体" w:cs="宋体"/>
          <w:color w:val="000000"/>
        </w:rPr>
        <w:t>皮质醇是肾上腺皮质分泌的一种激素，下图为皮质醇分泌的调节示意图。下列相关叙述错误的是（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color w:val="000000"/>
        </w:rPr>
        <w:drawing>
          <wp:inline>
            <wp:extent cx="5238750" cy="847572"/>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5238750" cy="847572"/>
                    </a:xfrm>
                    <a:prstGeom prst="rect">
                      <a:avLst/>
                    </a:prstGeom>
                  </pic:spPr>
                </pic:pic>
              </a:graphicData>
            </a:graphic>
          </wp:inline>
        </w:drawing>
      </w:r>
      <w:r>
        <w:rPr>
          <w:color w:val="000000"/>
        </w:rPr>
        <w:t xml:space="preserve">A. </w:t>
      </w:r>
      <w:r>
        <w:rPr>
          <w:rFonts w:ascii="宋体" w:eastAsia="宋体" w:hAnsi="宋体" w:cs="宋体"/>
          <w:color w:val="000000"/>
        </w:rPr>
        <w:t>皮质醇分泌的调节属于分级调节</w:t>
      </w:r>
      <w:r>
        <w:rPr>
          <w:color w:val="000000"/>
        </w:rPr>
        <w:tab/>
      </w:r>
      <w:r>
        <w:rPr>
          <w:color w:val="000000"/>
        </w:rPr>
        <w:t xml:space="preserve">B. </w:t>
      </w:r>
      <w:r>
        <w:rPr>
          <w:rFonts w:ascii="Times New Roman" w:eastAsia="Times New Roman" w:hAnsi="Times New Roman" w:cs="Times New Roman"/>
          <w:color w:val="000000"/>
        </w:rPr>
        <w:t>X</w:t>
      </w:r>
      <w:r>
        <w:rPr>
          <w:rFonts w:ascii="宋体" w:eastAsia="宋体" w:hAnsi="宋体" w:cs="宋体"/>
          <w:color w:val="000000"/>
        </w:rPr>
        <w:t>是促肾上腺皮质激素释放激素</w:t>
      </w:r>
    </w:p>
    <w:p>
      <w:pPr>
        <w:tabs>
          <w:tab w:val="left" w:pos="4873"/>
        </w:tabs>
        <w:spacing w:line="360" w:lineRule="auto"/>
        <w:jc w:val="left"/>
        <w:textAlignment w:val="center"/>
        <w:rPr>
          <w:color w:val="000000"/>
        </w:rPr>
      </w:pPr>
      <w:r>
        <w:rPr>
          <w:color w:val="000000"/>
        </w:rPr>
        <w:t xml:space="preserve">C. </w:t>
      </w:r>
      <w:r>
        <w:rPr>
          <w:rFonts w:ascii="Times New Roman" w:eastAsia="Times New Roman" w:hAnsi="Times New Roman" w:cs="Times New Roman"/>
          <w:color w:val="000000"/>
        </w:rPr>
        <w:t>Y</w:t>
      </w:r>
      <w:r>
        <w:rPr>
          <w:rFonts w:ascii="宋体" w:eastAsia="宋体" w:hAnsi="宋体" w:cs="宋体"/>
          <w:color w:val="000000"/>
        </w:rPr>
        <w:t>可通过体液定向运输至肾上腺皮质</w:t>
      </w:r>
      <w:r>
        <w:rPr>
          <w:color w:val="000000"/>
        </w:rPr>
        <w:tab/>
      </w:r>
      <w:r>
        <w:rPr>
          <w:color w:val="000000"/>
        </w:rPr>
        <w:t xml:space="preserve">D. </w:t>
      </w:r>
      <w:r>
        <w:rPr>
          <w:rFonts w:ascii="宋体" w:eastAsia="宋体" w:hAnsi="宋体" w:cs="宋体"/>
          <w:color w:val="000000"/>
        </w:rPr>
        <w:t>垂体细胞含有与</w:t>
      </w:r>
      <w:r>
        <w:rPr>
          <w:rFonts w:ascii="Times New Roman" w:eastAsia="Times New Roman" w:hAnsi="Times New Roman" w:cs="Times New Roman"/>
          <w:color w:val="000000"/>
        </w:rPr>
        <w:t>X</w:t>
      </w:r>
      <w:r>
        <w:rPr>
          <w:rFonts w:ascii="宋体" w:eastAsia="宋体" w:hAnsi="宋体" w:cs="宋体"/>
          <w:color w:val="000000"/>
        </w:rPr>
        <w:t>和皮质醇结合的受体</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https://d.book118.com/736031212000010051</w:t>
        </w:r>
      </w:hyperlink>
    </w:p>
    <w:p>
      <w:pPr>
        <w:tabs>
          <w:tab w:val="left" w:pos="4873"/>
        </w:tabs>
        <w:spacing w:line="360" w:lineRule="auto"/>
        <w:jc w:val="left"/>
        <w:textAlignment w:val="center"/>
        <w:rPr>
          <w:color w:val="000000"/>
        </w:rPr>
      </w:pPr>
    </w:p>
    <w:sectPr w:rsidSect="00C321EB">
      <w:type w:val="nextPage"/>
      <w:pgSz w:w="11906" w:h="16838"/>
      <w:pgMar w:top="910" w:right="1080" w:bottom="1440" w:left="1080" w:header="152" w:footer="0" w:gutter="0"/>
      <w:pgNumType w:start="2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wmf" /><Relationship Id="rId8" Type="http://schemas.openxmlformats.org/officeDocument/2006/relationships/image" Target="media/image4.png" /><Relationship Id="rId9" Type="http://schemas.openxmlformats.org/officeDocument/2006/relationships/hyperlink" Target="https://d.book118.com/736031212000010051"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3416785247920128</dc:description>
  <cp:lastModifiedBy>学科网试题生产平台</cp:lastModifiedBy>
  <cp:revision>8</cp:revision>
  <dcterms:created xsi:type="dcterms:W3CDTF">2024-01-24T19:47:24Z</dcterms:created>
  <dcterms:modified xsi:type="dcterms:W3CDTF">2024-01-24T19:47:24Z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