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2018-2023年石家庄工程职业学院高职单招（数学／语文／英语）历年常考试题库含答案解析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北宋第一个专事写词的词人是（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B.秦观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“贻笑大方”这个成语源自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《五代史伶官传序》是一篇史论典范，其作者是（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下列诗人中属于边塞诗派的是（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A.王昌龄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B.孟浩然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C.常建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《日出》的作者是（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B.田汉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C.丁西林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D.曹禺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《无题》（相见时难别亦难）是一首（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D.七古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下列带点的字解释正确的是（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A.战百万日滋之师。滋：滋养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B.人卒九州，谷食之所生。卒：到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C.间道经其门。间：间或，偶尔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D.凌余阵兮躐余行。凌：超过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《天净沙·秋思》前三句用各写三种景物的词语构成（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B.鼎足对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C.流水对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D.博喻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白居易号（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B.东坡居士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C.青莲居士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D.香山居士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作者用“是以泰山不让土壤，故能成其大”论证“不却众庶，故能明其德”，这里运用的论证方法是（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《米龙老爹》小说中米龙老爹的身份是（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A.法国军人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B.雇工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C.诺曼底农庄主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D.普鲁士军官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下列句中，“所以”可译成“用来”的是（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A.以其所以至之鲜也。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B.此五帝三王之所以无敌也。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C.祸莫大于杀已降，此乃将军所以不得侯者也。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D.此非所以跨海内、制诸侯之术也。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《前赤壁赋》行文的内在线索是（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A.时间的推移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B.感情的变化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C.事理的逻辑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D.想象的展开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先秦诸子散文中，最富有浪漫色彩的是（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D.《墨子》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https://d.book118.com/736100112230010052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36100112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