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2"/>
        </w:rPr>
        <w:t>学习投入度测量工具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361713183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学习投入度定义与重要</w:t>
            </w:r>
            <w:r>
              <w:rPr>
                <w:spacing w:val="-10"/>
              </w:rPr>
              <w:t>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学习投入度测量方法概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常用学习投入度测量工具介</w:t>
            </w:r>
            <w:r>
              <w:rPr>
                <w:spacing w:val="-10"/>
              </w:rPr>
              <w:t>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工具有效性验证与评价标</w:t>
            </w:r>
            <w:r>
              <w:rPr>
                <w:spacing w:val="-10"/>
              </w:rPr>
              <w:t>准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测量工具的适用性与局限</w:t>
            </w:r>
            <w:r>
              <w:rPr>
                <w:spacing w:val="-10"/>
              </w:rPr>
              <w:t>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工具在不同教育阶段的应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学习投入度提升策略与工具结</w:t>
            </w:r>
            <w:r>
              <w:rPr>
                <w:spacing w:val="-10"/>
              </w:rPr>
              <w:t>合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未来学习投入度测量工具发展趋</w:t>
            </w:r>
            <w:r>
              <w:rPr>
                <w:spacing w:val="-10"/>
              </w:rPr>
              <w:t>势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18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学</w:t>
      </w:r>
      <w:r>
        <w:t>习</w:t>
      </w:r>
      <w:r>
        <w:t>投</w:t>
      </w:r>
      <w:r>
        <w:t>入</w:t>
      </w:r>
      <w:r>
        <w:t>度</w:t>
      </w:r>
      <w:r>
        <w:t>定</w:t>
      </w:r>
      <w:r>
        <w:t>义</w:t>
      </w:r>
      <w:r>
        <w:t>与</w:t>
      </w:r>
      <w:r>
        <w:t>重</w:t>
      </w:r>
      <w:r>
        <w:t>要</w:t>
      </w:r>
      <w:r>
        <w:rPr>
          <w:spacing w:val="-10"/>
        </w:rPr>
        <w:t>性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5521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【学习投入度的定义】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学习投入度是指个体在学习过程中所表现出的主动性和</w:t>
            </w:r>
            <w:r>
              <w:rPr>
                <w:spacing w:val="-2"/>
                <w:sz w:val="21"/>
              </w:rPr>
              <w:t>积极性，它反映了学习者对学习活动的参与程度和对学习</w:t>
            </w:r>
            <w:r>
              <w:rPr>
                <w:spacing w:val="-2"/>
                <w:sz w:val="21"/>
              </w:rPr>
              <w:t>内容的兴趣水平。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学习投入度是衡量学习效果的重要指标之一，高投入度</w:t>
            </w:r>
            <w:r>
              <w:rPr>
                <w:spacing w:val="-2"/>
                <w:sz w:val="21"/>
              </w:rPr>
              <w:t>通常与较高的学习成绩和学习满意度相关联。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学习投入度包括认知、情感和行为三个维度，分别对应</w:t>
            </w:r>
            <w:r>
              <w:rPr>
                <w:spacing w:val="-2"/>
                <w:sz w:val="21"/>
              </w:rPr>
              <w:t>于学习者的思考、感受和行动。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1"/>
                <w:sz w:val="21"/>
              </w:rPr>
              <w:t>【学习投入度的重要性】</w:t>
            </w:r>
          </w:p>
        </w:tc>
      </w:tr>
    </w:tbl>
    <w:p>
      <w:pPr>
        <w:pStyle w:val="BodyText"/>
        <w:spacing w:before="135" w:line="417" w:lineRule="auto"/>
        <w:ind w:right="98" w:firstLine="560"/>
      </w:pPr>
      <w:r>
        <w:rPr>
          <w:spacing w:val="-2"/>
        </w:rPr>
        <w:t>学习投入度是指个体在学习过程中所展现出的积极态度和行为</w:t>
      </w:r>
      <w:r>
        <w:rPr>
          <w:spacing w:val="80"/>
          <w:w w:val="150"/>
        </w:rPr>
        <w:t xml:space="preserve"> </w:t>
      </w:r>
      <w:r>
        <w:rPr>
          <w:spacing w:val="-13"/>
        </w:rPr>
        <w:t>表现，它反映了学习者对学习活动的主动参与程度和对学习内容的深</w:t>
      </w:r>
      <w:r>
        <w:rPr>
          <w:spacing w:val="-2"/>
        </w:rPr>
        <w:t xml:space="preserve"> </w:t>
      </w:r>
      <w:r>
        <w:rPr>
          <w:spacing w:val="-2"/>
        </w:rPr>
        <w:t>度理解。学习投入度的测量工具旨在评估和监控学习者的学习状态，</w:t>
      </w:r>
      <w:r>
        <w:rPr>
          <w:spacing w:val="-2"/>
        </w:rPr>
        <w:t>以便教育者能够及时调整教学策略，提高教育质量。</w:t>
      </w:r>
    </w:p>
    <w:p>
      <w:pPr>
        <w:pStyle w:val="BodyText"/>
        <w:spacing w:line="358" w:lineRule="exact"/>
      </w:pPr>
      <w:r>
        <w:rPr>
          <w:spacing w:val="-1"/>
        </w:rPr>
        <w:t>一、学习投入度的定义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6"/>
        </w:rPr>
        <w:t>学习投入度通常被定义为学习者在学习过程中的情感、认知和行为方</w:t>
      </w:r>
      <w:r>
        <w:rPr>
          <w:spacing w:val="-2"/>
        </w:rPr>
        <w:t>面的综合表现。具体而言，情感投入涉及学习者的兴趣、动机和满足</w:t>
      </w:r>
      <w:r>
        <w:rPr>
          <w:spacing w:val="-17"/>
        </w:rPr>
        <w:t>感；认知投入包括学习者的思维活跃度、批判性思维和问题解决能力；</w:t>
      </w:r>
      <w:r>
        <w:rPr>
          <w:spacing w:val="-2"/>
        </w:rPr>
        <w:t>行为投入则表现为学习者的积极参与、合作与交流等行为。</w:t>
      </w:r>
    </w:p>
    <w:p>
      <w:pPr>
        <w:pStyle w:val="BodyText"/>
        <w:spacing w:line="358" w:lineRule="exact"/>
      </w:pPr>
      <w:r>
        <w:rPr>
          <w:spacing w:val="-1"/>
        </w:rPr>
        <w:t>二、学习投入度的重要性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提升学习效果：学习投入度高的学生往往能更好地吸收和理解知</w:t>
      </w:r>
      <w:r>
        <w:rPr>
          <w:spacing w:val="-4"/>
          <w:sz w:val="28"/>
        </w:rPr>
        <w:t>识，从而提高学习成绩。研究表明，学习投入度与学生的学业成绩呈</w:t>
      </w:r>
      <w:r>
        <w:rPr>
          <w:sz w:val="28"/>
        </w:rPr>
        <w:t xml:space="preserve">正相关关系（Fredricks et al., </w:t>
      </w:r>
      <w:r>
        <w:rPr>
          <w:spacing w:val="28"/>
          <w:sz w:val="28"/>
        </w:rPr>
        <w:t>2004</w:t>
      </w:r>
      <w:r>
        <w:rPr>
          <w:spacing w:val="-112"/>
          <w:sz w:val="28"/>
        </w:rPr>
        <w:t>）</w:t>
      </w:r>
      <w:r>
        <w:rPr>
          <w:sz w:val="28"/>
        </w:rPr>
        <w:t>。</w:t>
      </w: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培养终身学习能力：高学习投入度有助于培养学生的自主学习和</w:t>
      </w:r>
      <w:r>
        <w:rPr>
          <w:spacing w:val="-2"/>
          <w:sz w:val="28"/>
        </w:rPr>
        <w:t>自我管理能力，为终身学习奠定基础。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37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促进心理健康：学习投入度高的学生在面对挑战时表现出更强的</w:t>
      </w:r>
      <w:r>
        <w:rPr>
          <w:spacing w:val="-2"/>
          <w:sz w:val="28"/>
        </w:rPr>
        <w:t>韧性和适应能力，有利于心理健康的发展。</w:t>
      </w: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417" w:lineRule="auto"/>
        <w:ind w:left="120" w:right="104" w:firstLine="0"/>
        <w:jc w:val="left"/>
        <w:rPr>
          <w:sz w:val="28"/>
        </w:rPr>
      </w:pPr>
      <w:r>
        <w:rPr>
          <w:spacing w:val="-2"/>
          <w:sz w:val="28"/>
        </w:rPr>
        <w:t>增强社会技能：通过小组讨论、合作学习等方式，高学习投入度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的学生可以锻炼沟通、协作等社会技能，为未来职业生涯做好准备。</w:t>
      </w:r>
      <w:r>
        <w:rPr>
          <w:spacing w:val="-2"/>
          <w:sz w:val="28"/>
        </w:rPr>
        <w:t>三、学习投入度的测量工具</w:t>
      </w:r>
    </w:p>
    <w:p>
      <w:pPr>
        <w:pStyle w:val="BodyText"/>
        <w:spacing w:line="417" w:lineRule="auto"/>
        <w:ind w:right="238"/>
      </w:pPr>
      <w:r>
        <w:rPr>
          <w:spacing w:val="-16"/>
        </w:rPr>
        <w:t>为了准确评估学习投入度，研究人员开发了一系列测量工具，如问卷、</w:t>
      </w:r>
      <w:r>
        <w:rPr>
          <w:spacing w:val="-2"/>
        </w:rPr>
        <w:t>观察表和绩效指标等。以下是几种常用的学习投入度测量工具：</w:t>
      </w:r>
    </w:p>
    <w:p>
      <w:pPr>
        <w:pStyle w:val="ListParagraph"/>
        <w:numPr>
          <w:ilvl w:val="0"/>
          <w:numId w:val="33"/>
        </w:numPr>
        <w:tabs>
          <w:tab w:val="left" w:pos="595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54"/>
          <w:sz w:val="28"/>
        </w:rPr>
        <w:t>学生投入量表</w:t>
      </w:r>
      <w:r>
        <w:rPr>
          <w:sz w:val="28"/>
        </w:rPr>
        <w:t>（</w:t>
      </w:r>
      <w:r>
        <w:rPr>
          <w:spacing w:val="-35"/>
          <w:sz w:val="28"/>
        </w:rPr>
        <w:t xml:space="preserve"> </w:t>
      </w:r>
      <w:r>
        <w:rPr>
          <w:sz w:val="28"/>
        </w:rPr>
        <w:t>Student</w:t>
      </w:r>
      <w:r>
        <w:rPr>
          <w:spacing w:val="-35"/>
          <w:sz w:val="28"/>
        </w:rPr>
        <w:t xml:space="preserve"> </w:t>
      </w:r>
      <w:r>
        <w:rPr>
          <w:sz w:val="28"/>
        </w:rPr>
        <w:t>Engagement</w:t>
      </w:r>
      <w:r>
        <w:rPr>
          <w:spacing w:val="30"/>
          <w:sz w:val="28"/>
        </w:rPr>
        <w:t xml:space="preserve"> </w:t>
      </w:r>
      <w:r>
        <w:rPr>
          <w:sz w:val="28"/>
        </w:rPr>
        <w:t>Scale）</w:t>
      </w:r>
      <w:r>
        <w:rPr>
          <w:spacing w:val="12"/>
          <w:sz w:val="28"/>
        </w:rPr>
        <w:t xml:space="preserve"> ： 该量表由</w:t>
      </w:r>
      <w:r>
        <w:rPr>
          <w:sz w:val="28"/>
        </w:rPr>
        <w:t xml:space="preserve"> Fredricks</w:t>
      </w:r>
      <w:r>
        <w:rPr>
          <w:spacing w:val="-15"/>
          <w:sz w:val="28"/>
        </w:rPr>
        <w:t xml:space="preserve"> 等人于 </w:t>
      </w:r>
      <w:r>
        <w:rPr>
          <w:sz w:val="28"/>
        </w:rPr>
        <w:t>2004</w:t>
      </w:r>
      <w:r>
        <w:rPr>
          <w:spacing w:val="-6"/>
          <w:sz w:val="28"/>
        </w:rPr>
        <w:t xml:space="preserve"> 年编制，用于评估学生在情感、认知和行为</w:t>
      </w:r>
      <w:r>
        <w:rPr>
          <w:spacing w:val="-2"/>
          <w:sz w:val="28"/>
        </w:rPr>
        <w:t>方面的投入程度。</w:t>
      </w:r>
    </w:p>
    <w:p>
      <w:pPr>
        <w:pStyle w:val="ListParagraph"/>
        <w:numPr>
          <w:ilvl w:val="0"/>
          <w:numId w:val="33"/>
        </w:numPr>
        <w:tabs>
          <w:tab w:val="left" w:pos="544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z w:val="28"/>
        </w:rPr>
        <w:t>学习环境调查表（Learning Environment Questionnaire）：该</w:t>
      </w:r>
      <w:r>
        <w:rPr>
          <w:spacing w:val="-4"/>
          <w:sz w:val="28"/>
        </w:rPr>
        <w:t>调查表关注学生对学习环境的感知，如教师支持、同伴互动等，以了</w:t>
      </w:r>
      <w:r>
        <w:rPr>
          <w:spacing w:val="-2"/>
          <w:sz w:val="28"/>
        </w:rPr>
        <w:t>解这些因素如何影响学生的学习投入。</w:t>
      </w:r>
    </w:p>
    <w:p>
      <w:pPr>
        <w:pStyle w:val="ListParagraph"/>
        <w:numPr>
          <w:ilvl w:val="0"/>
          <w:numId w:val="33"/>
        </w:numPr>
        <w:tabs>
          <w:tab w:val="left" w:pos="540"/>
        </w:tabs>
        <w:spacing w:before="0" w:after="0" w:line="417" w:lineRule="auto"/>
        <w:ind w:left="120" w:right="238" w:firstLine="0"/>
        <w:jc w:val="both"/>
        <w:rPr>
          <w:sz w:val="28"/>
        </w:rPr>
      </w:pPr>
      <w:r>
        <w:rPr>
          <w:sz w:val="28"/>
        </w:rPr>
        <w:t>课堂观察表（Classroom Observation Checklist）：通过观察学</w:t>
      </w:r>
      <w:r>
        <w:rPr>
          <w:spacing w:val="-18"/>
          <w:sz w:val="28"/>
        </w:rPr>
        <w:t>生在课堂上的行为表现，如提问、参与讨论等，来评估其学习投入度。</w:t>
      </w:r>
    </w:p>
    <w:p>
      <w:pPr>
        <w:pStyle w:val="ListParagraph"/>
        <w:numPr>
          <w:ilvl w:val="0"/>
          <w:numId w:val="33"/>
        </w:numPr>
        <w:tabs>
          <w:tab w:val="left" w:pos="543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z w:val="28"/>
        </w:rPr>
        <w:t>学习行为记录表（Learning Behavior Record）：教师或研究者</w:t>
      </w:r>
      <w:r>
        <w:rPr>
          <w:spacing w:val="-4"/>
          <w:sz w:val="28"/>
        </w:rPr>
        <w:t>记录学生在特定学习任务中的行为表现，如阅读、写作、解题等，以</w:t>
      </w:r>
      <w:r>
        <w:rPr>
          <w:spacing w:val="-2"/>
          <w:sz w:val="28"/>
        </w:rPr>
        <w:t>分析其学习投入情况。</w:t>
      </w:r>
    </w:p>
    <w:p>
      <w:pPr>
        <w:pStyle w:val="ListParagraph"/>
        <w:numPr>
          <w:ilvl w:val="0"/>
          <w:numId w:val="33"/>
        </w:numPr>
        <w:tabs>
          <w:tab w:val="left" w:pos="543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z w:val="28"/>
        </w:rPr>
        <w:t>成就动机量表（Achievement Motivation Scale）：该量表测量</w:t>
      </w:r>
      <w:r>
        <w:rPr>
          <w:spacing w:val="-8"/>
          <w:sz w:val="28"/>
        </w:rPr>
        <w:t>学生在学业成就方面的内在和外在动机，以了解动机如何影响学习投</w:t>
      </w:r>
      <w:r>
        <w:rPr>
          <w:spacing w:val="-6"/>
          <w:sz w:val="28"/>
        </w:rPr>
        <w:t>入。</w:t>
      </w:r>
    </w:p>
    <w:p>
      <w:pPr>
        <w:pStyle w:val="BodyText"/>
        <w:spacing w:line="358" w:lineRule="exact"/>
      </w:pPr>
      <w:r>
        <w:rPr>
          <w:spacing w:val="-3"/>
        </w:rPr>
        <w:t>四、结论</w:t>
      </w:r>
    </w:p>
    <w:p>
      <w:pPr>
        <w:spacing w:after="0" w:line="358" w:lineRule="exact"/>
        <w:sectPr>
          <w:footerReference w:type="default" r:id="rId7"/>
          <w:pgSz w:w="11910" w:h="16840"/>
          <w:pgMar w:top="1520" w:right="142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right="378"/>
        <w:jc w:val="both"/>
      </w:pPr>
      <w:r>
        <w:rPr>
          <w:spacing w:val="-7"/>
        </w:rPr>
        <w:t>学习投入度是衡量学生学习质量的重要指标之一。通过对学习投入度</w:t>
      </w:r>
      <w:r>
        <w:rPr>
          <w:spacing w:val="-4"/>
        </w:rPr>
        <w:t>的测量和分析，教育者可以更好地了解学生的学习状况，制定针对性</w:t>
      </w:r>
      <w:r>
        <w:rPr>
          <w:spacing w:val="-4"/>
        </w:rPr>
        <w:t>的教学策略，以提高教育质量。同时，高学习投入度对于学生的个人</w:t>
      </w:r>
      <w:r>
        <w:rPr>
          <w:spacing w:val="-4"/>
        </w:rPr>
        <w:t>成长和社会适应也具有积极意义。因此，研究和应用学习投入度测量</w:t>
      </w:r>
      <w:r>
        <w:rPr>
          <w:spacing w:val="-2"/>
        </w:rPr>
        <w:t>工具具有重要的实践价值。</w:t>
      </w:r>
    </w:p>
    <w:p>
      <w:pPr>
        <w:pStyle w:val="BodyText"/>
        <w:ind w:left="0"/>
      </w:pPr>
    </w:p>
    <w:p>
      <w:pPr>
        <w:pStyle w:val="Heading1"/>
        <w:spacing w:before="237"/>
        <w:jc w:val="both"/>
      </w:pPr>
      <w:bookmarkStart w:id="1" w:name="_TOC_250006"/>
      <w:r>
        <w:t>第二部分</w:t>
      </w:r>
      <w:r>
        <w:rPr>
          <w:spacing w:val="214"/>
          <w:w w:val="150"/>
        </w:rPr>
        <w:t xml:space="preserve"> </w:t>
      </w:r>
      <w:bookmarkEnd w:id="1"/>
      <w:r>
        <w:rPr>
          <w:spacing w:val="-1"/>
        </w:rPr>
        <w:t>学习投入度测量方法概述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9"/>
        <w:gridCol w:w="553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5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2"/>
          <w:jc w:val="left"/>
        </w:trPr>
        <w:tc>
          <w:tcPr>
            <w:tcW w:w="2759" w:type="dxa"/>
          </w:tcPr>
          <w:p>
            <w:pPr>
              <w:pStyle w:val="TableParagraph"/>
              <w:spacing w:before="23"/>
              <w:ind w:right="-101"/>
              <w:rPr>
                <w:sz w:val="21"/>
              </w:rPr>
            </w:pPr>
            <w:r>
              <w:rPr>
                <w:spacing w:val="-1"/>
                <w:sz w:val="21"/>
              </w:rPr>
              <w:t>【学习投入度测量方法概述】</w:t>
            </w:r>
          </w:p>
        </w:tc>
        <w:tc>
          <w:tcPr>
            <w:tcW w:w="553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22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定义与理论框架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：学习投入度是指个体在学习过程</w:t>
            </w:r>
            <w:r>
              <w:rPr>
                <w:spacing w:val="-2"/>
                <w:sz w:val="21"/>
              </w:rPr>
              <w:t>中的情感、认知和行为方面的参与程度。理论框架包括心</w:t>
            </w:r>
            <w:r>
              <w:rPr>
                <w:sz w:val="21"/>
              </w:rPr>
              <w:t>理计量学模型（</w:t>
            </w:r>
            <w:r>
              <w:rPr>
                <w:spacing w:val="-14"/>
                <w:sz w:val="21"/>
              </w:rPr>
              <w:t xml:space="preserve">如 </w:t>
            </w:r>
            <w:r>
              <w:rPr>
                <w:rFonts w:ascii="Times New Roman" w:eastAsia="Times New Roman"/>
                <w:sz w:val="21"/>
              </w:rPr>
              <w:t>Biggs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的 </w:t>
            </w:r>
            <w:r>
              <w:rPr>
                <w:rFonts w:ascii="Times New Roman" w:eastAsia="Times New Roman"/>
                <w:sz w:val="21"/>
              </w:rPr>
              <w:t>SOLO</w:t>
            </w:r>
            <w:r>
              <w:rPr>
                <w:rFonts w:ascii="Times New Roman" w:eastAsia="Times New Roman"/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分类法）和学习动机理</w:t>
            </w:r>
            <w:r>
              <w:rPr>
                <w:spacing w:val="-2"/>
                <w:sz w:val="21"/>
              </w:rPr>
              <w:t>论（如自我决定理论</w:t>
            </w:r>
            <w:r>
              <w:rPr>
                <w:spacing w:val="-61"/>
                <w:sz w:val="21"/>
              </w:rPr>
              <w:t>）</w:t>
            </w:r>
            <w:r>
              <w:rPr>
                <w:spacing w:val="-10"/>
                <w:sz w:val="21"/>
              </w:rPr>
              <w:t>，这些理论为学习投入度的测量提供</w:t>
            </w:r>
            <w:r>
              <w:rPr>
                <w:spacing w:val="-4"/>
                <w:sz w:val="21"/>
              </w:rPr>
              <w:t>了基础。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18"/>
              </w:tabs>
              <w:spacing w:before="0" w:after="0" w:line="278" w:lineRule="auto"/>
              <w:ind w:left="107" w:right="95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测量工具的发展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：从早期的问卷式量表（</w:t>
            </w:r>
            <w:r>
              <w:rPr>
                <w:spacing w:val="-14"/>
                <w:sz w:val="21"/>
              </w:rPr>
              <w:t xml:space="preserve">如 </w:t>
            </w:r>
            <w:r>
              <w:rPr>
                <w:rFonts w:ascii="Times New Roman" w:eastAsia="Times New Roman"/>
                <w:spacing w:val="-2"/>
                <w:sz w:val="21"/>
              </w:rPr>
              <w:t>Learner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4"/>
                <w:sz w:val="21"/>
              </w:rPr>
              <w:t>Engagement</w:t>
            </w:r>
            <w:r>
              <w:rPr>
                <w:rFonts w:ascii="Times New Roman" w:eastAsia="Times New Roman"/>
                <w:spacing w:val="-6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4"/>
                <w:sz w:val="21"/>
              </w:rPr>
              <w:t>Questionnaire</w:t>
            </w:r>
            <w:r>
              <w:rPr>
                <w:spacing w:val="-4"/>
                <w:sz w:val="21"/>
              </w:rPr>
              <w:t>）到现代的技术辅助工具（如在线</w:t>
            </w:r>
            <w:r>
              <w:rPr>
                <w:spacing w:val="-2"/>
                <w:sz w:val="21"/>
              </w:rPr>
              <w:t>学习平台分析</w:t>
            </w:r>
            <w:r>
              <w:rPr>
                <w:spacing w:val="-70"/>
                <w:sz w:val="21"/>
              </w:rPr>
              <w:t>）</w:t>
            </w:r>
            <w:r>
              <w:rPr>
                <w:spacing w:val="-11"/>
                <w:sz w:val="21"/>
              </w:rPr>
              <w:t>，测量工具不断进化以适应教育环境的变化</w:t>
            </w:r>
            <w:r>
              <w:rPr>
                <w:spacing w:val="-2"/>
                <w:sz w:val="21"/>
              </w:rPr>
              <w:t>和技术进步。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18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z w:val="21"/>
              </w:rPr>
              <w:t>量化指标的选取</w:t>
            </w: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pacing w:val="-6"/>
                <w:sz w:val="21"/>
              </w:rPr>
              <w:t>：选择反映学习投入度的量化指标，</w:t>
            </w:r>
            <w:r>
              <w:rPr>
                <w:spacing w:val="1"/>
                <w:sz w:val="21"/>
              </w:rPr>
              <w:t>如学习时间、作业提交频率、互动次数等，是衡量学习投入度的关键步骤。这些指标需要经过验证以确保其有效性和可靠性。</w:t>
            </w:r>
          </w:p>
          <w:p>
            <w:pPr>
              <w:pStyle w:val="TableParagraph"/>
              <w:spacing w:line="269" w:lineRule="exact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【学习投入度测量工具的应用】</w:t>
            </w:r>
          </w:p>
        </w:tc>
      </w:tr>
    </w:tbl>
    <w:p>
      <w:pPr>
        <w:pStyle w:val="BodyText"/>
        <w:ind w:left="0"/>
        <w:rPr>
          <w:rFonts w:ascii="Microsoft JhengHei"/>
          <w:b/>
          <w:sz w:val="4"/>
        </w:rPr>
      </w:pPr>
    </w:p>
    <w:p>
      <w:pPr>
        <w:pStyle w:val="BodyText"/>
        <w:spacing w:before="61" w:line="417" w:lineRule="auto"/>
        <w:ind w:right="145" w:firstLine="560"/>
      </w:pPr>
      <w:r>
        <w:rPr>
          <w:spacing w:val="-5"/>
        </w:rPr>
        <w:t>学习投入度作为衡量个体在学习过程中情感、认知和行为参与程</w:t>
      </w:r>
      <w:r>
        <w:rPr>
          <w:spacing w:val="-15"/>
        </w:rPr>
        <w:t>度的指标，对于理解学生的学习过程以及提升教学效果具有重要意义。</w:t>
      </w:r>
      <w:r>
        <w:t>本文将简要概述学习投入度的测量方法，并探讨其应用与意义。</w:t>
      </w:r>
    </w:p>
    <w:p>
      <w:pPr>
        <w:pStyle w:val="BodyText"/>
        <w:spacing w:line="358" w:lineRule="exact"/>
      </w:pPr>
      <w:r>
        <w:rPr>
          <w:spacing w:val="-1"/>
        </w:rPr>
        <w:t>一、学习投入度测量方法的分类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</w:pPr>
      <w:r>
        <w:rPr>
          <w:spacing w:val="-12"/>
        </w:rPr>
        <w:t>学习投入度的测量方法大致可以分为三类：问卷法、观察法和实验法。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31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问卷法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8"/>
          <w:pgSz w:w="11910" w:h="16840"/>
          <w:pgMar w:top="1520" w:right="1420" w:bottom="1380" w:left="1680" w:header="0" w:footer="1198"/>
          <w:pgNumType w:start="4"/>
          <w:cols w:space="708"/>
        </w:sectPr>
      </w:pPr>
    </w:p>
    <w:p>
      <w:pPr>
        <w:pStyle w:val="BodyText"/>
        <w:spacing w:before="37" w:line="417" w:lineRule="auto"/>
        <w:ind w:right="378"/>
        <w:jc w:val="both"/>
      </w:pPr>
      <w:r>
        <w:rPr>
          <w:spacing w:val="-7"/>
        </w:rPr>
        <w:t>问卷法是学习投入度测量中最常用的一种方法，它通过设计一系列问</w:t>
      </w:r>
      <w:r>
        <w:rPr>
          <w:spacing w:val="-7"/>
        </w:rPr>
        <w:t>题来评估学生在特定情境下的学习投入程度。这些问题通常围绕学生</w:t>
      </w:r>
      <w:r>
        <w:rPr>
          <w:spacing w:val="-2"/>
        </w:rPr>
        <w:t>的情感态度、认知参与和行为表现进行设计。例如，Schaufeli</w:t>
      </w:r>
      <w:r>
        <w:rPr>
          <w:spacing w:val="-13"/>
        </w:rPr>
        <w:t xml:space="preserve"> 等人</w:t>
      </w:r>
      <w:r>
        <w:rPr>
          <w:spacing w:val="-9"/>
        </w:rPr>
        <w:t xml:space="preserve">开发的 </w:t>
      </w:r>
      <w:r>
        <w:rPr>
          <w:spacing w:val="-2"/>
        </w:rPr>
        <w:t>UTAUT-Lite</w:t>
      </w:r>
      <w:r>
        <w:rPr>
          <w:spacing w:val="-8"/>
        </w:rPr>
        <w:t xml:space="preserve"> 量表就是专门针对大学生的学习投入度设计的问</w:t>
      </w:r>
      <w:r>
        <w:rPr>
          <w:spacing w:val="-2"/>
        </w:rPr>
        <w:t>卷，该量表包括活力、奉献和专注三个维度。</w:t>
      </w:r>
    </w:p>
    <w:p>
      <w:pPr>
        <w:pStyle w:val="ListParagraph"/>
        <w:numPr>
          <w:ilvl w:val="0"/>
          <w:numId w:val="31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4"/>
          <w:sz w:val="28"/>
        </w:rPr>
        <w:t>观察法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2"/>
        </w:rPr>
        <w:t>观察法是通过直接观察学生在学习过程中的行为表现来评估其学习</w:t>
      </w:r>
      <w:r>
        <w:rPr>
          <w:spacing w:val="-4"/>
        </w:rPr>
        <w:t>投入度的方法。这种方法可以获取到更加真实和具体的数据，但同时</w:t>
      </w:r>
      <w:r>
        <w:rPr>
          <w:spacing w:val="-7"/>
        </w:rPr>
        <w:t>也需要观察者具备较高的专业素养和判断能力。常见的观察工具如课</w:t>
      </w:r>
      <w:r>
        <w:rPr>
          <w:spacing w:val="-4"/>
        </w:rPr>
        <w:t>堂观察记录表、教师评价表等，它们可以帮助教师或研究者了解学生</w:t>
      </w:r>
      <w:r>
        <w:rPr>
          <w:spacing w:val="-2"/>
        </w:rPr>
        <w:t>在课堂上的参与情况。</w:t>
      </w:r>
    </w:p>
    <w:p>
      <w:pPr>
        <w:pStyle w:val="ListParagraph"/>
        <w:numPr>
          <w:ilvl w:val="0"/>
          <w:numId w:val="31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4"/>
          <w:sz w:val="28"/>
        </w:rPr>
        <w:t>实验法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</w:pPr>
      <w:r>
        <w:rPr>
          <w:spacing w:val="-4"/>
        </w:rPr>
        <w:t>实验法是通过设计特定的实验情境，操纵某些变量，然后观察这些变</w:t>
      </w:r>
      <w:r>
        <w:rPr>
          <w:spacing w:val="-9"/>
        </w:rPr>
        <w:t>量如何影响学生的学习投入度。这种方法可以揭示学习投入度背后的</w:t>
      </w:r>
      <w:r>
        <w:rPr>
          <w:spacing w:val="-2"/>
        </w:rPr>
        <w:t>心理机制，但由于其实施较为复杂，因此在实际应用中相对较少。</w:t>
      </w:r>
      <w:r>
        <w:rPr>
          <w:spacing w:val="-2"/>
        </w:rPr>
        <w:t>二、学习投入度测量工具的应用</w:t>
      </w:r>
    </w:p>
    <w:p>
      <w:pPr>
        <w:pStyle w:val="BodyText"/>
        <w:spacing w:line="417" w:lineRule="auto"/>
        <w:ind w:right="378"/>
      </w:pPr>
      <w:r>
        <w:rPr>
          <w:spacing w:val="-6"/>
        </w:rPr>
        <w:t>学习投入度的测量工具被广泛应用于教育研究的多个领域，包括但不</w:t>
      </w:r>
      <w:r>
        <w:rPr>
          <w:spacing w:val="-4"/>
        </w:rPr>
        <w:t>限于：</w:t>
      </w:r>
    </w:p>
    <w:p>
      <w:pPr>
        <w:pStyle w:val="ListParagraph"/>
        <w:numPr>
          <w:ilvl w:val="0"/>
          <w:numId w:val="30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教育心理学研究：通过对学习投入度的测量，研究者可以更好地</w:t>
      </w:r>
      <w:r>
        <w:rPr>
          <w:spacing w:val="-4"/>
          <w:sz w:val="28"/>
        </w:rPr>
        <w:t>理解学生的学习动机、情绪状态以及学习策略的使用情况等，从而为</w:t>
      </w:r>
      <w:r>
        <w:rPr>
          <w:spacing w:val="-2"/>
          <w:sz w:val="28"/>
        </w:rPr>
        <w:t>教育干预提供依据。</w:t>
      </w:r>
    </w:p>
    <w:p>
      <w:pPr>
        <w:pStyle w:val="ListParagraph"/>
        <w:numPr>
          <w:ilvl w:val="0"/>
          <w:numId w:val="30"/>
        </w:numPr>
        <w:tabs>
          <w:tab w:val="left" w:pos="542"/>
        </w:tabs>
        <w:spacing w:before="0" w:after="0" w:line="358" w:lineRule="exact"/>
        <w:ind w:left="541" w:right="0" w:hanging="422"/>
        <w:jc w:val="both"/>
        <w:rPr>
          <w:sz w:val="28"/>
        </w:rPr>
      </w:pPr>
      <w:r>
        <w:rPr>
          <w:spacing w:val="-1"/>
          <w:sz w:val="28"/>
        </w:rPr>
        <w:t>课程与教学研究：测量学习投入度有助于教师了解不同教学方法</w:t>
      </w:r>
    </w:p>
    <w:p>
      <w:pPr>
        <w:spacing w:after="0" w:line="358" w:lineRule="exact"/>
        <w:jc w:val="both"/>
        <w:rPr>
          <w:sz w:val="28"/>
        </w:rPr>
        <w:sectPr>
          <w:footerReference w:type="default" r:id="rId9"/>
          <w:pgSz w:w="11910" w:h="16840"/>
          <w:pgMar w:top="1520" w:right="1420" w:bottom="1380" w:left="1680" w:header="0" w:footer="1198"/>
          <w:pgNumType w:start="5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对学生的学习投入度的影响，从而优化教学设计。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val="left" w:pos="542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教育评价研究：学习投入度可以作为学生学习成效的一个重要指</w:t>
      </w:r>
      <w:r>
        <w:rPr>
          <w:spacing w:val="-2"/>
          <w:sz w:val="28"/>
        </w:rPr>
        <w:t>标，帮助教育评价者更全面地评估教育质量。</w:t>
      </w:r>
    </w:p>
    <w:p>
      <w:pPr>
        <w:pStyle w:val="ListParagraph"/>
        <w:numPr>
          <w:ilvl w:val="0"/>
          <w:numId w:val="30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教育政策制定：政府和教育管理部门可以通过学习投入度的测量</w:t>
      </w:r>
      <w:r>
        <w:rPr>
          <w:spacing w:val="-4"/>
          <w:sz w:val="28"/>
        </w:rPr>
        <w:t>结果，了解教育资源分配的合理性和有效性，为教育政策的制定提供</w:t>
      </w:r>
      <w:r>
        <w:rPr>
          <w:spacing w:val="-4"/>
          <w:sz w:val="28"/>
        </w:rPr>
        <w:t>参考。</w:t>
      </w:r>
    </w:p>
    <w:p>
      <w:pPr>
        <w:pStyle w:val="BodyText"/>
        <w:spacing w:line="358" w:lineRule="exact"/>
      </w:pPr>
      <w:r>
        <w:rPr>
          <w:spacing w:val="-1"/>
        </w:rPr>
        <w:t>三、学习投入度测量的意义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378"/>
        <w:jc w:val="both"/>
      </w:pPr>
      <w:r>
        <w:rPr>
          <w:spacing w:val="-6"/>
        </w:rPr>
        <w:t>学习投入度的测量不仅有助于我们更深入地理解学生的学习过程，而</w:t>
      </w:r>
      <w:r>
        <w:rPr>
          <w:spacing w:val="-12"/>
        </w:rPr>
        <w:t>且对于提高教学质量、优化教育管理以及促进教育公平都具有重要的</w:t>
      </w:r>
      <w:r>
        <w:rPr>
          <w:spacing w:val="-4"/>
        </w:rPr>
        <w:t>实践价值。通过准确测量学习投入度，我们可以及时发现和解决学生</w:t>
      </w:r>
      <w:r>
        <w:rPr>
          <w:spacing w:val="-4"/>
        </w:rPr>
        <w:t>学习过程中存在的问题，激发学生的学习兴趣和潜能，最终实现教育</w:t>
      </w:r>
      <w:r>
        <w:rPr>
          <w:spacing w:val="-2"/>
        </w:rPr>
        <w:t>的个性化和优质化。</w:t>
      </w:r>
    </w:p>
    <w:p>
      <w:pPr>
        <w:pStyle w:val="BodyText"/>
        <w:spacing w:line="417" w:lineRule="auto"/>
        <w:ind w:right="238"/>
        <w:jc w:val="both"/>
      </w:pPr>
      <w:r>
        <w:rPr>
          <w:spacing w:val="-19"/>
        </w:rPr>
        <w:t>综上所述，学习投入度的测量是一个涉及多学科、多领域的复杂任务。</w:t>
      </w:r>
      <w:r>
        <w:rPr>
          <w:spacing w:val="-16"/>
        </w:rPr>
        <w:t>随着教育科学研究的不断深入，我们有理由相信，未来会有更多科学、</w:t>
      </w:r>
      <w:r>
        <w:rPr>
          <w:spacing w:val="-2"/>
        </w:rPr>
        <w:t>有效的测量工具和方法问世，为教育事业的发展做出更大的贡献。</w:t>
      </w:r>
    </w:p>
    <w:p>
      <w:pPr>
        <w:pStyle w:val="BodyText"/>
        <w:ind w:left="0"/>
      </w:pPr>
    </w:p>
    <w:p>
      <w:pPr>
        <w:pStyle w:val="Heading1"/>
        <w:spacing w:before="237"/>
        <w:jc w:val="both"/>
      </w:pPr>
      <w:bookmarkStart w:id="2" w:name="_TOC_250005"/>
      <w:r>
        <w:t>第三部分</w:t>
      </w:r>
      <w:r>
        <w:rPr>
          <w:spacing w:val="216"/>
          <w:w w:val="150"/>
        </w:rPr>
        <w:t xml:space="preserve"> </w:t>
      </w:r>
      <w:bookmarkEnd w:id="2"/>
      <w:r>
        <w:rPr>
          <w:spacing w:val="-1"/>
        </w:rPr>
        <w:t>常用学习投入度测量工具介绍</w:t>
      </w:r>
    </w:p>
    <w:p>
      <w:pPr>
        <w:pStyle w:val="BodyText"/>
        <w:ind w:left="0"/>
        <w:rPr>
          <w:rFonts w:ascii="Microsoft JhengHei"/>
          <w:b/>
          <w:sz w:val="32"/>
        </w:rPr>
      </w:pPr>
    </w:p>
    <w:p>
      <w:pPr>
        <w:pStyle w:val="BodyText"/>
        <w:ind w:left="0"/>
        <w:rPr>
          <w:rFonts w:ascii="Microsoft JhengHei"/>
          <w:b/>
          <w:sz w:val="32"/>
        </w:rPr>
      </w:pPr>
    </w:p>
    <w:p>
      <w:pPr>
        <w:pStyle w:val="BodyText"/>
        <w:spacing w:before="10"/>
        <w:ind w:left="0"/>
        <w:rPr>
          <w:rFonts w:ascii="Microsoft JhengHei"/>
          <w:b/>
          <w:sz w:val="25"/>
        </w:rPr>
      </w:pPr>
    </w:p>
    <w:p>
      <w:pPr>
        <w:pStyle w:val="Heading1"/>
        <w:spacing w:before="1"/>
        <w:jc w:val="both"/>
      </w:pPr>
      <w:bookmarkStart w:id="3" w:name="_TOC_250004"/>
      <w:r>
        <w:t>第四部分</w:t>
      </w:r>
      <w:r>
        <w:rPr>
          <w:spacing w:val="215"/>
          <w:w w:val="150"/>
        </w:rPr>
        <w:t xml:space="preserve"> </w:t>
      </w:r>
      <w:bookmarkEnd w:id="3"/>
      <w:r>
        <w:rPr>
          <w:spacing w:val="-1"/>
        </w:rPr>
        <w:t>工具有效性验证与评价标准</w:t>
      </w:r>
    </w:p>
    <w:p>
      <w:pPr>
        <w:spacing w:after="0"/>
        <w:jc w:val="both"/>
        <w:sectPr>
          <w:footerReference w:type="default" r:id="rId10"/>
          <w:pgSz w:w="11910" w:h="16840"/>
          <w:pgMar w:top="1520" w:right="1420" w:bottom="1380" w:left="1680" w:header="0" w:footer="1198"/>
          <w:pgNumType w:start="6"/>
          <w:cols w:space="708"/>
        </w:sectPr>
      </w:pPr>
    </w:p>
    <w:p>
      <w:pPr>
        <w:pStyle w:val="BodyText"/>
        <w:spacing w:before="8"/>
        <w:ind w:left="0"/>
        <w:rPr>
          <w:rFonts w:ascii="Microsoft JhengHei"/>
          <w:b/>
          <w:sz w:val="15"/>
        </w:rPr>
      </w:pPr>
    </w:p>
    <w:p>
      <w:pPr>
        <w:pStyle w:val="Heading1"/>
        <w:tabs>
          <w:tab w:val="left" w:pos="1725"/>
        </w:tabs>
        <w:spacing w:line="538" w:lineRule="exact"/>
      </w:pPr>
      <w:bookmarkStart w:id="4" w:name="_TOC_250003"/>
      <w:r>
        <w:t>第</w:t>
      </w:r>
      <w:r>
        <w:t>五</w:t>
      </w:r>
      <w:r>
        <w:t>部</w:t>
      </w:r>
      <w:r>
        <w:rPr>
          <w:spacing w:val="-10"/>
        </w:rPr>
        <w:t>分</w:t>
      </w:r>
      <w:r>
        <w:tab/>
        <w:t>测</w:t>
      </w:r>
      <w:r>
        <w:t>量</w:t>
      </w:r>
      <w:r>
        <w:t>工</w:t>
      </w:r>
      <w:r>
        <w:t>具</w:t>
      </w:r>
      <w:r>
        <w:t>的</w:t>
      </w:r>
      <w:r>
        <w:t>适</w:t>
      </w:r>
      <w:r>
        <w:t>用</w:t>
      </w:r>
      <w:r>
        <w:t>性</w:t>
      </w:r>
      <w:r>
        <w:t>与</w:t>
      </w:r>
      <w:r>
        <w:t>局</w:t>
      </w:r>
      <w:r>
        <w:t>限</w:t>
      </w:r>
      <w:bookmarkEnd w:id="4"/>
      <w:r>
        <w:rPr>
          <w:spacing w:val="-10"/>
        </w:rPr>
        <w:t>性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550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06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z w:val="21"/>
              </w:rPr>
              <w:t>学习投入度量表</w:t>
            </w:r>
            <w:r>
              <w:rPr>
                <w:spacing w:val="-4"/>
                <w:sz w:val="21"/>
              </w:rPr>
              <w:t>（</w:t>
            </w:r>
            <w:r>
              <w:rPr>
                <w:rFonts w:ascii="Times New Roman" w:eastAsia="Times New Roman"/>
                <w:spacing w:val="-4"/>
                <w:sz w:val="21"/>
              </w:rPr>
              <w:t>LTI</w:t>
            </w:r>
            <w:r>
              <w:rPr>
                <w:spacing w:val="-4"/>
                <w:sz w:val="21"/>
              </w:rPr>
              <w:t>）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z w:val="21"/>
              </w:rPr>
              <w:t>设计原理</w:t>
            </w: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LTI </w:t>
            </w:r>
            <w:r>
              <w:rPr>
                <w:sz w:val="21"/>
              </w:rPr>
              <w:t>基于多维度的心理测量学理论，旨</w:t>
            </w:r>
            <w:r>
              <w:rPr>
                <w:spacing w:val="-2"/>
                <w:sz w:val="21"/>
              </w:rPr>
              <w:t>在评估个体在学习过程中的情感、认知和行为投入。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应用范围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：适用于教育领域，用于监测学生的学习效果和学习动机，帮助教师了解学生的学习状态并制定个</w:t>
            </w:r>
            <w:r>
              <w:rPr>
                <w:spacing w:val="-2"/>
                <w:sz w:val="21"/>
              </w:rPr>
              <w:t>性化教学策略。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32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z w:val="21"/>
              </w:rPr>
              <w:t>局限性</w:t>
            </w: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LTI </w:t>
            </w:r>
            <w:r>
              <w:rPr>
                <w:sz w:val="21"/>
              </w:rPr>
              <w:t>可能无法全面反映所有类型的学习环</w:t>
            </w:r>
            <w:r>
              <w:rPr>
                <w:spacing w:val="-2"/>
                <w:sz w:val="21"/>
              </w:rPr>
              <w:t>境，且对某些非传统学习方式的适应性有限。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学习分析平台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功能特点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：通过收集和分析学习数据，为教育者提</w:t>
            </w:r>
            <w:r>
              <w:rPr>
                <w:spacing w:val="-2"/>
                <w:sz w:val="21"/>
              </w:rPr>
              <w:t>供有关学生表现和进度的深入洞察。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技术优势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：利用大数据和人工智能技术，实现对学</w:t>
            </w:r>
            <w:r>
              <w:rPr>
                <w:spacing w:val="-2"/>
                <w:sz w:val="21"/>
              </w:rPr>
              <w:t>生学习行为的实时监控和预测分析。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局限性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：隐私和数据保护问题可能导致数据收集和使用受到限制，同时对于复杂学习模式的解析能力有待提</w:t>
            </w:r>
            <w:r>
              <w:rPr>
                <w:spacing w:val="-6"/>
                <w:sz w:val="21"/>
              </w:rPr>
              <w:t>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情绪识别技术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技术原理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：通过面部表情、语音和生理信号分析等</w:t>
            </w:r>
            <w:r>
              <w:rPr>
                <w:spacing w:val="-2"/>
                <w:sz w:val="21"/>
              </w:rPr>
              <w:t>技术手段，实时捕捉和解读学习者的情绪状态。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应用场景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：可用于在线教育平台，辅助教师及时察</w:t>
            </w:r>
            <w:r>
              <w:rPr>
                <w:spacing w:val="-2"/>
                <w:sz w:val="21"/>
              </w:rPr>
              <w:t>觉学生的情绪变化，调整教学方法。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318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4"/>
                <w:sz w:val="21"/>
              </w:rPr>
              <w:t>**</w:t>
            </w:r>
            <w:r>
              <w:rPr>
                <w:spacing w:val="-4"/>
                <w:sz w:val="21"/>
              </w:rPr>
              <w:t>局限性</w:t>
            </w:r>
            <w:r>
              <w:rPr>
                <w:rFonts w:ascii="Times New Roman" w:eastAsia="Times New Roman"/>
                <w:spacing w:val="-4"/>
                <w:sz w:val="21"/>
              </w:rPr>
              <w:t>**</w:t>
            </w:r>
            <w:r>
              <w:rPr>
                <w:spacing w:val="-4"/>
                <w:sz w:val="21"/>
              </w:rPr>
              <w:t>：技术准确性受多种因素影响，如文化差异、</w:t>
            </w:r>
            <w:r>
              <w:rPr>
                <w:spacing w:val="-2"/>
                <w:sz w:val="21"/>
              </w:rPr>
              <w:t>个人习惯等，且存在一定的隐私风险。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互动式学习工具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设计理念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：强调学习者参与度和交互性，以提升学</w:t>
            </w:r>
            <w:r>
              <w:rPr>
                <w:spacing w:val="-2"/>
                <w:sz w:val="21"/>
              </w:rPr>
              <w:t>习者的主动性和参与感。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效果评估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：通过跟踪学习者的互动行为，可以量化</w:t>
            </w:r>
            <w:r>
              <w:rPr>
                <w:spacing w:val="-2"/>
                <w:sz w:val="21"/>
              </w:rPr>
              <w:t>其学习投入程度。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18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4"/>
                <w:sz w:val="21"/>
              </w:rPr>
              <w:t>**</w:t>
            </w:r>
            <w:r>
              <w:rPr>
                <w:spacing w:val="-4"/>
                <w:sz w:val="21"/>
              </w:rPr>
              <w:t>局限性</w:t>
            </w:r>
            <w:r>
              <w:rPr>
                <w:rFonts w:ascii="Times New Roman" w:eastAsia="Times New Roman"/>
                <w:spacing w:val="-4"/>
                <w:sz w:val="21"/>
              </w:rPr>
              <w:t>**</w:t>
            </w:r>
            <w:r>
              <w:rPr>
                <w:spacing w:val="-4"/>
                <w:sz w:val="21"/>
              </w:rPr>
              <w:t>：可能不适用于所有学科和技能水平的学生，</w:t>
            </w:r>
            <w:r>
              <w:rPr>
                <w:spacing w:val="-2"/>
                <w:sz w:val="21"/>
              </w:rPr>
              <w:t>且过度依赖可能导致学习者的自主学习能力下降。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z w:val="21"/>
              </w:rPr>
              <w:t>学习管理系统</w:t>
            </w:r>
            <w:r>
              <w:rPr>
                <w:spacing w:val="-4"/>
                <w:sz w:val="21"/>
              </w:rPr>
              <w:t>（</w:t>
            </w:r>
            <w:r>
              <w:rPr>
                <w:rFonts w:ascii="Times New Roman" w:eastAsia="Times New Roman"/>
                <w:spacing w:val="-4"/>
                <w:sz w:val="21"/>
              </w:rPr>
              <w:t>LMS</w:t>
            </w:r>
            <w:r>
              <w:rPr>
                <w:spacing w:val="-4"/>
                <w:sz w:val="21"/>
              </w:rPr>
              <w:t>）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核心功能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：整合课程资源、作业提交、成绩记录等</w:t>
            </w:r>
            <w:r>
              <w:rPr>
                <w:spacing w:val="-2"/>
                <w:sz w:val="21"/>
              </w:rPr>
              <w:t>功能，为教师和学生提供一站式学习平台。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318"/>
              </w:tabs>
              <w:spacing w:before="0" w:after="0" w:line="269" w:lineRule="exact"/>
              <w:ind w:left="318" w:right="0" w:hanging="21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数据分析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：通过追踪学习活动数据，</w:t>
            </w:r>
            <w:r>
              <w:rPr>
                <w:rFonts w:ascii="Times New Roman" w:eastAsia="Times New Roman"/>
                <w:spacing w:val="-2"/>
                <w:sz w:val="21"/>
              </w:rPr>
              <w:t>LMS</w:t>
            </w:r>
            <w:r>
              <w:rPr>
                <w:rFonts w:ascii="Times New Roman" w:eastAsia="Times New Roman"/>
                <w:spacing w:val="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能够提供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11"/>
          <w:pgSz w:w="11910" w:h="16840"/>
          <w:pgMar w:top="1920" w:right="1420" w:bottom="1380" w:left="1680" w:header="0" w:footer="1198"/>
          <w:pgNumType w:start="7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550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9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关于学习投入度的统计报告。</w:t>
            </w:r>
          </w:p>
          <w:p>
            <w:pPr>
              <w:pStyle w:val="TableParagraph"/>
              <w:spacing w:before="43" w:line="278" w:lineRule="auto"/>
              <w:ind w:right="-44"/>
              <w:rPr>
                <w:sz w:val="21"/>
              </w:rPr>
            </w:pPr>
            <w:r>
              <w:rPr>
                <w:rFonts w:ascii="Times New Roman" w:eastAsia="Times New Roman"/>
                <w:spacing w:val="-4"/>
                <w:sz w:val="21"/>
              </w:rPr>
              <w:t>3. **</w:t>
            </w:r>
            <w:r>
              <w:rPr>
                <w:spacing w:val="-4"/>
                <w:sz w:val="21"/>
              </w:rPr>
              <w:t>局限性</w:t>
            </w:r>
            <w:r>
              <w:rPr>
                <w:rFonts w:ascii="Times New Roman" w:eastAsia="Times New Roman"/>
                <w:spacing w:val="-4"/>
                <w:sz w:val="21"/>
              </w:rPr>
              <w:t>**</w:t>
            </w:r>
            <w:r>
              <w:rPr>
                <w:spacing w:val="-4"/>
                <w:sz w:val="21"/>
              </w:rPr>
              <w:t>：</w:t>
            </w:r>
            <w:r>
              <w:rPr>
                <w:rFonts w:ascii="Times New Roman" w:eastAsia="Times New Roman"/>
                <w:spacing w:val="-4"/>
                <w:sz w:val="21"/>
              </w:rPr>
              <w:t>LMS</w:t>
            </w:r>
            <w:r>
              <w:rPr>
                <w:rFonts w:ascii="Times New Roman" w:eastAsia="Times New Roman"/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可能无法完全适应多样化的学习需求，</w:t>
            </w:r>
            <w:r>
              <w:rPr>
                <w:spacing w:val="-2"/>
                <w:sz w:val="21"/>
              </w:rPr>
              <w:t>且在用户界面和交互设计上存在改进空间。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9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学习行为分析算法</w:t>
            </w:r>
          </w:p>
        </w:tc>
        <w:tc>
          <w:tcPr>
            <w:tcW w:w="5506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算法原理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：运用机器学习技术，从大量学习活动中</w:t>
            </w:r>
            <w:r>
              <w:rPr>
                <w:spacing w:val="-2"/>
                <w:sz w:val="21"/>
              </w:rPr>
              <w:t>提取特征，建立学习行为模式。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应用价值</w:t>
            </w:r>
            <w:r>
              <w:rPr>
                <w:rFonts w:ascii="Times New Roman" w:eastAsia="Times New Roman"/>
                <w:spacing w:val="-2"/>
                <w:sz w:val="21"/>
              </w:rPr>
              <w:t>**</w:t>
            </w:r>
            <w:r>
              <w:rPr>
                <w:spacing w:val="-2"/>
                <w:sz w:val="21"/>
              </w:rPr>
              <w:t>：有助于揭示学习者的学习习惯、偏好和</w:t>
            </w:r>
            <w:r>
              <w:rPr>
                <w:spacing w:val="-2"/>
                <w:sz w:val="21"/>
              </w:rPr>
              <w:t>潜在问题，从而优化学习体验。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before="0" w:after="0" w:line="269" w:lineRule="exact"/>
              <w:ind w:left="319" w:right="0" w:hanging="212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z w:val="21"/>
              </w:rPr>
              <w:t>局限性</w:t>
            </w:r>
            <w:r>
              <w:rPr>
                <w:rFonts w:ascii="Times New Roman" w:eastAsia="Times New Roman"/>
                <w:sz w:val="21"/>
              </w:rPr>
              <w:t>**</w:t>
            </w:r>
            <w:r>
              <w:rPr>
                <w:spacing w:val="-1"/>
                <w:sz w:val="21"/>
              </w:rPr>
              <w:t>：算法的有效性依赖于高质量的数据输入，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且可能存在偏见和歧视风险。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9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0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学习投入度测量工具：适用性与局限性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4"/>
        </w:rPr>
        <w:t>学习投入度是指个体在学习过程中的情感、认知和行为参与程度。有</w:t>
      </w:r>
      <w:r>
        <w:rPr>
          <w:spacing w:val="-8"/>
        </w:rPr>
        <w:t>效的测量工具对于理解学生的学习状态、指导教学策略以及评估教育</w:t>
      </w:r>
      <w:r>
        <w:rPr>
          <w:spacing w:val="-4"/>
        </w:rPr>
        <w:t>效果具有重要意义。本文将探讨几种常用的学习投入度测量工具，并</w:t>
      </w:r>
      <w:r>
        <w:rPr>
          <w:spacing w:val="-2"/>
        </w:rPr>
        <w:t>分析它们的适用性与局限性。</w:t>
      </w:r>
    </w:p>
    <w:p>
      <w:pPr>
        <w:pStyle w:val="BodyText"/>
        <w:spacing w:line="358" w:lineRule="exact"/>
      </w:pPr>
      <w:r>
        <w:rPr>
          <w:spacing w:val="-2"/>
        </w:rPr>
        <w:t>一、适用性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23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问卷法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145"/>
      </w:pPr>
      <w:r>
        <w:rPr>
          <w:spacing w:val="-9"/>
        </w:rPr>
        <w:t>问卷法是最常见的测量学习投入度的方法之一。通过设计一系列问题，</w:t>
      </w:r>
      <w:r>
        <w:rPr>
          <w:spacing w:val="27"/>
        </w:rPr>
        <w:t>可以量化学生的情感、 认知和行为投入。 例如， 努斯鲍姆</w:t>
      </w:r>
    </w:p>
    <w:p>
      <w:pPr>
        <w:pStyle w:val="BodyText"/>
        <w:spacing w:line="417" w:lineRule="auto"/>
        <w:ind w:right="238"/>
      </w:pPr>
      <w:r>
        <w:rPr>
          <w:spacing w:val="-6"/>
        </w:rPr>
        <w:t>（Nussbaum）的学习投入量表（LEI）</w:t>
      </w:r>
      <w:r>
        <w:rPr>
          <w:spacing w:val="-25"/>
        </w:rPr>
        <w:t xml:space="preserve">包括 </w:t>
      </w:r>
      <w:r>
        <w:rPr>
          <w:spacing w:val="-6"/>
        </w:rPr>
        <w:t>30</w:t>
      </w:r>
      <w:r>
        <w:rPr>
          <w:spacing w:val="-19"/>
        </w:rPr>
        <w:t xml:space="preserve"> 个题目，涵盖三个维度：</w:t>
      </w:r>
      <w:r>
        <w:rPr>
          <w:spacing w:val="-2"/>
        </w:rPr>
        <w:t>行为投入、情感投入和认知投入。问卷法的优点在于操作简便、成本</w:t>
      </w:r>
      <w:r>
        <w:rPr>
          <w:spacing w:val="-2"/>
        </w:rPr>
        <w:t>较低且易于大规模实施。然而，其适用性受限于学生群体的配合度和</w:t>
      </w:r>
      <w:r>
        <w:rPr>
          <w:spacing w:val="-2"/>
        </w:rPr>
        <w:t>对问题的理解能力。</w:t>
      </w:r>
    </w:p>
    <w:p>
      <w:pPr>
        <w:pStyle w:val="ListParagraph"/>
        <w:numPr>
          <w:ilvl w:val="0"/>
          <w:numId w:val="23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观察法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rPr>
          <w:spacing w:val="-6"/>
        </w:rPr>
        <w:t>观察法通过直接观察学生在课堂上的表现来评估其学习投入度。这种</w:t>
      </w:r>
      <w:r>
        <w:rPr>
          <w:spacing w:val="-5"/>
        </w:rPr>
        <w:t>方法能够捕捉到学生的非言语行为，如注意力集中、参与讨论等。然</w:t>
      </w:r>
    </w:p>
    <w:p>
      <w:pPr>
        <w:spacing w:after="0" w:line="417" w:lineRule="auto"/>
        <w:sectPr>
          <w:footerReference w:type="default" r:id="rId12"/>
          <w:type w:val="continuous"/>
          <w:pgSz w:w="11910" w:h="16840"/>
          <w:pgMar w:top="1400" w:right="1420" w:bottom="1380" w:left="1680" w:header="0" w:footer="1198"/>
          <w:pgNumType w:start="8"/>
          <w:cols w:space="708"/>
        </w:sectPr>
      </w:pPr>
    </w:p>
    <w:p>
      <w:pPr>
        <w:pStyle w:val="BodyText"/>
        <w:spacing w:before="37" w:line="417" w:lineRule="auto"/>
        <w:ind w:right="378"/>
      </w:pPr>
      <w:r>
        <w:rPr>
          <w:spacing w:val="-4"/>
        </w:rPr>
        <w:t>而，观察法需要教师具备较高的观察能力和判断标准，且可能受到主</w:t>
      </w:r>
      <w:r>
        <w:rPr>
          <w:spacing w:val="-2"/>
        </w:rPr>
        <w:t>观因素的影响。</w:t>
      </w:r>
    </w:p>
    <w:p>
      <w:pPr>
        <w:pStyle w:val="ListParagraph"/>
        <w:numPr>
          <w:ilvl w:val="0"/>
          <w:numId w:val="23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实验法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10"/>
        </w:rPr>
        <w:t>实验法通过设置特定情境，让学生在完成学习任务的过程中表现出不</w:t>
      </w:r>
      <w:r>
        <w:rPr>
          <w:spacing w:val="-12"/>
        </w:rPr>
        <w:t>同的学习投入水平。这种方法能够揭示学生在不同条件下的学习投入</w:t>
      </w:r>
      <w:r>
        <w:rPr>
          <w:spacing w:val="-2"/>
        </w:rPr>
        <w:t>变化，但实验设计较为复杂，且难以模拟真实的学习环境。</w:t>
      </w:r>
    </w:p>
    <w:p>
      <w:pPr>
        <w:pStyle w:val="BodyText"/>
        <w:spacing w:line="358" w:lineRule="exact"/>
      </w:pPr>
      <w:r>
        <w:rPr>
          <w:spacing w:val="-2"/>
        </w:rPr>
        <w:t>二、局限性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val="left" w:pos="540"/>
        </w:tabs>
        <w:spacing w:before="1" w:after="0" w:line="240" w:lineRule="auto"/>
        <w:ind w:left="540" w:right="0" w:hanging="420"/>
        <w:jc w:val="both"/>
        <w:rPr>
          <w:sz w:val="28"/>
        </w:rPr>
      </w:pPr>
      <w:r>
        <w:rPr>
          <w:spacing w:val="-4"/>
          <w:sz w:val="28"/>
        </w:rPr>
        <w:t>问卷法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4"/>
        </w:rPr>
        <w:t>尽管问卷法具有广泛应用，但其局限性也不容忽视。首先，问卷结果</w:t>
      </w:r>
      <w:r>
        <w:rPr>
          <w:spacing w:val="-4"/>
        </w:rPr>
        <w:t>受制于学生的诚实性和理解力，可能导致信息失真。其次，问卷通常</w:t>
      </w:r>
      <w:r>
        <w:rPr>
          <w:spacing w:val="-4"/>
        </w:rPr>
        <w:t>无法反映学生的即时反应和学习过程的变化。此外，问卷法往往忽略</w:t>
      </w:r>
      <w:r>
        <w:rPr>
          <w:spacing w:val="-2"/>
        </w:rPr>
        <w:t>了个体差异和背景因素对学生学习投入度的影响。</w:t>
      </w:r>
    </w:p>
    <w:p>
      <w:pPr>
        <w:pStyle w:val="ListParagraph"/>
        <w:numPr>
          <w:ilvl w:val="0"/>
          <w:numId w:val="22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4"/>
          <w:sz w:val="28"/>
        </w:rPr>
        <w:t>观察法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4"/>
        </w:rPr>
        <w:t>观察法的局限性主要体现在两个方面：一是教师的主观判断可能影响</w:t>
      </w:r>
      <w:r>
        <w:rPr>
          <w:spacing w:val="-4"/>
        </w:rPr>
        <w:t>结果的准确性；二是观察法难以全面覆盖所有学生，特别是在大班教</w:t>
      </w:r>
      <w:r>
        <w:rPr>
          <w:spacing w:val="-4"/>
        </w:rPr>
        <w:t>学中。此外，观察法也无法获取学生对学习内容的主观感受和深层次</w:t>
      </w:r>
      <w:r>
        <w:rPr>
          <w:spacing w:val="-4"/>
        </w:rPr>
        <w:t>思考。</w:t>
      </w:r>
    </w:p>
    <w:p>
      <w:pPr>
        <w:pStyle w:val="ListParagraph"/>
        <w:numPr>
          <w:ilvl w:val="0"/>
          <w:numId w:val="22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4"/>
          <w:sz w:val="28"/>
        </w:rPr>
        <w:t>实验法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145"/>
      </w:pPr>
      <w:r>
        <w:rPr>
          <w:spacing w:val="-10"/>
        </w:rPr>
        <w:t>实验法的局限性主要在于其实施难度较大，需要严格控制变量和条件，</w:t>
      </w:r>
      <w:r>
        <w:rPr>
          <w:spacing w:val="-2"/>
        </w:rPr>
        <w:t>这在实际教学中很难实现。同时，实验法可能无法完全模拟真实的学</w:t>
      </w:r>
      <w:r>
        <w:rPr>
          <w:spacing w:val="-2"/>
        </w:rPr>
        <w:t>习环境和压力，从而影响结果的普适性。</w:t>
      </w:r>
    </w:p>
    <w:p>
      <w:pPr>
        <w:pStyle w:val="BodyText"/>
        <w:spacing w:line="358" w:lineRule="exact"/>
      </w:pPr>
      <w:r>
        <w:rPr>
          <w:spacing w:val="-5"/>
        </w:rPr>
        <w:t>综上所述，学习投入度测量工具各有利弊，选择合适的方法需考虑研</w:t>
      </w:r>
    </w:p>
    <w:p>
      <w:pPr>
        <w:spacing w:after="0" w:line="358" w:lineRule="exact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https://d.book118.com/736102004125010055</w:t>
        </w:r>
      </w:hyperlink>
    </w:p>
    <w:p>
      <w:pPr>
        <w:spacing w:after="0" w:line="358" w:lineRule="exact"/>
      </w:pPr>
    </w:p>
    <w:sectPr>
      <w:footerReference w:type="default" r:id="rId14"/>
      <w:pgSz w:w="11910" w:h="16840"/>
      <w:pgMar w:top="1520" w:right="1420" w:bottom="1380" w:left="1680" w:header="0" w:footer="1198"/>
      <w:pgNumType w:start="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DBAD6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8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3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6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8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1" w:hanging="214"/>
      </w:pPr>
      <w:rPr>
        <w:rFonts w:hint="default"/>
        <w:lang w:val="en-US" w:eastAsia="zh-CN" w:bidi="ar-SA"/>
      </w:rPr>
    </w:lvl>
  </w:abstractNum>
  <w:abstractNum w:abstractNumId="1">
    <w:nsid w:val="0723A5D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4"/>
      </w:pPr>
      <w:rPr>
        <w:rFonts w:hint="default"/>
        <w:lang w:val="en-US" w:eastAsia="zh-CN" w:bidi="ar-SA"/>
      </w:rPr>
    </w:lvl>
  </w:abstractNum>
  <w:abstractNum w:abstractNumId="2">
    <w:nsid w:val="08E2ABE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">
    <w:nsid w:val="090910B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4">
    <w:nsid w:val="1043492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abstractNum w:abstractNumId="5">
    <w:nsid w:val="1162279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6">
    <w:nsid w:val="1210C3B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7">
    <w:nsid w:val="132F8588"/>
    <w:multiLevelType w:val="hybridMultilevel"/>
    <w:tmpl w:val="00000000"/>
    <w:lvl w:ilvl="0">
      <w:start w:val="1"/>
      <w:numFmt w:val="decimal"/>
      <w:lvlText w:val="%1."/>
      <w:lvlJc w:val="left"/>
      <w:pPr>
        <w:ind w:left="387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8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2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6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1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5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9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3" w:hanging="280"/>
      </w:pPr>
      <w:rPr>
        <w:rFonts w:hint="default"/>
        <w:lang w:val="en-US" w:eastAsia="zh-CN" w:bidi="ar-SA"/>
      </w:rPr>
    </w:lvl>
  </w:abstractNum>
  <w:abstractNum w:abstractNumId="8">
    <w:nsid w:val="1814283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9">
    <w:nsid w:val="1A8156D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10">
    <w:nsid w:val="1C8FAC39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11">
    <w:nsid w:val="1F57998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2">
    <w:nsid w:val="2138EE0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abstractNum w:abstractNumId="13">
    <w:nsid w:val="2DE6914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0"/>
      </w:pPr>
      <w:rPr>
        <w:rFonts w:hint="default"/>
        <w:lang w:val="en-US" w:eastAsia="zh-CN" w:bidi="ar-SA"/>
      </w:rPr>
    </w:lvl>
  </w:abstractNum>
  <w:abstractNum w:abstractNumId="14">
    <w:nsid w:val="356B591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14"/>
      </w:pPr>
      <w:rPr>
        <w:rFonts w:hint="default"/>
        <w:lang w:val="en-US" w:eastAsia="zh-CN" w:bidi="ar-SA"/>
      </w:rPr>
    </w:lvl>
  </w:abstractNum>
  <w:abstractNum w:abstractNumId="15">
    <w:nsid w:val="3A4B433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7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7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7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7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7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7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7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7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75"/>
      </w:pPr>
      <w:rPr>
        <w:rFonts w:hint="default"/>
        <w:lang w:val="en-US" w:eastAsia="zh-CN" w:bidi="ar-SA"/>
      </w:rPr>
    </w:lvl>
  </w:abstractNum>
  <w:abstractNum w:abstractNumId="16">
    <w:nsid w:val="3BE4650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abstractNum w:abstractNumId="17">
    <w:nsid w:val="44011E8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18">
    <w:nsid w:val="4694664B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19">
    <w:nsid w:val="485B3C3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20">
    <w:nsid w:val="57BAA3B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abstractNum w:abstractNumId="21">
    <w:nsid w:val="598662C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2">
    <w:nsid w:val="5D529BEF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3">
    <w:nsid w:val="5FA1DE0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14"/>
      </w:pPr>
      <w:rPr>
        <w:rFonts w:hint="default"/>
        <w:lang w:val="en-US" w:eastAsia="zh-CN" w:bidi="ar-SA"/>
      </w:rPr>
    </w:lvl>
  </w:abstractNum>
  <w:abstractNum w:abstractNumId="24">
    <w:nsid w:val="630C8E2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14"/>
      </w:pPr>
      <w:rPr>
        <w:rFonts w:hint="default"/>
        <w:lang w:val="en-US" w:eastAsia="zh-CN" w:bidi="ar-SA"/>
      </w:rPr>
    </w:lvl>
  </w:abstractNum>
  <w:abstractNum w:abstractNumId="25">
    <w:nsid w:val="66D6349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6">
    <w:nsid w:val="672D7B3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7">
    <w:nsid w:val="674FC6B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14"/>
      </w:pPr>
      <w:rPr>
        <w:rFonts w:hint="default"/>
        <w:lang w:val="en-US" w:eastAsia="zh-CN" w:bidi="ar-SA"/>
      </w:rPr>
    </w:lvl>
  </w:abstractNum>
  <w:abstractNum w:abstractNumId="28">
    <w:nsid w:val="6A49B37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9">
    <w:nsid w:val="6E441F1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14"/>
      </w:pPr>
      <w:rPr>
        <w:rFonts w:hint="default"/>
        <w:lang w:val="en-US" w:eastAsia="zh-CN" w:bidi="ar-SA"/>
      </w:rPr>
    </w:lvl>
  </w:abstractNum>
  <w:abstractNum w:abstractNumId="30">
    <w:nsid w:val="76EE0A2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31">
    <w:nsid w:val="77E03C3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32">
    <w:nsid w:val="787D2C04"/>
    <w:multiLevelType w:val="hybridMultilevel"/>
    <w:tmpl w:val="00000000"/>
    <w:lvl w:ilvl="0">
      <w:start w:val="1"/>
      <w:numFmt w:val="decimal"/>
      <w:lvlText w:val="%1."/>
      <w:lvlJc w:val="left"/>
      <w:pPr>
        <w:ind w:left="37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3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7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1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6" w:hanging="264"/>
      </w:pPr>
      <w:rPr>
        <w:rFonts w:hint="default"/>
        <w:lang w:val="en-US" w:eastAsia="zh-CN" w:bidi="ar-SA"/>
      </w:rPr>
    </w:lvl>
  </w:abstractNum>
  <w:abstractNum w:abstractNumId="33">
    <w:nsid w:val="7C28091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1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1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1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1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1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1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14"/>
      </w:pPr>
      <w:rPr>
        <w:rFonts w:hint="default"/>
        <w:lang w:val="en-US" w:eastAsia="zh-CN" w:bidi="ar-SA"/>
      </w:rPr>
    </w:lvl>
  </w:abstractNum>
  <w:abstractNum w:abstractNumId="34">
    <w:nsid w:val="7EAF0D1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8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7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6" w:hanging="212"/>
      </w:pPr>
      <w:rPr>
        <w:rFonts w:hint="default"/>
        <w:lang w:val="en-US" w:eastAsia="zh-CN" w:bidi="ar-SA"/>
      </w:rPr>
    </w:lvl>
  </w:abstractNum>
  <w:num w:numId="1">
    <w:abstractNumId w:val="8"/>
  </w:num>
  <w:num w:numId="2">
    <w:abstractNumId w:val="19"/>
  </w:num>
  <w:num w:numId="3">
    <w:abstractNumId w:val="31"/>
  </w:num>
  <w:num w:numId="4">
    <w:abstractNumId w:val="7"/>
  </w:num>
  <w:num w:numId="5">
    <w:abstractNumId w:val="17"/>
  </w:num>
  <w:num w:numId="6">
    <w:abstractNumId w:val="9"/>
  </w:num>
  <w:num w:numId="7">
    <w:abstractNumId w:val="13"/>
  </w:num>
  <w:num w:numId="8">
    <w:abstractNumId w:val="5"/>
  </w:num>
  <w:num w:numId="9">
    <w:abstractNumId w:val="28"/>
  </w:num>
  <w:num w:numId="10">
    <w:abstractNumId w:val="11"/>
  </w:num>
  <w:num w:numId="11">
    <w:abstractNumId w:val="6"/>
  </w:num>
  <w:num w:numId="12">
    <w:abstractNumId w:val="18"/>
  </w:num>
  <w:num w:numId="13">
    <w:abstractNumId w:val="32"/>
  </w:num>
  <w:num w:numId="14">
    <w:abstractNumId w:val="2"/>
  </w:num>
  <w:num w:numId="15">
    <w:abstractNumId w:val="25"/>
  </w:num>
  <w:num w:numId="16">
    <w:abstractNumId w:val="24"/>
  </w:num>
  <w:num w:numId="17">
    <w:abstractNumId w:val="27"/>
  </w:num>
  <w:num w:numId="18">
    <w:abstractNumId w:val="14"/>
  </w:num>
  <w:num w:numId="19">
    <w:abstractNumId w:val="23"/>
  </w:num>
  <w:num w:numId="20">
    <w:abstractNumId w:val="33"/>
  </w:num>
  <w:num w:numId="21">
    <w:abstractNumId w:val="29"/>
  </w:num>
  <w:num w:numId="22">
    <w:abstractNumId w:val="22"/>
  </w:num>
  <w:num w:numId="23">
    <w:abstractNumId w:val="30"/>
  </w:num>
  <w:num w:numId="24">
    <w:abstractNumId w:val="16"/>
  </w:num>
  <w:num w:numId="25">
    <w:abstractNumId w:val="4"/>
  </w:num>
  <w:num w:numId="26">
    <w:abstractNumId w:val="34"/>
  </w:num>
  <w:num w:numId="27">
    <w:abstractNumId w:val="12"/>
  </w:num>
  <w:num w:numId="28">
    <w:abstractNumId w:val="20"/>
  </w:num>
  <w:num w:numId="29">
    <w:abstractNumId w:val="1"/>
  </w:num>
  <w:num w:numId="30">
    <w:abstractNumId w:val="21"/>
  </w:num>
  <w:num w:numId="31">
    <w:abstractNumId w:val="10"/>
  </w:num>
  <w:num w:numId="32">
    <w:abstractNumId w:val="0"/>
  </w:num>
  <w:num w:numId="33">
    <w:abstractNumId w:val="15"/>
  </w:num>
  <w:num w:numId="34">
    <w:abstractNumId w:val="2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644" w:right="2903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378"/>
      <w:jc w:val="both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hyperlink" Target="https://d.book118.com/736102004125010055" TargetMode="External" /><Relationship Id="rId14" Type="http://schemas.openxmlformats.org/officeDocument/2006/relationships/footer" Target="footer9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2024-03-05T04:19:57Z</dcterms:created>
  <dcterms:modified xsi:type="dcterms:W3CDTF">2024-03-05T04:19:57Z</dcterms:modified>
</cp:coreProperties>
</file>