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43"/>
        <w:ind w:left="652" w:right="2198" w:firstLine="0"/>
        <w:jc w:val="center"/>
        <w:rPr>
          <w:sz w:val="27"/>
        </w:rPr>
      </w:pPr>
      <w:r>
        <w:drawing>
          <wp:anchor distT="0" distB="0" distL="0" distR="0" simplePos="0" relativeHeight="251658240" behindDoc="1" locked="0" layoutInCell="1" allowOverlap="1">
            <wp:simplePos x="0" y="0"/>
            <wp:positionH relativeFrom="page">
              <wp:posOffset>1587500</wp:posOffset>
            </wp:positionH>
            <wp:positionV relativeFrom="paragraph">
              <wp:posOffset>215264</wp:posOffset>
            </wp:positionV>
            <wp:extent cx="84582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458200" cy="38100"/>
                    </a:xfrm>
                    <a:prstGeom prst="rect">
                      <a:avLst/>
                    </a:prstGeom>
                  </pic:spPr>
                </pic:pic>
              </a:graphicData>
            </a:graphic>
          </wp:anchor>
        </w:drawing>
      </w:r>
      <w:r>
        <w:rPr>
          <w:sz w:val="27"/>
        </w:rPr>
        <w:t>新疆中泰化学研发实验基地仪表冬季设备安装工程</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2"/>
        <w:rPr>
          <w:sz w:val="20"/>
        </w:rPr>
      </w:pPr>
    </w:p>
    <w:p>
      <w:pPr>
        <w:pStyle w:val="Title"/>
        <w:ind w:left="652"/>
      </w:pPr>
      <w:r>
        <w:t>新疆中泰化学研发试验基地</w:t>
      </w:r>
    </w:p>
    <w:p>
      <w:pPr>
        <w:pStyle w:val="Title"/>
        <w:spacing w:before="6"/>
        <w:rPr>
          <w:rFonts w:ascii="黑体" w:eastAsia="黑体" w:hint="eastAsia"/>
        </w:rPr>
      </w:pPr>
      <w:r>
        <w:rPr>
          <w:rFonts w:ascii="黑体" w:eastAsia="黑体" w:hint="eastAsia"/>
        </w:rPr>
        <w:t>仪表冬季施工方案</w:t>
      </w:r>
    </w:p>
    <w:p>
      <w:pPr>
        <w:pStyle w:val="BodyText"/>
        <w:rPr>
          <w:rFonts w:ascii="黑体"/>
          <w:b/>
          <w:sz w:val="108"/>
        </w:rPr>
      </w:pPr>
    </w:p>
    <w:p>
      <w:pPr>
        <w:pStyle w:val="BodyText"/>
        <w:rPr>
          <w:rFonts w:ascii="黑体"/>
          <w:b/>
          <w:sz w:val="108"/>
        </w:rPr>
      </w:pPr>
    </w:p>
    <w:p>
      <w:pPr>
        <w:pStyle w:val="BodyText"/>
        <w:rPr>
          <w:rFonts w:ascii="黑体"/>
          <w:b/>
          <w:sz w:val="108"/>
        </w:rPr>
      </w:pPr>
    </w:p>
    <w:p>
      <w:pPr>
        <w:pStyle w:val="BodyText"/>
        <w:rPr>
          <w:rFonts w:ascii="黑体"/>
          <w:b/>
          <w:sz w:val="108"/>
        </w:rPr>
      </w:pPr>
    </w:p>
    <w:p>
      <w:pPr>
        <w:pStyle w:val="BodyText"/>
        <w:rPr>
          <w:rFonts w:ascii="黑体"/>
          <w:b/>
          <w:sz w:val="108"/>
        </w:rPr>
      </w:pPr>
    </w:p>
    <w:p>
      <w:pPr>
        <w:pStyle w:val="BodyText"/>
        <w:rPr>
          <w:rFonts w:ascii="黑体"/>
          <w:b/>
          <w:sz w:val="108"/>
        </w:rPr>
      </w:pPr>
    </w:p>
    <w:p>
      <w:pPr>
        <w:pStyle w:val="Heading2"/>
        <w:spacing w:before="884" w:line="338" w:lineRule="auto"/>
        <w:ind w:left="5074" w:right="9363"/>
        <w:jc w:val="both"/>
        <w:rPr>
          <w:rFonts w:ascii="Microsoft JhengHei" w:eastAsia="Microsoft JhengHei" w:hint="eastAsia"/>
        </w:rPr>
      </w:pPr>
      <w:r>
        <w:rPr>
          <w:rFonts w:ascii="Microsoft JhengHei" w:eastAsia="Microsoft JhengHei" w:hint="eastAsia"/>
        </w:rPr>
        <w:t>编制人： 审核人： 批准人：</w:t>
      </w:r>
    </w:p>
    <w:p>
      <w:pPr>
        <w:spacing w:after="0" w:line="338" w:lineRule="auto"/>
        <w:jc w:val="both"/>
        <w:rPr>
          <w:rFonts w:ascii="Microsoft JhengHei" w:eastAsia="Microsoft JhengHei" w:hint="eastAsia"/>
        </w:rPr>
        <w:sectPr>
          <w:type w:val="continuous"/>
          <w:pgSz w:w="17860" w:h="25270"/>
          <w:pgMar w:top="1200" w:right="0" w:bottom="280" w:left="1980" w:header="708" w:footer="708"/>
          <w:cols w:space="708"/>
        </w:sectPr>
      </w:pPr>
    </w:p>
    <w:p>
      <w:pPr>
        <w:pStyle w:val="BodyText"/>
        <w:spacing w:before="12"/>
        <w:rPr>
          <w:rFonts w:ascii="Microsoft JhengHei"/>
          <w:b/>
          <w:sz w:val="29"/>
        </w:rPr>
      </w:pPr>
    </w:p>
    <w:p>
      <w:pPr>
        <w:spacing w:before="32"/>
        <w:ind w:left="4166" w:right="0" w:firstLine="0"/>
        <w:jc w:val="left"/>
        <w:rPr>
          <w:rFonts w:ascii="黑体" w:eastAsia="黑体" w:hint="eastAsia"/>
          <w:sz w:val="48"/>
        </w:rPr>
      </w:pPr>
      <w:r>
        <w:rPr>
          <w:rFonts w:ascii="黑体" w:eastAsia="黑体" w:hint="eastAsia"/>
          <w:sz w:val="48"/>
        </w:rPr>
        <w:t>新疆中泰化学阜康能源项目部</w:t>
      </w:r>
    </w:p>
    <w:p>
      <w:pPr>
        <w:pStyle w:val="BodyText"/>
        <w:spacing w:before="5"/>
        <w:rPr>
          <w:rFonts w:ascii="黑体"/>
          <w:sz w:val="47"/>
        </w:rPr>
      </w:pPr>
    </w:p>
    <w:p>
      <w:pPr>
        <w:spacing w:before="0"/>
        <w:ind w:left="652" w:right="3461" w:firstLine="0"/>
        <w:jc w:val="center"/>
        <w:rPr>
          <w:rFonts w:ascii="幼圆" w:eastAsia="幼圆" w:hint="eastAsia"/>
          <w:sz w:val="29"/>
        </w:rPr>
      </w:pPr>
      <w:r>
        <w:rPr>
          <w:rFonts w:ascii="幼圆" w:eastAsia="幼圆" w:hint="eastAsia"/>
          <w:sz w:val="29"/>
        </w:rPr>
        <w:t>目录</w:t>
      </w: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8"/>
        <w:rPr>
          <w:rFonts w:ascii="幼圆"/>
          <w:sz w:val="28"/>
        </w:rPr>
      </w:pPr>
    </w:p>
    <w:tbl>
      <w:tblPr>
        <w:tblStyle w:val="TableNormal0"/>
        <w:tblW w:w="0" w:type="auto"/>
        <w:jc w:val="left"/>
        <w:tblInd w:w="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47"/>
        <w:gridCol w:w="620"/>
      </w:tblGrid>
      <w:tr>
        <w:tblPrEx>
          <w:tblW w:w="0" w:type="auto"/>
          <w:jc w:val="left"/>
          <w:tblInd w:w="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92"/>
          <w:jc w:val="left"/>
        </w:trPr>
        <w:tc>
          <w:tcPr>
            <w:tcW w:w="12647" w:type="dxa"/>
          </w:tcPr>
          <w:p>
            <w:pPr>
              <w:pStyle w:val="TableParagraph"/>
              <w:spacing w:line="379" w:lineRule="exact"/>
              <w:ind w:left="112" w:right="141"/>
              <w:jc w:val="center"/>
              <w:rPr>
                <w:b/>
                <w:sz w:val="30"/>
              </w:rPr>
            </w:pPr>
            <w:r>
              <w:rPr>
                <w:rFonts w:ascii="宋体" w:eastAsia="宋体" w:hint="eastAsia"/>
                <w:b/>
                <w:w w:val="90"/>
                <w:sz w:val="30"/>
              </w:rPr>
              <w:t>一、工程概况</w:t>
            </w:r>
            <w:r>
              <w:rPr>
                <w:b/>
                <w:w w:val="90"/>
                <w:sz w:val="30"/>
              </w:rPr>
              <w:t>...............................................................................................................................................</w:t>
            </w:r>
          </w:p>
        </w:tc>
        <w:tc>
          <w:tcPr>
            <w:tcW w:w="620" w:type="dxa"/>
          </w:tcPr>
          <w:p>
            <w:pPr>
              <w:pStyle w:val="TableParagraph"/>
              <w:spacing w:before="13"/>
              <w:ind w:left="32" w:right="13"/>
              <w:jc w:val="center"/>
              <w:rPr>
                <w:b/>
                <w:sz w:val="30"/>
              </w:rPr>
            </w:pPr>
            <w:r>
              <w:rPr>
                <w:b/>
                <w:sz w:val="30"/>
              </w:rPr>
              <w:t>- 3 -</w:t>
            </w:r>
          </w:p>
        </w:tc>
      </w:tr>
      <w:tr>
        <w:tblPrEx>
          <w:tblW w:w="0" w:type="auto"/>
          <w:jc w:val="left"/>
          <w:tblInd w:w="530" w:type="dxa"/>
          <w:tblLayout w:type="fixed"/>
          <w:tblCellMar>
            <w:top w:w="0" w:type="dxa"/>
            <w:left w:w="0" w:type="dxa"/>
            <w:bottom w:w="0" w:type="dxa"/>
            <w:right w:w="0" w:type="dxa"/>
          </w:tblCellMar>
          <w:tblLook w:val="01E0"/>
        </w:tblPrEx>
        <w:trPr>
          <w:trHeight w:val="647"/>
          <w:jc w:val="left"/>
        </w:trPr>
        <w:tc>
          <w:tcPr>
            <w:tcW w:w="12647" w:type="dxa"/>
          </w:tcPr>
          <w:p>
            <w:pPr>
              <w:pStyle w:val="TableParagraph"/>
              <w:spacing w:before="150"/>
              <w:ind w:left="112" w:right="141"/>
              <w:jc w:val="center"/>
              <w:rPr>
                <w:b/>
                <w:sz w:val="30"/>
              </w:rPr>
            </w:pPr>
            <w:r>
              <w:rPr>
                <w:rFonts w:ascii="宋体" w:eastAsia="宋体" w:hint="eastAsia"/>
                <w:b/>
                <w:w w:val="90"/>
                <w:sz w:val="30"/>
              </w:rPr>
              <w:t>二、编制依据</w:t>
            </w:r>
            <w:r>
              <w:rPr>
                <w:b/>
                <w:w w:val="90"/>
                <w:sz w:val="30"/>
              </w:rPr>
              <w:t>...............................................................................................................................................</w:t>
            </w:r>
          </w:p>
        </w:tc>
        <w:tc>
          <w:tcPr>
            <w:tcW w:w="620" w:type="dxa"/>
          </w:tcPr>
          <w:p>
            <w:pPr>
              <w:pStyle w:val="TableParagraph"/>
              <w:spacing w:before="168"/>
              <w:ind w:left="32" w:right="13"/>
              <w:jc w:val="center"/>
              <w:rPr>
                <w:b/>
                <w:sz w:val="30"/>
              </w:rPr>
            </w:pPr>
            <w:r>
              <w:rPr>
                <w:b/>
                <w:sz w:val="30"/>
              </w:rPr>
              <w:t>- 3 -</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647" w:type="dxa"/>
          </w:tcPr>
          <w:p>
            <w:pPr>
              <w:pStyle w:val="TableParagraph"/>
              <w:spacing w:before="150"/>
              <w:ind w:left="112" w:right="132"/>
              <w:jc w:val="center"/>
              <w:rPr>
                <w:b/>
                <w:sz w:val="30"/>
              </w:rPr>
            </w:pPr>
            <w:r>
              <w:rPr>
                <w:rFonts w:ascii="宋体" w:eastAsia="宋体" w:hint="eastAsia"/>
                <w:b/>
                <w:w w:val="90"/>
                <w:sz w:val="30"/>
              </w:rPr>
              <w:t>三、执行的标准规范</w:t>
            </w:r>
            <w:r>
              <w:rPr>
                <w:b/>
                <w:w w:val="90"/>
                <w:sz w:val="30"/>
              </w:rPr>
              <w:t>...................................................................................................................................</w:t>
            </w:r>
          </w:p>
        </w:tc>
        <w:tc>
          <w:tcPr>
            <w:tcW w:w="620" w:type="dxa"/>
          </w:tcPr>
          <w:p>
            <w:pPr>
              <w:pStyle w:val="TableParagraph"/>
              <w:spacing w:before="168"/>
              <w:ind w:left="32" w:right="13"/>
              <w:jc w:val="center"/>
              <w:rPr>
                <w:b/>
                <w:sz w:val="30"/>
              </w:rPr>
            </w:pPr>
            <w:r>
              <w:rPr>
                <w:b/>
                <w:sz w:val="30"/>
              </w:rPr>
              <w:t>- 3 -</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647" w:type="dxa"/>
          </w:tcPr>
          <w:p>
            <w:pPr>
              <w:pStyle w:val="TableParagraph"/>
              <w:spacing w:before="150"/>
              <w:ind w:left="112" w:right="132"/>
              <w:jc w:val="center"/>
              <w:rPr>
                <w:b/>
                <w:sz w:val="30"/>
              </w:rPr>
            </w:pPr>
            <w:r>
              <w:rPr>
                <w:rFonts w:ascii="宋体" w:eastAsia="宋体" w:hint="eastAsia"/>
                <w:b/>
                <w:w w:val="90"/>
                <w:sz w:val="30"/>
              </w:rPr>
              <w:t>四、主要工程实物量</w:t>
            </w:r>
            <w:r>
              <w:rPr>
                <w:b/>
                <w:w w:val="90"/>
                <w:sz w:val="30"/>
              </w:rPr>
              <w:t>...................................................................................................................................</w:t>
            </w:r>
          </w:p>
        </w:tc>
        <w:tc>
          <w:tcPr>
            <w:tcW w:w="620" w:type="dxa"/>
          </w:tcPr>
          <w:p>
            <w:pPr>
              <w:pStyle w:val="TableParagraph"/>
              <w:spacing w:before="169"/>
              <w:ind w:left="32" w:right="13"/>
              <w:jc w:val="center"/>
              <w:rPr>
                <w:b/>
                <w:sz w:val="30"/>
              </w:rPr>
            </w:pPr>
            <w:r>
              <w:rPr>
                <w:b/>
                <w:sz w:val="30"/>
              </w:rPr>
              <w:t>- 3 -</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647" w:type="dxa"/>
          </w:tcPr>
          <w:p>
            <w:pPr>
              <w:pStyle w:val="TableParagraph"/>
              <w:spacing w:before="150"/>
              <w:ind w:left="112" w:right="134"/>
              <w:jc w:val="center"/>
              <w:rPr>
                <w:b/>
                <w:sz w:val="30"/>
              </w:rPr>
            </w:pPr>
            <w:r>
              <w:rPr>
                <w:rFonts w:ascii="宋体" w:eastAsia="宋体" w:hint="eastAsia"/>
                <w:b/>
                <w:w w:val="90"/>
                <w:sz w:val="30"/>
              </w:rPr>
              <w:t>五、冬季施工措施</w:t>
            </w:r>
            <w:r>
              <w:rPr>
                <w:b/>
                <w:w w:val="90"/>
                <w:sz w:val="30"/>
              </w:rPr>
              <w:t>.......................................................................................................................................</w:t>
            </w:r>
          </w:p>
        </w:tc>
        <w:tc>
          <w:tcPr>
            <w:tcW w:w="620" w:type="dxa"/>
          </w:tcPr>
          <w:p>
            <w:pPr>
              <w:pStyle w:val="TableParagraph"/>
              <w:spacing w:before="168"/>
              <w:ind w:left="32" w:right="13"/>
              <w:jc w:val="center"/>
              <w:rPr>
                <w:b/>
                <w:sz w:val="30"/>
              </w:rPr>
            </w:pPr>
            <w:r>
              <w:rPr>
                <w:b/>
                <w:sz w:val="30"/>
              </w:rPr>
              <w:t>- 3 -</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647" w:type="dxa"/>
          </w:tcPr>
          <w:p>
            <w:pPr>
              <w:pStyle w:val="TableParagraph"/>
              <w:spacing w:before="150"/>
              <w:ind w:left="112" w:right="141"/>
              <w:jc w:val="center"/>
              <w:rPr>
                <w:b/>
                <w:sz w:val="30"/>
              </w:rPr>
            </w:pPr>
            <w:r>
              <w:rPr>
                <w:rFonts w:ascii="宋体" w:eastAsia="宋体" w:hint="eastAsia"/>
                <w:b/>
                <w:w w:val="90"/>
                <w:sz w:val="30"/>
              </w:rPr>
              <w:t>六、仪表安装</w:t>
            </w:r>
            <w:r>
              <w:rPr>
                <w:b/>
                <w:w w:val="90"/>
                <w:sz w:val="30"/>
              </w:rPr>
              <w:t>...............................................................................................................................................</w:t>
            </w:r>
          </w:p>
        </w:tc>
        <w:tc>
          <w:tcPr>
            <w:tcW w:w="620" w:type="dxa"/>
          </w:tcPr>
          <w:p>
            <w:pPr>
              <w:pStyle w:val="TableParagraph"/>
              <w:spacing w:before="168"/>
              <w:ind w:left="32" w:right="13"/>
              <w:jc w:val="center"/>
              <w:rPr>
                <w:b/>
                <w:sz w:val="30"/>
              </w:rPr>
            </w:pPr>
            <w:r>
              <w:rPr>
                <w:b/>
                <w:sz w:val="30"/>
              </w:rPr>
              <w:t>- 5 -</w:t>
            </w:r>
          </w:p>
        </w:tc>
      </w:tr>
      <w:tr>
        <w:tblPrEx>
          <w:tblW w:w="0" w:type="auto"/>
          <w:jc w:val="left"/>
          <w:tblInd w:w="530" w:type="dxa"/>
          <w:tblLayout w:type="fixed"/>
          <w:tblCellMar>
            <w:top w:w="0" w:type="dxa"/>
            <w:left w:w="0" w:type="dxa"/>
            <w:bottom w:w="0" w:type="dxa"/>
            <w:right w:w="0" w:type="dxa"/>
          </w:tblCellMar>
          <w:tblLook w:val="01E0"/>
        </w:tblPrEx>
        <w:trPr>
          <w:trHeight w:val="492"/>
          <w:jc w:val="left"/>
        </w:trPr>
        <w:tc>
          <w:tcPr>
            <w:tcW w:w="12647" w:type="dxa"/>
          </w:tcPr>
          <w:p>
            <w:pPr>
              <w:pStyle w:val="TableParagraph"/>
              <w:spacing w:before="150" w:line="322" w:lineRule="exact"/>
              <w:ind w:left="112" w:right="134"/>
              <w:jc w:val="center"/>
              <w:rPr>
                <w:b/>
                <w:sz w:val="30"/>
              </w:rPr>
            </w:pPr>
            <w:r>
              <w:rPr>
                <w:rFonts w:ascii="宋体" w:eastAsia="宋体" w:hint="eastAsia"/>
                <w:b/>
                <w:w w:val="90"/>
                <w:sz w:val="30"/>
              </w:rPr>
              <w:t>七、施工技术要求</w:t>
            </w:r>
            <w:r>
              <w:rPr>
                <w:b/>
                <w:w w:val="90"/>
                <w:sz w:val="30"/>
              </w:rPr>
              <w:t>.......................................................................................................................................</w:t>
            </w:r>
          </w:p>
        </w:tc>
        <w:tc>
          <w:tcPr>
            <w:tcW w:w="620" w:type="dxa"/>
          </w:tcPr>
          <w:p>
            <w:pPr>
              <w:pStyle w:val="TableParagraph"/>
              <w:spacing w:before="168" w:line="303" w:lineRule="exact"/>
              <w:ind w:left="32" w:right="13"/>
              <w:jc w:val="center"/>
              <w:rPr>
                <w:b/>
                <w:sz w:val="30"/>
              </w:rPr>
            </w:pPr>
            <w:r>
              <w:rPr>
                <w:b/>
                <w:sz w:val="30"/>
              </w:rPr>
              <w:t>- 6 -</w:t>
            </w:r>
          </w:p>
        </w:tc>
      </w:tr>
    </w:tbl>
    <w:p>
      <w:pPr>
        <w:pStyle w:val="BodyText"/>
        <w:spacing w:before="9"/>
        <w:rPr>
          <w:rFonts w:ascii="幼圆"/>
          <w:sz w:val="16"/>
        </w:rPr>
      </w:pPr>
    </w:p>
    <w:p>
      <w:pPr>
        <w:tabs>
          <w:tab w:val="left" w:leader="dot" w:pos="13026"/>
        </w:tabs>
        <w:spacing w:before="92"/>
        <w:ind w:left="890" w:right="0" w:firstLine="0"/>
        <w:jc w:val="left"/>
        <w:rPr>
          <w:rFonts w:ascii="Arial" w:eastAsia="Arial"/>
          <w:sz w:val="30"/>
        </w:rPr>
      </w:pPr>
      <w:r>
        <w:rPr>
          <w:sz w:val="30"/>
        </w:rPr>
        <w:t>1、取源部件的安装</w:t>
        <w:tab/>
      </w:r>
      <w:r>
        <w:rPr>
          <w:rFonts w:ascii="Arial" w:eastAsia="Arial"/>
          <w:sz w:val="30"/>
        </w:rPr>
        <w:t>. - 6</w:t>
      </w:r>
      <w:r>
        <w:rPr>
          <w:rFonts w:ascii="Arial" w:eastAsia="Arial"/>
          <w:spacing w:val="11"/>
          <w:sz w:val="30"/>
        </w:rPr>
        <w:t xml:space="preserve"> </w:t>
      </w:r>
      <w:r>
        <w:rPr>
          <w:rFonts w:ascii="Arial" w:eastAsia="Arial"/>
          <w:sz w:val="30"/>
        </w:rPr>
        <w:t>-</w:t>
      </w:r>
    </w:p>
    <w:p>
      <w:pPr>
        <w:spacing w:before="83"/>
        <w:ind w:left="890" w:right="0" w:firstLine="0"/>
        <w:jc w:val="left"/>
        <w:rPr>
          <w:rFonts w:ascii="Arial" w:eastAsia="Arial"/>
          <w:sz w:val="30"/>
        </w:rPr>
      </w:pPr>
      <w:r>
        <w:rPr>
          <w:w w:val="90"/>
          <w:sz w:val="30"/>
        </w:rPr>
        <w:t>2、仪表盘（箱、操作台）</w:t>
      </w:r>
      <w:r>
        <w:rPr>
          <w:spacing w:val="16"/>
          <w:w w:val="90"/>
          <w:sz w:val="30"/>
        </w:rPr>
        <w:t xml:space="preserve">的安装 </w:t>
      </w:r>
      <w:r>
        <w:rPr>
          <w:rFonts w:ascii="Arial" w:eastAsia="Arial"/>
          <w:w w:val="90"/>
          <w:sz w:val="30"/>
        </w:rPr>
        <w:t>.........................................................................................................  -  7</w:t>
      </w:r>
      <w:r>
        <w:rPr>
          <w:rFonts w:ascii="Arial" w:eastAsia="Arial"/>
          <w:spacing w:val="32"/>
          <w:w w:val="90"/>
          <w:sz w:val="30"/>
        </w:rPr>
        <w:t xml:space="preserve"> -</w:t>
      </w:r>
    </w:p>
    <w:p>
      <w:pPr>
        <w:spacing w:before="84"/>
        <w:ind w:left="890" w:right="0" w:firstLine="0"/>
        <w:jc w:val="left"/>
        <w:rPr>
          <w:rFonts w:ascii="Arial" w:eastAsia="Arial"/>
          <w:sz w:val="30"/>
        </w:rPr>
      </w:pPr>
      <w:r>
        <w:rPr>
          <w:w w:val="90"/>
          <w:sz w:val="30"/>
        </w:rPr>
        <w:t>3</w:t>
      </w:r>
      <w:r>
        <w:rPr>
          <w:spacing w:val="4"/>
          <w:w w:val="90"/>
          <w:sz w:val="30"/>
        </w:rPr>
        <w:t>、仪表设备的安装</w:t>
      </w:r>
      <w:r>
        <w:rPr>
          <w:rFonts w:ascii="Arial" w:eastAsia="Arial"/>
          <w:w w:val="90"/>
          <w:sz w:val="30"/>
        </w:rPr>
        <w:t>................................................................................................................................. -   8</w:t>
      </w:r>
      <w:r>
        <w:rPr>
          <w:rFonts w:ascii="Arial" w:eastAsia="Arial"/>
          <w:spacing w:val="17"/>
          <w:w w:val="90"/>
          <w:sz w:val="30"/>
        </w:rPr>
        <w:t xml:space="preserve"> -</w:t>
      </w:r>
    </w:p>
    <w:p>
      <w:pPr>
        <w:spacing w:before="84"/>
        <w:ind w:left="890" w:right="0" w:firstLine="0"/>
        <w:jc w:val="left"/>
        <w:rPr>
          <w:rFonts w:ascii="Arial" w:eastAsia="Arial"/>
          <w:sz w:val="30"/>
        </w:rPr>
      </w:pPr>
      <w:r>
        <w:rPr>
          <w:w w:val="90"/>
          <w:sz w:val="30"/>
        </w:rPr>
        <w:t>4</w:t>
      </w:r>
      <w:r>
        <w:rPr>
          <w:spacing w:val="4"/>
          <w:w w:val="90"/>
          <w:sz w:val="30"/>
        </w:rPr>
        <w:t>、仪表用管路的敷设</w:t>
      </w:r>
      <w:r>
        <w:rPr>
          <w:rFonts w:ascii="Arial" w:eastAsia="Arial"/>
          <w:w w:val="90"/>
          <w:sz w:val="30"/>
        </w:rPr>
        <w:t>............................................................................................................................. -   9</w:t>
      </w:r>
      <w:r>
        <w:rPr>
          <w:rFonts w:ascii="Arial" w:eastAsia="Arial"/>
          <w:spacing w:val="21"/>
          <w:w w:val="90"/>
          <w:sz w:val="30"/>
        </w:rPr>
        <w:t xml:space="preserve"> -</w:t>
      </w:r>
    </w:p>
    <w:p>
      <w:pPr>
        <w:pStyle w:val="BodyText"/>
        <w:spacing w:before="11"/>
        <w:rPr>
          <w:rFonts w:ascii="Arial"/>
          <w:sz w:val="7"/>
        </w:rPr>
      </w:pPr>
    </w:p>
    <w:tbl>
      <w:tblPr>
        <w:tblStyle w:val="TableNormal0"/>
        <w:tblW w:w="0" w:type="auto"/>
        <w:jc w:val="left"/>
        <w:tblInd w:w="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67"/>
        <w:gridCol w:w="803"/>
      </w:tblGrid>
      <w:tr>
        <w:tblPrEx>
          <w:tblW w:w="0" w:type="auto"/>
          <w:jc w:val="left"/>
          <w:tblInd w:w="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1"/>
          <w:jc w:val="left"/>
        </w:trPr>
        <w:tc>
          <w:tcPr>
            <w:tcW w:w="12467" w:type="dxa"/>
          </w:tcPr>
          <w:p>
            <w:pPr>
              <w:pStyle w:val="TableParagraph"/>
              <w:spacing w:line="376" w:lineRule="exact"/>
              <w:ind w:right="47"/>
              <w:jc w:val="right"/>
              <w:rPr>
                <w:sz w:val="30"/>
              </w:rPr>
            </w:pPr>
            <w:r>
              <w:rPr>
                <w:rFonts w:ascii="宋体" w:eastAsia="宋体" w:hint="eastAsia"/>
                <w:w w:val="90"/>
                <w:sz w:val="30"/>
              </w:rPr>
              <w:t>5、仪表调试</w:t>
            </w:r>
            <w:r>
              <w:rPr>
                <w:w w:val="90"/>
                <w:sz w:val="30"/>
              </w:rPr>
              <w:t>...........................................................................................................................................</w:t>
            </w:r>
          </w:p>
        </w:tc>
        <w:tc>
          <w:tcPr>
            <w:tcW w:w="803" w:type="dxa"/>
          </w:tcPr>
          <w:p>
            <w:pPr>
              <w:pStyle w:val="TableParagraph"/>
              <w:spacing w:before="10"/>
              <w:ind w:right="48"/>
              <w:jc w:val="right"/>
              <w:rPr>
                <w:sz w:val="30"/>
              </w:rPr>
            </w:pPr>
            <w:r>
              <w:rPr>
                <w:sz w:val="30"/>
              </w:rPr>
              <w:t>- 10</w:t>
            </w:r>
            <w:r>
              <w:rPr>
                <w:spacing w:val="-57"/>
                <w:sz w:val="30"/>
              </w:rPr>
              <w:t xml:space="preserve"> </w:t>
            </w:r>
            <w:r>
              <w:rPr>
                <w:sz w:val="30"/>
              </w:rPr>
              <w:t>-</w:t>
            </w:r>
          </w:p>
        </w:tc>
      </w:tr>
      <w:tr>
        <w:tblPrEx>
          <w:tblW w:w="0" w:type="auto"/>
          <w:jc w:val="left"/>
          <w:tblInd w:w="530" w:type="dxa"/>
          <w:tblLayout w:type="fixed"/>
          <w:tblCellMar>
            <w:top w:w="0" w:type="dxa"/>
            <w:left w:w="0" w:type="dxa"/>
            <w:bottom w:w="0" w:type="dxa"/>
            <w:right w:w="0" w:type="dxa"/>
          </w:tblCellMar>
          <w:tblLook w:val="01E0"/>
        </w:tblPrEx>
        <w:trPr>
          <w:trHeight w:val="468"/>
          <w:jc w:val="left"/>
        </w:trPr>
        <w:tc>
          <w:tcPr>
            <w:tcW w:w="12467" w:type="dxa"/>
          </w:tcPr>
          <w:p>
            <w:pPr>
              <w:pStyle w:val="TableParagraph"/>
              <w:spacing w:before="59"/>
              <w:ind w:right="36"/>
              <w:jc w:val="right"/>
              <w:rPr>
                <w:sz w:val="30"/>
              </w:rPr>
            </w:pPr>
            <w:r>
              <w:rPr>
                <w:rFonts w:ascii="宋体" w:eastAsia="宋体" w:hint="eastAsia"/>
                <w:w w:val="90"/>
                <w:sz w:val="30"/>
              </w:rPr>
              <w:t>6、电缆桥架的安装</w:t>
            </w:r>
            <w:r>
              <w:rPr>
                <w:w w:val="90"/>
                <w:sz w:val="30"/>
              </w:rPr>
              <w:t>...............................................................................................................................</w:t>
            </w:r>
          </w:p>
        </w:tc>
        <w:tc>
          <w:tcPr>
            <w:tcW w:w="803" w:type="dxa"/>
          </w:tcPr>
          <w:p>
            <w:pPr>
              <w:pStyle w:val="TableParagraph"/>
              <w:spacing w:before="77"/>
              <w:ind w:right="48"/>
              <w:jc w:val="right"/>
              <w:rPr>
                <w:sz w:val="30"/>
              </w:rPr>
            </w:pPr>
            <w:r>
              <w:rPr>
                <w:sz w:val="30"/>
              </w:rPr>
              <w:t>- 10 -</w:t>
            </w:r>
          </w:p>
        </w:tc>
      </w:tr>
      <w:tr>
        <w:tblPrEx>
          <w:tblW w:w="0" w:type="auto"/>
          <w:jc w:val="left"/>
          <w:tblInd w:w="530" w:type="dxa"/>
          <w:tblLayout w:type="fixed"/>
          <w:tblCellMar>
            <w:top w:w="0" w:type="dxa"/>
            <w:left w:w="0" w:type="dxa"/>
            <w:bottom w:w="0" w:type="dxa"/>
            <w:right w:w="0" w:type="dxa"/>
          </w:tblCellMar>
          <w:tblLook w:val="01E0"/>
        </w:tblPrEx>
        <w:trPr>
          <w:trHeight w:val="467"/>
          <w:jc w:val="left"/>
        </w:trPr>
        <w:tc>
          <w:tcPr>
            <w:tcW w:w="12467" w:type="dxa"/>
          </w:tcPr>
          <w:p>
            <w:pPr>
              <w:pStyle w:val="TableParagraph"/>
              <w:spacing w:before="58"/>
              <w:ind w:right="36"/>
              <w:jc w:val="right"/>
              <w:rPr>
                <w:sz w:val="30"/>
              </w:rPr>
            </w:pPr>
            <w:r>
              <w:rPr>
                <w:rFonts w:ascii="宋体" w:eastAsia="宋体" w:hint="eastAsia"/>
                <w:w w:val="90"/>
                <w:sz w:val="30"/>
              </w:rPr>
              <w:t>7、配管及管内穿线</w:t>
            </w:r>
            <w:r>
              <w:rPr>
                <w:w w:val="90"/>
                <w:sz w:val="30"/>
              </w:rPr>
              <w:t>...............................................................................................................................</w:t>
            </w:r>
          </w:p>
        </w:tc>
        <w:tc>
          <w:tcPr>
            <w:tcW w:w="803" w:type="dxa"/>
          </w:tcPr>
          <w:p>
            <w:pPr>
              <w:pStyle w:val="TableParagraph"/>
              <w:spacing w:before="77"/>
              <w:ind w:right="48"/>
              <w:jc w:val="right"/>
              <w:rPr>
                <w:sz w:val="30"/>
              </w:rPr>
            </w:pPr>
            <w:r>
              <w:rPr>
                <w:sz w:val="30"/>
              </w:rPr>
              <w:t>- 10 -</w:t>
            </w:r>
          </w:p>
        </w:tc>
      </w:tr>
      <w:tr>
        <w:tblPrEx>
          <w:tblW w:w="0" w:type="auto"/>
          <w:jc w:val="left"/>
          <w:tblInd w:w="530" w:type="dxa"/>
          <w:tblLayout w:type="fixed"/>
          <w:tblCellMar>
            <w:top w:w="0" w:type="dxa"/>
            <w:left w:w="0" w:type="dxa"/>
            <w:bottom w:w="0" w:type="dxa"/>
            <w:right w:w="0" w:type="dxa"/>
          </w:tblCellMar>
          <w:tblLook w:val="01E0"/>
        </w:tblPrEx>
        <w:trPr>
          <w:trHeight w:val="467"/>
          <w:jc w:val="left"/>
        </w:trPr>
        <w:tc>
          <w:tcPr>
            <w:tcW w:w="12467" w:type="dxa"/>
          </w:tcPr>
          <w:p>
            <w:pPr>
              <w:pStyle w:val="TableParagraph"/>
              <w:spacing w:before="58"/>
              <w:ind w:right="36"/>
              <w:jc w:val="right"/>
              <w:rPr>
                <w:sz w:val="30"/>
              </w:rPr>
            </w:pPr>
            <w:r>
              <w:rPr>
                <w:rFonts w:ascii="宋体" w:eastAsia="宋体" w:hint="eastAsia"/>
                <w:w w:val="90"/>
                <w:sz w:val="30"/>
              </w:rPr>
              <w:t>8、电缆敷设及接线</w:t>
            </w:r>
            <w:r>
              <w:rPr>
                <w:w w:val="90"/>
                <w:sz w:val="30"/>
              </w:rPr>
              <w:t>...............................................................................................................................</w:t>
            </w:r>
          </w:p>
        </w:tc>
        <w:tc>
          <w:tcPr>
            <w:tcW w:w="803" w:type="dxa"/>
          </w:tcPr>
          <w:p>
            <w:pPr>
              <w:pStyle w:val="TableParagraph"/>
              <w:spacing w:before="77"/>
              <w:ind w:right="48"/>
              <w:jc w:val="right"/>
              <w:rPr>
                <w:sz w:val="30"/>
              </w:rPr>
            </w:pPr>
            <w:r>
              <w:rPr>
                <w:sz w:val="30"/>
              </w:rPr>
              <w:t>- 11</w:t>
            </w:r>
            <w:r>
              <w:rPr>
                <w:spacing w:val="-68"/>
                <w:sz w:val="30"/>
              </w:rPr>
              <w:t xml:space="preserve"> </w:t>
            </w:r>
            <w:r>
              <w:rPr>
                <w:sz w:val="30"/>
              </w:rPr>
              <w:t>-</w:t>
            </w:r>
          </w:p>
        </w:tc>
      </w:tr>
      <w:tr>
        <w:tblPrEx>
          <w:tblW w:w="0" w:type="auto"/>
          <w:jc w:val="left"/>
          <w:tblInd w:w="530" w:type="dxa"/>
          <w:tblLayout w:type="fixed"/>
          <w:tblCellMar>
            <w:top w:w="0" w:type="dxa"/>
            <w:left w:w="0" w:type="dxa"/>
            <w:bottom w:w="0" w:type="dxa"/>
            <w:right w:w="0" w:type="dxa"/>
          </w:tblCellMar>
          <w:tblLook w:val="01E0"/>
        </w:tblPrEx>
        <w:trPr>
          <w:trHeight w:val="467"/>
          <w:jc w:val="left"/>
        </w:trPr>
        <w:tc>
          <w:tcPr>
            <w:tcW w:w="12467" w:type="dxa"/>
          </w:tcPr>
          <w:p>
            <w:pPr>
              <w:pStyle w:val="TableParagraph"/>
              <w:spacing w:before="58"/>
              <w:ind w:right="17"/>
              <w:jc w:val="right"/>
              <w:rPr>
                <w:sz w:val="30"/>
              </w:rPr>
            </w:pPr>
            <w:r>
              <w:rPr>
                <w:rFonts w:ascii="宋体" w:eastAsia="宋体" w:hint="eastAsia"/>
                <w:w w:val="90"/>
                <w:sz w:val="30"/>
              </w:rPr>
              <w:t>9 冬季电缆敷设施工应注意事项</w:t>
            </w:r>
            <w:r>
              <w:rPr>
                <w:w w:val="90"/>
                <w:sz w:val="30"/>
              </w:rPr>
              <w:t>..........................................................................................................</w:t>
            </w:r>
          </w:p>
        </w:tc>
        <w:tc>
          <w:tcPr>
            <w:tcW w:w="803" w:type="dxa"/>
          </w:tcPr>
          <w:p>
            <w:pPr>
              <w:pStyle w:val="TableParagraph"/>
              <w:spacing w:before="77"/>
              <w:ind w:right="48"/>
              <w:jc w:val="right"/>
              <w:rPr>
                <w:sz w:val="30"/>
              </w:rPr>
            </w:pPr>
            <w:r>
              <w:rPr>
                <w:sz w:val="30"/>
              </w:rPr>
              <w:t>- 11 -</w:t>
            </w:r>
          </w:p>
        </w:tc>
      </w:tr>
      <w:tr>
        <w:tblPrEx>
          <w:tblW w:w="0" w:type="auto"/>
          <w:jc w:val="left"/>
          <w:tblInd w:w="530" w:type="dxa"/>
          <w:tblLayout w:type="fixed"/>
          <w:tblCellMar>
            <w:top w:w="0" w:type="dxa"/>
            <w:left w:w="0" w:type="dxa"/>
            <w:bottom w:w="0" w:type="dxa"/>
            <w:right w:w="0" w:type="dxa"/>
          </w:tblCellMar>
          <w:tblLook w:val="01E0"/>
        </w:tblPrEx>
        <w:trPr>
          <w:trHeight w:val="467"/>
          <w:jc w:val="left"/>
        </w:trPr>
        <w:tc>
          <w:tcPr>
            <w:tcW w:w="12467" w:type="dxa"/>
          </w:tcPr>
          <w:p>
            <w:pPr>
              <w:pStyle w:val="TableParagraph"/>
              <w:spacing w:before="58"/>
              <w:ind w:right="52"/>
              <w:jc w:val="right"/>
              <w:rPr>
                <w:sz w:val="30"/>
              </w:rPr>
            </w:pPr>
            <w:r>
              <w:rPr>
                <w:w w:val="90"/>
                <w:sz w:val="30"/>
              </w:rPr>
              <w:t>10</w:t>
            </w:r>
            <w:r>
              <w:rPr>
                <w:rFonts w:ascii="宋体" w:eastAsia="宋体" w:hint="eastAsia"/>
                <w:w w:val="90"/>
                <w:sz w:val="30"/>
              </w:rPr>
              <w:t>、脱脂</w:t>
            </w:r>
            <w:r>
              <w:rPr>
                <w:w w:val="90"/>
                <w:sz w:val="30"/>
              </w:rPr>
              <w:t>.................................................................................................................................................</w:t>
            </w:r>
          </w:p>
        </w:tc>
        <w:tc>
          <w:tcPr>
            <w:tcW w:w="803" w:type="dxa"/>
          </w:tcPr>
          <w:p>
            <w:pPr>
              <w:pStyle w:val="TableParagraph"/>
              <w:spacing w:before="77"/>
              <w:ind w:right="48"/>
              <w:jc w:val="right"/>
              <w:rPr>
                <w:sz w:val="30"/>
              </w:rPr>
            </w:pPr>
            <w:r>
              <w:rPr>
                <w:sz w:val="30"/>
              </w:rPr>
              <w:t>- 12</w:t>
            </w:r>
            <w:r>
              <w:rPr>
                <w:spacing w:val="-52"/>
                <w:sz w:val="30"/>
              </w:rPr>
              <w:t xml:space="preserve"> </w:t>
            </w:r>
            <w:r>
              <w:rPr>
                <w:sz w:val="30"/>
              </w:rPr>
              <w:t>-</w:t>
            </w:r>
          </w:p>
        </w:tc>
      </w:tr>
      <w:tr>
        <w:tblPrEx>
          <w:tblW w:w="0" w:type="auto"/>
          <w:jc w:val="left"/>
          <w:tblInd w:w="530" w:type="dxa"/>
          <w:tblLayout w:type="fixed"/>
          <w:tblCellMar>
            <w:top w:w="0" w:type="dxa"/>
            <w:left w:w="0" w:type="dxa"/>
            <w:bottom w:w="0" w:type="dxa"/>
            <w:right w:w="0" w:type="dxa"/>
          </w:tblCellMar>
          <w:tblLook w:val="01E0"/>
        </w:tblPrEx>
        <w:trPr>
          <w:trHeight w:val="556"/>
          <w:jc w:val="left"/>
        </w:trPr>
        <w:tc>
          <w:tcPr>
            <w:tcW w:w="12467" w:type="dxa"/>
          </w:tcPr>
          <w:p>
            <w:pPr>
              <w:pStyle w:val="TableParagraph"/>
              <w:spacing w:before="58"/>
              <w:ind w:right="45"/>
              <w:jc w:val="right"/>
              <w:rPr>
                <w:sz w:val="30"/>
              </w:rPr>
            </w:pPr>
            <w:r>
              <w:rPr>
                <w:w w:val="90"/>
                <w:sz w:val="30"/>
              </w:rPr>
              <w:t>11</w:t>
            </w:r>
            <w:r>
              <w:rPr>
                <w:rFonts w:ascii="宋体" w:eastAsia="宋体" w:hint="eastAsia"/>
                <w:w w:val="90"/>
                <w:sz w:val="30"/>
              </w:rPr>
              <w:t>．脱脂方法</w:t>
            </w:r>
            <w:r>
              <w:rPr>
                <w:w w:val="90"/>
                <w:sz w:val="30"/>
              </w:rPr>
              <w:t>.........................................................................................................................................</w:t>
            </w:r>
          </w:p>
        </w:tc>
        <w:tc>
          <w:tcPr>
            <w:tcW w:w="803" w:type="dxa"/>
          </w:tcPr>
          <w:p>
            <w:pPr>
              <w:pStyle w:val="TableParagraph"/>
              <w:spacing w:before="77"/>
              <w:ind w:right="48"/>
              <w:jc w:val="right"/>
              <w:rPr>
                <w:sz w:val="30"/>
              </w:rPr>
            </w:pPr>
            <w:r>
              <w:rPr>
                <w:sz w:val="30"/>
              </w:rPr>
              <w:t>- 12</w:t>
            </w:r>
            <w:r>
              <w:rPr>
                <w:spacing w:val="-59"/>
                <w:sz w:val="30"/>
              </w:rPr>
              <w:t xml:space="preserve"> </w:t>
            </w:r>
            <w:r>
              <w:rPr>
                <w:sz w:val="30"/>
              </w:rPr>
              <w:t>-</w:t>
            </w:r>
          </w:p>
        </w:tc>
      </w:tr>
      <w:tr>
        <w:tblPrEx>
          <w:tblW w:w="0" w:type="auto"/>
          <w:jc w:val="left"/>
          <w:tblInd w:w="530" w:type="dxa"/>
          <w:tblLayout w:type="fixed"/>
          <w:tblCellMar>
            <w:top w:w="0" w:type="dxa"/>
            <w:left w:w="0" w:type="dxa"/>
            <w:bottom w:w="0" w:type="dxa"/>
            <w:right w:w="0" w:type="dxa"/>
          </w:tblCellMar>
          <w:tblLook w:val="01E0"/>
        </w:tblPrEx>
        <w:trPr>
          <w:trHeight w:val="647"/>
          <w:jc w:val="left"/>
        </w:trPr>
        <w:tc>
          <w:tcPr>
            <w:tcW w:w="12467" w:type="dxa"/>
          </w:tcPr>
          <w:p>
            <w:pPr>
              <w:pStyle w:val="TableParagraph"/>
              <w:spacing w:before="150"/>
              <w:ind w:right="43"/>
              <w:jc w:val="right"/>
              <w:rPr>
                <w:b/>
                <w:sz w:val="30"/>
              </w:rPr>
            </w:pPr>
            <w:r>
              <w:rPr>
                <w:rFonts w:ascii="宋体" w:eastAsia="宋体" w:hint="eastAsia"/>
                <w:b/>
                <w:w w:val="90"/>
                <w:sz w:val="30"/>
              </w:rPr>
              <w:t>八、质量保证措施</w:t>
            </w:r>
            <w:r>
              <w:rPr>
                <w:b/>
                <w:w w:val="90"/>
                <w:sz w:val="30"/>
              </w:rPr>
              <w:t>.....................................................................................................................................</w:t>
            </w:r>
          </w:p>
        </w:tc>
        <w:tc>
          <w:tcPr>
            <w:tcW w:w="803" w:type="dxa"/>
          </w:tcPr>
          <w:p>
            <w:pPr>
              <w:pStyle w:val="TableParagraph"/>
              <w:spacing w:before="168"/>
              <w:ind w:right="53"/>
              <w:jc w:val="right"/>
              <w:rPr>
                <w:b/>
                <w:sz w:val="30"/>
              </w:rPr>
            </w:pPr>
            <w:r>
              <w:rPr>
                <w:b/>
                <w:sz w:val="30"/>
              </w:rPr>
              <w:t>- 13</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7"/>
          <w:jc w:val="left"/>
        </w:trPr>
        <w:tc>
          <w:tcPr>
            <w:tcW w:w="12467" w:type="dxa"/>
          </w:tcPr>
          <w:p>
            <w:pPr>
              <w:pStyle w:val="TableParagraph"/>
              <w:spacing w:before="150"/>
              <w:ind w:right="43"/>
              <w:jc w:val="right"/>
              <w:rPr>
                <w:b/>
                <w:sz w:val="30"/>
              </w:rPr>
            </w:pPr>
            <w:r>
              <w:rPr>
                <w:rFonts w:ascii="宋体" w:eastAsia="宋体" w:hint="eastAsia"/>
                <w:b/>
                <w:w w:val="90"/>
                <w:sz w:val="30"/>
              </w:rPr>
              <w:t>九、质量保证体系</w:t>
            </w:r>
            <w:r>
              <w:rPr>
                <w:b/>
                <w:w w:val="90"/>
                <w:sz w:val="30"/>
              </w:rPr>
              <w:t>.....................................................................................................................................</w:t>
            </w:r>
          </w:p>
        </w:tc>
        <w:tc>
          <w:tcPr>
            <w:tcW w:w="803" w:type="dxa"/>
          </w:tcPr>
          <w:p>
            <w:pPr>
              <w:pStyle w:val="TableParagraph"/>
              <w:spacing w:before="168"/>
              <w:ind w:right="53"/>
              <w:jc w:val="right"/>
              <w:rPr>
                <w:b/>
                <w:sz w:val="30"/>
              </w:rPr>
            </w:pPr>
            <w:r>
              <w:rPr>
                <w:b/>
                <w:sz w:val="30"/>
              </w:rPr>
              <w:t>- 13</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467" w:type="dxa"/>
          </w:tcPr>
          <w:p>
            <w:pPr>
              <w:pStyle w:val="TableParagraph"/>
              <w:spacing w:before="150"/>
              <w:ind w:right="43"/>
              <w:jc w:val="right"/>
              <w:rPr>
                <w:b/>
                <w:sz w:val="30"/>
              </w:rPr>
            </w:pPr>
            <w:r>
              <w:rPr>
                <w:rFonts w:ascii="宋体" w:eastAsia="宋体" w:hint="eastAsia"/>
                <w:b/>
                <w:w w:val="90"/>
                <w:sz w:val="30"/>
              </w:rPr>
              <w:t>十、技术保证措施</w:t>
            </w:r>
            <w:r>
              <w:rPr>
                <w:b/>
                <w:w w:val="90"/>
                <w:sz w:val="30"/>
              </w:rPr>
              <w:t>.....................................................................................................................................</w:t>
            </w:r>
          </w:p>
        </w:tc>
        <w:tc>
          <w:tcPr>
            <w:tcW w:w="803" w:type="dxa"/>
          </w:tcPr>
          <w:p>
            <w:pPr>
              <w:pStyle w:val="TableParagraph"/>
              <w:spacing w:before="168"/>
              <w:ind w:right="53"/>
              <w:jc w:val="right"/>
              <w:rPr>
                <w:b/>
                <w:sz w:val="30"/>
              </w:rPr>
            </w:pPr>
            <w:r>
              <w:rPr>
                <w:b/>
                <w:sz w:val="30"/>
              </w:rPr>
              <w:t>- 16</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467" w:type="dxa"/>
          </w:tcPr>
          <w:p>
            <w:pPr>
              <w:pStyle w:val="TableParagraph"/>
              <w:spacing w:before="150"/>
              <w:ind w:right="38"/>
              <w:jc w:val="right"/>
              <w:rPr>
                <w:b/>
                <w:sz w:val="30"/>
              </w:rPr>
            </w:pPr>
            <w:r>
              <w:rPr>
                <w:rFonts w:ascii="宋体" w:eastAsia="宋体" w:hint="eastAsia"/>
                <w:b/>
                <w:w w:val="90"/>
                <w:sz w:val="30"/>
              </w:rPr>
              <w:t>十一、安全保证措施</w:t>
            </w:r>
            <w:r>
              <w:rPr>
                <w:b/>
                <w:w w:val="90"/>
                <w:sz w:val="30"/>
              </w:rPr>
              <w:t>.................................................................................................................................</w:t>
            </w:r>
          </w:p>
        </w:tc>
        <w:tc>
          <w:tcPr>
            <w:tcW w:w="803" w:type="dxa"/>
          </w:tcPr>
          <w:p>
            <w:pPr>
              <w:pStyle w:val="TableParagraph"/>
              <w:spacing w:before="169"/>
              <w:ind w:right="53"/>
              <w:jc w:val="right"/>
              <w:rPr>
                <w:b/>
                <w:sz w:val="30"/>
              </w:rPr>
            </w:pPr>
            <w:r>
              <w:rPr>
                <w:b/>
                <w:sz w:val="30"/>
              </w:rPr>
              <w:t>- 17</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7"/>
          <w:jc w:val="left"/>
        </w:trPr>
        <w:tc>
          <w:tcPr>
            <w:tcW w:w="12467" w:type="dxa"/>
          </w:tcPr>
          <w:p>
            <w:pPr>
              <w:pStyle w:val="TableParagraph"/>
              <w:spacing w:before="150"/>
              <w:ind w:right="31"/>
              <w:jc w:val="right"/>
              <w:rPr>
                <w:b/>
                <w:sz w:val="30"/>
              </w:rPr>
            </w:pPr>
            <w:r>
              <w:rPr>
                <w:rFonts w:ascii="宋体" w:eastAsia="宋体" w:hint="eastAsia"/>
                <w:b/>
                <w:w w:val="90"/>
                <w:sz w:val="30"/>
              </w:rPr>
              <w:t xml:space="preserve">十二、冬季安全技术措施 </w:t>
            </w:r>
            <w:r>
              <w:rPr>
                <w:b/>
                <w:w w:val="90"/>
                <w:sz w:val="30"/>
              </w:rPr>
              <w:t>.........................................................................................................................</w:t>
            </w:r>
          </w:p>
        </w:tc>
        <w:tc>
          <w:tcPr>
            <w:tcW w:w="803" w:type="dxa"/>
          </w:tcPr>
          <w:p>
            <w:pPr>
              <w:pStyle w:val="TableParagraph"/>
              <w:spacing w:before="168"/>
              <w:ind w:right="53"/>
              <w:jc w:val="right"/>
              <w:rPr>
                <w:b/>
                <w:sz w:val="30"/>
              </w:rPr>
            </w:pPr>
            <w:r>
              <w:rPr>
                <w:b/>
                <w:sz w:val="30"/>
              </w:rPr>
              <w:t>- 18</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467" w:type="dxa"/>
          </w:tcPr>
          <w:p>
            <w:pPr>
              <w:pStyle w:val="TableParagraph"/>
              <w:spacing w:before="150"/>
              <w:ind w:right="31"/>
              <w:jc w:val="right"/>
              <w:rPr>
                <w:b/>
                <w:sz w:val="30"/>
              </w:rPr>
            </w:pPr>
            <w:r>
              <w:rPr>
                <w:rFonts w:ascii="宋体" w:eastAsia="宋体" w:hint="eastAsia"/>
                <w:b/>
                <w:w w:val="90"/>
                <w:sz w:val="30"/>
              </w:rPr>
              <w:t xml:space="preserve">十三、高处作业技术措施 </w:t>
            </w:r>
            <w:r>
              <w:rPr>
                <w:b/>
                <w:w w:val="90"/>
                <w:sz w:val="30"/>
              </w:rPr>
              <w:t>.........................................................................................................................</w:t>
            </w:r>
          </w:p>
        </w:tc>
        <w:tc>
          <w:tcPr>
            <w:tcW w:w="803" w:type="dxa"/>
          </w:tcPr>
          <w:p>
            <w:pPr>
              <w:pStyle w:val="TableParagraph"/>
              <w:spacing w:before="168"/>
              <w:ind w:right="53"/>
              <w:jc w:val="right"/>
              <w:rPr>
                <w:b/>
                <w:sz w:val="30"/>
              </w:rPr>
            </w:pPr>
            <w:r>
              <w:rPr>
                <w:b/>
                <w:sz w:val="30"/>
              </w:rPr>
              <w:t>- 19</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467" w:type="dxa"/>
          </w:tcPr>
          <w:p>
            <w:pPr>
              <w:pStyle w:val="TableParagraph"/>
              <w:spacing w:before="150"/>
              <w:ind w:right="52"/>
              <w:jc w:val="right"/>
              <w:rPr>
                <w:b/>
                <w:sz w:val="30"/>
              </w:rPr>
            </w:pPr>
            <w:r>
              <w:rPr>
                <w:b/>
                <w:w w:val="90"/>
                <w:sz w:val="30"/>
              </w:rPr>
              <w:t>1</w:t>
            </w:r>
            <w:r>
              <w:rPr>
                <w:rFonts w:ascii="宋体" w:eastAsia="宋体" w:hint="eastAsia"/>
                <w:b/>
                <w:w w:val="90"/>
                <w:sz w:val="30"/>
              </w:rPr>
              <w:t>、防冻措施</w:t>
            </w:r>
            <w:r>
              <w:rPr>
                <w:b/>
                <w:w w:val="90"/>
                <w:sz w:val="30"/>
              </w:rPr>
              <w:t>...............................................................................................................................................</w:t>
            </w:r>
          </w:p>
        </w:tc>
        <w:tc>
          <w:tcPr>
            <w:tcW w:w="803" w:type="dxa"/>
          </w:tcPr>
          <w:p>
            <w:pPr>
              <w:pStyle w:val="TableParagraph"/>
              <w:spacing w:before="168"/>
              <w:ind w:right="53"/>
              <w:jc w:val="right"/>
              <w:rPr>
                <w:b/>
                <w:sz w:val="30"/>
              </w:rPr>
            </w:pPr>
            <w:r>
              <w:rPr>
                <w:b/>
                <w:sz w:val="30"/>
              </w:rPr>
              <w:t>- 20</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7"/>
          <w:jc w:val="left"/>
        </w:trPr>
        <w:tc>
          <w:tcPr>
            <w:tcW w:w="12467" w:type="dxa"/>
          </w:tcPr>
          <w:p>
            <w:pPr>
              <w:pStyle w:val="TableParagraph"/>
              <w:spacing w:before="150"/>
              <w:ind w:right="52"/>
              <w:jc w:val="right"/>
              <w:rPr>
                <w:b/>
                <w:sz w:val="30"/>
              </w:rPr>
            </w:pPr>
            <w:r>
              <w:rPr>
                <w:b/>
                <w:w w:val="90"/>
                <w:sz w:val="30"/>
              </w:rPr>
              <w:t>2</w:t>
            </w:r>
            <w:r>
              <w:rPr>
                <w:rFonts w:ascii="宋体" w:eastAsia="宋体" w:hint="eastAsia"/>
                <w:b/>
                <w:w w:val="90"/>
                <w:sz w:val="30"/>
              </w:rPr>
              <w:t>、防滑措施</w:t>
            </w:r>
            <w:r>
              <w:rPr>
                <w:b/>
                <w:w w:val="90"/>
                <w:sz w:val="30"/>
              </w:rPr>
              <w:t>...............................................................................................................................................</w:t>
            </w:r>
          </w:p>
        </w:tc>
        <w:tc>
          <w:tcPr>
            <w:tcW w:w="803" w:type="dxa"/>
          </w:tcPr>
          <w:p>
            <w:pPr>
              <w:pStyle w:val="TableParagraph"/>
              <w:spacing w:before="168"/>
              <w:ind w:right="53"/>
              <w:jc w:val="right"/>
              <w:rPr>
                <w:b/>
                <w:sz w:val="30"/>
              </w:rPr>
            </w:pPr>
            <w:r>
              <w:rPr>
                <w:b/>
                <w:sz w:val="30"/>
              </w:rPr>
              <w:t>- 20</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7"/>
          <w:jc w:val="left"/>
        </w:trPr>
        <w:tc>
          <w:tcPr>
            <w:tcW w:w="12467" w:type="dxa"/>
          </w:tcPr>
          <w:p>
            <w:pPr>
              <w:pStyle w:val="TableParagraph"/>
              <w:spacing w:before="150"/>
              <w:ind w:right="45"/>
              <w:jc w:val="right"/>
              <w:rPr>
                <w:b/>
                <w:sz w:val="30"/>
              </w:rPr>
            </w:pPr>
            <w:r>
              <w:rPr>
                <w:rFonts w:ascii="宋体" w:eastAsia="宋体" w:hint="eastAsia"/>
                <w:b/>
                <w:w w:val="90"/>
                <w:sz w:val="30"/>
              </w:rPr>
              <w:t>十四、产品防护</w:t>
            </w:r>
            <w:r>
              <w:rPr>
                <w:b/>
                <w:w w:val="90"/>
                <w:sz w:val="30"/>
              </w:rPr>
              <w:t>.........................................................................................................................................</w:t>
            </w:r>
          </w:p>
        </w:tc>
        <w:tc>
          <w:tcPr>
            <w:tcW w:w="803" w:type="dxa"/>
          </w:tcPr>
          <w:p>
            <w:pPr>
              <w:pStyle w:val="TableParagraph"/>
              <w:spacing w:before="168"/>
              <w:ind w:right="53"/>
              <w:jc w:val="right"/>
              <w:rPr>
                <w:b/>
                <w:sz w:val="30"/>
              </w:rPr>
            </w:pPr>
            <w:r>
              <w:rPr>
                <w:b/>
                <w:sz w:val="30"/>
              </w:rPr>
              <w:t>- 20</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7"/>
          <w:jc w:val="left"/>
        </w:trPr>
        <w:tc>
          <w:tcPr>
            <w:tcW w:w="12467" w:type="dxa"/>
          </w:tcPr>
          <w:p>
            <w:pPr>
              <w:pStyle w:val="TableParagraph"/>
              <w:spacing w:before="150"/>
              <w:ind w:right="24"/>
              <w:jc w:val="right"/>
              <w:rPr>
                <w:b/>
                <w:sz w:val="30"/>
              </w:rPr>
            </w:pPr>
            <w:r>
              <w:rPr>
                <w:rFonts w:ascii="宋体" w:eastAsia="宋体" w:hint="eastAsia"/>
                <w:b/>
                <w:w w:val="90"/>
                <w:sz w:val="30"/>
              </w:rPr>
              <w:t>十五、施工人员安排（附图）</w:t>
            </w:r>
            <w:r>
              <w:rPr>
                <w:rFonts w:ascii="宋体" w:eastAsia="宋体" w:hint="eastAsia"/>
                <w:b/>
                <w:spacing w:val="118"/>
                <w:w w:val="90"/>
                <w:sz w:val="30"/>
              </w:rPr>
              <w:t xml:space="preserve"> </w:t>
            </w:r>
            <w:r>
              <w:rPr>
                <w:b/>
                <w:w w:val="90"/>
                <w:sz w:val="30"/>
              </w:rPr>
              <w:t>.................................................................................................................</w:t>
            </w:r>
          </w:p>
        </w:tc>
        <w:tc>
          <w:tcPr>
            <w:tcW w:w="803" w:type="dxa"/>
          </w:tcPr>
          <w:p>
            <w:pPr>
              <w:pStyle w:val="TableParagraph"/>
              <w:spacing w:before="168"/>
              <w:ind w:right="53"/>
              <w:jc w:val="right"/>
              <w:rPr>
                <w:b/>
                <w:sz w:val="30"/>
              </w:rPr>
            </w:pPr>
            <w:r>
              <w:rPr>
                <w:b/>
                <w:sz w:val="30"/>
              </w:rPr>
              <w:t>- 22</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648"/>
          <w:jc w:val="left"/>
        </w:trPr>
        <w:tc>
          <w:tcPr>
            <w:tcW w:w="12467" w:type="dxa"/>
          </w:tcPr>
          <w:p>
            <w:pPr>
              <w:pStyle w:val="TableParagraph"/>
              <w:spacing w:before="150"/>
              <w:ind w:right="31"/>
              <w:jc w:val="right"/>
              <w:rPr>
                <w:b/>
                <w:sz w:val="30"/>
              </w:rPr>
            </w:pPr>
            <w:r>
              <w:rPr>
                <w:rFonts w:ascii="宋体" w:eastAsia="宋体" w:hint="eastAsia"/>
                <w:b/>
                <w:w w:val="90"/>
                <w:sz w:val="30"/>
              </w:rPr>
              <w:t xml:space="preserve">十六、施工用主要工机具 </w:t>
            </w:r>
            <w:r>
              <w:rPr>
                <w:b/>
                <w:w w:val="90"/>
                <w:sz w:val="30"/>
              </w:rPr>
              <w:t>.........................................................................................................................</w:t>
            </w:r>
          </w:p>
        </w:tc>
        <w:tc>
          <w:tcPr>
            <w:tcW w:w="803" w:type="dxa"/>
          </w:tcPr>
          <w:p>
            <w:pPr>
              <w:pStyle w:val="TableParagraph"/>
              <w:spacing w:before="168"/>
              <w:ind w:right="53"/>
              <w:jc w:val="right"/>
              <w:rPr>
                <w:b/>
                <w:sz w:val="30"/>
              </w:rPr>
            </w:pPr>
            <w:r>
              <w:rPr>
                <w:b/>
                <w:sz w:val="30"/>
              </w:rPr>
              <w:t>- 22</w:t>
            </w:r>
            <w:r>
              <w:rPr>
                <w:b/>
                <w:spacing w:val="-53"/>
                <w:sz w:val="30"/>
              </w:rPr>
              <w:t xml:space="preserve"> </w:t>
            </w:r>
            <w:r>
              <w:rPr>
                <w:b/>
                <w:sz w:val="30"/>
              </w:rPr>
              <w:t>-</w:t>
            </w:r>
          </w:p>
        </w:tc>
      </w:tr>
      <w:tr>
        <w:tblPrEx>
          <w:tblW w:w="0" w:type="auto"/>
          <w:jc w:val="left"/>
          <w:tblInd w:w="530" w:type="dxa"/>
          <w:tblLayout w:type="fixed"/>
          <w:tblCellMar>
            <w:top w:w="0" w:type="dxa"/>
            <w:left w:w="0" w:type="dxa"/>
            <w:bottom w:w="0" w:type="dxa"/>
            <w:right w:w="0" w:type="dxa"/>
          </w:tblCellMar>
          <w:tblLook w:val="01E0"/>
        </w:tblPrEx>
        <w:trPr>
          <w:trHeight w:val="492"/>
          <w:jc w:val="left"/>
        </w:trPr>
        <w:tc>
          <w:tcPr>
            <w:tcW w:w="12467" w:type="dxa"/>
          </w:tcPr>
          <w:p>
            <w:pPr>
              <w:pStyle w:val="TableParagraph"/>
              <w:spacing w:before="150" w:line="322" w:lineRule="exact"/>
              <w:ind w:right="45"/>
              <w:jc w:val="right"/>
              <w:rPr>
                <w:b/>
                <w:sz w:val="30"/>
              </w:rPr>
            </w:pPr>
            <w:r>
              <w:rPr>
                <w:rFonts w:ascii="宋体" w:eastAsia="宋体" w:hint="eastAsia"/>
                <w:b/>
                <w:w w:val="90"/>
                <w:sz w:val="30"/>
              </w:rPr>
              <w:t>十七、管理体系</w:t>
            </w:r>
            <w:r>
              <w:rPr>
                <w:b/>
                <w:w w:val="90"/>
                <w:sz w:val="30"/>
              </w:rPr>
              <w:t>.........................................................................................................................................</w:t>
            </w:r>
          </w:p>
        </w:tc>
        <w:tc>
          <w:tcPr>
            <w:tcW w:w="803" w:type="dxa"/>
          </w:tcPr>
          <w:p>
            <w:pPr>
              <w:pStyle w:val="TableParagraph"/>
              <w:spacing w:before="169" w:line="303" w:lineRule="exact"/>
              <w:ind w:right="53"/>
              <w:jc w:val="right"/>
              <w:rPr>
                <w:b/>
                <w:sz w:val="30"/>
              </w:rPr>
            </w:pPr>
            <w:r>
              <w:rPr>
                <w:b/>
                <w:sz w:val="30"/>
              </w:rPr>
              <w:t>- 23</w:t>
            </w:r>
            <w:r>
              <w:rPr>
                <w:b/>
                <w:spacing w:val="-53"/>
                <w:sz w:val="30"/>
              </w:rPr>
              <w:t xml:space="preserve"> </w:t>
            </w:r>
            <w:r>
              <w:rPr>
                <w:b/>
                <w:sz w:val="30"/>
              </w:rPr>
              <w:t>-</w:t>
            </w:r>
          </w:p>
        </w:tc>
      </w:tr>
    </w:tbl>
    <w:p>
      <w:pPr>
        <w:spacing w:after="0" w:line="303" w:lineRule="exact"/>
        <w:jc w:val="right"/>
        <w:rPr>
          <w:sz w:val="30"/>
        </w:rPr>
        <w:sectPr>
          <w:headerReference w:type="default" r:id="rId5"/>
          <w:footerReference w:type="default" r:id="rId6"/>
          <w:pgSz w:w="17860" w:h="25270"/>
          <w:pgMar w:top="1300" w:right="0" w:bottom="1680" w:left="1980" w:header="969" w:footer="1488"/>
          <w:pgNumType w:start="2"/>
          <w:cols w:space="708"/>
        </w:sectPr>
      </w:pPr>
    </w:p>
    <w:p>
      <w:pPr>
        <w:pStyle w:val="BodyText"/>
        <w:rPr>
          <w:rFonts w:ascii="Arial"/>
          <w:sz w:val="20"/>
        </w:rPr>
      </w:pPr>
    </w:p>
    <w:p>
      <w:pPr>
        <w:pStyle w:val="BodyText"/>
        <w:rPr>
          <w:rFonts w:ascii="Arial"/>
          <w:sz w:val="25"/>
        </w:rPr>
      </w:pPr>
    </w:p>
    <w:p>
      <w:pPr>
        <w:spacing w:before="95"/>
        <w:ind w:left="573" w:right="0" w:firstLine="0"/>
        <w:jc w:val="left"/>
        <w:rPr>
          <w:rFonts w:ascii="Arial" w:eastAsia="Arial"/>
          <w:b/>
          <w:sz w:val="30"/>
        </w:rPr>
      </w:pPr>
      <w:r>
        <w:rPr>
          <w:b/>
          <w:sz w:val="30"/>
        </w:rPr>
        <w:t xml:space="preserve">十八、施工进度网络计划 </w:t>
      </w:r>
      <w:r>
        <w:rPr>
          <w:rFonts w:ascii="Arial" w:eastAsia="Arial"/>
          <w:b/>
          <w:sz w:val="30"/>
        </w:rPr>
        <w:t>......................................................................................................................... - 24 -</w:t>
      </w:r>
    </w:p>
    <w:p>
      <w:pPr>
        <w:pStyle w:val="BodyText"/>
        <w:spacing w:before="6"/>
        <w:rPr>
          <w:rFonts w:ascii="Arial"/>
          <w:b/>
          <w:sz w:val="27"/>
        </w:rPr>
      </w:pPr>
    </w:p>
    <w:p>
      <w:pPr>
        <w:pStyle w:val="Heading1"/>
      </w:pPr>
      <w:r>
        <w:t>一、工程概况</w:t>
      </w:r>
    </w:p>
    <w:p>
      <w:pPr>
        <w:pStyle w:val="BodyText"/>
        <w:spacing w:before="374" w:line="364" w:lineRule="auto"/>
        <w:ind w:left="573" w:right="1984" w:firstLine="719"/>
      </w:pPr>
      <w:r>
        <w:t xml:space="preserve">新疆中泰化学研发实验基地主要内容包括高循环水系统，干燥厂房、聚合车间以及 </w:t>
      </w:r>
      <w:r>
        <w:rPr>
          <w:rFonts w:ascii="Arial" w:eastAsia="Arial"/>
        </w:rPr>
        <w:t xml:space="preserve">PVC </w:t>
      </w:r>
      <w:r>
        <w:t>后加工厂房。主要仪表设备安装包括压力仪表安装，温度检测安装，流量仪表安装，物位仪表安装，机械量检测仪表安装，仪表盘箱安装，仪表管路敷设等。我单位负责以上工程的仪表设备的安装和调试。本工程工期紧、施工难度大，需要多工种立体交叉配合作业，对安全施工提出更高要求。</w:t>
      </w:r>
    </w:p>
    <w:p>
      <w:pPr>
        <w:pStyle w:val="Heading1"/>
        <w:spacing w:before="29"/>
      </w:pPr>
      <w:r>
        <w:t>二、编制依据</w:t>
      </w:r>
    </w:p>
    <w:p>
      <w:pPr>
        <w:pStyle w:val="BodyText"/>
        <w:spacing w:before="255" w:line="362" w:lineRule="auto"/>
        <w:ind w:left="1293" w:right="9544"/>
      </w:pPr>
      <w:r>
        <w:t>施工图纸及设备技术文件规定。国家有关施工标准规范。</w:t>
      </w:r>
    </w:p>
    <w:p>
      <w:pPr>
        <w:pStyle w:val="Heading1"/>
        <w:spacing w:before="150"/>
      </w:pPr>
      <w:r>
        <w:t>三、执行的标准规范</w:t>
      </w:r>
    </w:p>
    <w:p>
      <w:pPr>
        <w:pStyle w:val="BodyText"/>
        <w:spacing w:before="255"/>
        <w:ind w:left="1293"/>
        <w:rPr>
          <w:rFonts w:ascii="Arial" w:eastAsia="Arial"/>
        </w:rPr>
      </w:pPr>
      <w:r>
        <w:rPr>
          <w:rFonts w:ascii="Arial" w:eastAsia="Arial"/>
        </w:rPr>
        <w:t>1</w:t>
      </w:r>
      <w:r>
        <w:t>、《工业自动化仪表工程施工及验收规范》</w:t>
      </w:r>
      <w:r>
        <w:rPr>
          <w:rFonts w:ascii="Arial" w:eastAsia="Arial"/>
        </w:rPr>
        <w:t>BJ93-86</w:t>
      </w:r>
    </w:p>
    <w:p>
      <w:pPr>
        <w:pStyle w:val="BodyText"/>
        <w:spacing w:before="237"/>
        <w:ind w:left="1293"/>
        <w:rPr>
          <w:rFonts w:ascii="Arial" w:eastAsia="Arial"/>
        </w:rPr>
      </w:pPr>
      <w:r>
        <w:rPr>
          <w:rFonts w:ascii="Arial" w:eastAsia="Arial"/>
        </w:rPr>
        <w:t>2</w:t>
      </w:r>
      <w:r>
        <w:t>、《自动化仪表安装工程质量检验评定标准》</w:t>
      </w:r>
      <w:r>
        <w:rPr>
          <w:rFonts w:ascii="Arial" w:eastAsia="Arial"/>
        </w:rPr>
        <w:t>GBJ131-90</w:t>
      </w:r>
    </w:p>
    <w:p>
      <w:pPr>
        <w:pStyle w:val="BodyText"/>
        <w:spacing w:before="241"/>
        <w:ind w:left="1293"/>
        <w:rPr>
          <w:rFonts w:ascii="Arial" w:eastAsia="Arial"/>
        </w:rPr>
      </w:pPr>
      <w:r>
        <w:rPr>
          <w:rFonts w:ascii="Arial" w:eastAsia="Arial"/>
        </w:rPr>
        <w:t>3</w:t>
      </w:r>
      <w:r>
        <w:t>、《自动化仪表工程施工及验收规范》</w:t>
      </w:r>
      <w:r>
        <w:rPr>
          <w:rFonts w:ascii="Arial" w:eastAsia="Arial"/>
        </w:rPr>
        <w:t>GB50093-2002</w:t>
      </w:r>
    </w:p>
    <w:p>
      <w:pPr>
        <w:pStyle w:val="BodyText"/>
        <w:spacing w:before="238"/>
        <w:ind w:left="1293"/>
        <w:rPr>
          <w:rFonts w:ascii="Arial" w:eastAsia="Arial"/>
        </w:rPr>
      </w:pPr>
      <w:r>
        <w:rPr>
          <w:rFonts w:ascii="Arial" w:eastAsia="Arial"/>
        </w:rPr>
        <w:t>4</w:t>
      </w:r>
      <w:r>
        <w:t>、《建筑电气工程施工及验收规范》</w:t>
      </w:r>
      <w:r>
        <w:rPr>
          <w:rFonts w:ascii="Arial" w:eastAsia="Arial"/>
        </w:rPr>
        <w:t>GB50303-2002</w:t>
      </w:r>
    </w:p>
    <w:p>
      <w:pPr>
        <w:pStyle w:val="BodyText"/>
        <w:spacing w:before="241"/>
        <w:ind w:left="1293"/>
      </w:pPr>
      <w:r>
        <w:rPr>
          <w:rFonts w:ascii="Arial" w:eastAsia="Arial"/>
        </w:rPr>
        <w:t>5</w:t>
      </w:r>
      <w:r>
        <w:t>、《冶金工业自动化仪表与控制装置安装通用图册》</w:t>
      </w:r>
      <w:r>
        <w:rPr>
          <w:rFonts w:ascii="Arial" w:eastAsia="Arial"/>
        </w:rPr>
        <w:t>YK01</w:t>
      </w:r>
      <w:r>
        <w:t>～</w:t>
      </w:r>
      <w:r>
        <w:rPr>
          <w:rFonts w:ascii="Arial" w:eastAsia="Arial"/>
        </w:rPr>
        <w:t>YK15</w:t>
      </w:r>
      <w:r>
        <w:t>（</w:t>
      </w:r>
      <w:r>
        <w:rPr>
          <w:rFonts w:ascii="Arial" w:eastAsia="Arial"/>
        </w:rPr>
        <w:t>2000</w:t>
      </w:r>
      <w:r>
        <w:t>）</w:t>
      </w:r>
    </w:p>
    <w:p>
      <w:pPr>
        <w:pStyle w:val="BodyText"/>
        <w:spacing w:before="240"/>
        <w:ind w:left="1293"/>
        <w:rPr>
          <w:rFonts w:ascii="Arial" w:eastAsia="Arial"/>
        </w:rPr>
      </w:pPr>
      <w:r>
        <w:rPr>
          <w:rFonts w:ascii="Arial" w:eastAsia="Arial"/>
        </w:rPr>
        <w:t>6</w:t>
      </w:r>
      <w:r>
        <w:t>、《电气装置安装工程电缆线路施工及验收规范》</w:t>
      </w:r>
      <w:r>
        <w:rPr>
          <w:rFonts w:ascii="Arial" w:eastAsia="Arial"/>
        </w:rPr>
        <w:t>GB50168-92</w:t>
      </w:r>
    </w:p>
    <w:p>
      <w:pPr>
        <w:pStyle w:val="BodyText"/>
        <w:spacing w:before="238"/>
        <w:ind w:left="1293"/>
        <w:rPr>
          <w:rFonts w:ascii="Arial" w:eastAsia="Arial"/>
        </w:rPr>
      </w:pPr>
      <w:r>
        <w:rPr>
          <w:rFonts w:ascii="Arial" w:eastAsia="Arial"/>
        </w:rPr>
        <w:t>7</w:t>
      </w:r>
      <w:r>
        <w:t xml:space="preserve">、《电气装置安装工程 </w:t>
      </w:r>
      <w:r>
        <w:rPr>
          <w:rFonts w:ascii="Arial" w:eastAsia="Arial"/>
        </w:rPr>
        <w:t xml:space="preserve">1kv </w:t>
      </w:r>
      <w:r>
        <w:t>及以下配线工程施工及验收规范》</w:t>
      </w:r>
      <w:r>
        <w:rPr>
          <w:rFonts w:ascii="Arial" w:eastAsia="Arial"/>
        </w:rPr>
        <w:t>GB50258-96</w:t>
      </w:r>
    </w:p>
    <w:p>
      <w:pPr>
        <w:pStyle w:val="BodyText"/>
        <w:spacing w:before="240"/>
        <w:ind w:left="1293"/>
        <w:rPr>
          <w:rFonts w:ascii="Arial" w:eastAsia="Arial"/>
        </w:rPr>
      </w:pPr>
      <w:r>
        <w:rPr>
          <w:rFonts w:ascii="Arial" w:eastAsia="Arial"/>
        </w:rPr>
        <w:t>8</w:t>
      </w:r>
      <w:r>
        <w:t>、《电气装置安装工程盘、柜及二次回路结线施工及验收规范》</w:t>
      </w:r>
      <w:r>
        <w:rPr>
          <w:rFonts w:ascii="Arial" w:eastAsia="Arial"/>
        </w:rPr>
        <w:t>GB50171-92</w:t>
      </w:r>
    </w:p>
    <w:p>
      <w:pPr>
        <w:pStyle w:val="BodyText"/>
        <w:spacing w:before="1"/>
        <w:rPr>
          <w:rFonts w:ascii="Arial"/>
          <w:sz w:val="33"/>
        </w:rPr>
      </w:pPr>
    </w:p>
    <w:p>
      <w:pPr>
        <w:pStyle w:val="Heading1"/>
      </w:pPr>
      <w:r>
        <w:t>四、主要工程实物量</w:t>
      </w:r>
    </w:p>
    <w:p>
      <w:pPr>
        <w:pStyle w:val="BodyText"/>
        <w:tabs>
          <w:tab w:val="left" w:pos="4713"/>
        </w:tabs>
        <w:spacing w:before="255"/>
        <w:ind w:left="1293"/>
      </w:pPr>
      <w:r>
        <w:rPr>
          <w:rFonts w:ascii="Arial" w:eastAsia="Arial"/>
        </w:rPr>
        <w:t>1</w:t>
      </w:r>
      <w:r>
        <w:t>、配管</w:t>
        <w:tab/>
      </w:r>
      <w:r>
        <w:rPr>
          <w:rFonts w:ascii="Arial" w:eastAsia="Arial"/>
        </w:rPr>
        <w:t>62500</w:t>
      </w:r>
      <w:r>
        <w:rPr>
          <w:rFonts w:ascii="Arial" w:eastAsia="Arial"/>
          <w:spacing w:val="-12"/>
        </w:rPr>
        <w:t xml:space="preserve"> </w:t>
      </w:r>
      <w:r>
        <w:t>米</w:t>
      </w:r>
    </w:p>
    <w:p>
      <w:pPr>
        <w:pStyle w:val="BodyText"/>
        <w:tabs>
          <w:tab w:val="left" w:pos="4713"/>
        </w:tabs>
        <w:spacing w:before="242"/>
        <w:ind w:left="1293"/>
      </w:pPr>
      <w:r>
        <w:rPr>
          <w:rFonts w:ascii="Arial" w:eastAsia="Arial"/>
        </w:rPr>
        <w:t>2</w:t>
      </w:r>
      <w:r>
        <w:t>、电缆敷设</w:t>
        <w:tab/>
      </w:r>
      <w:r>
        <w:rPr>
          <w:rFonts w:ascii="Arial" w:eastAsia="Arial"/>
        </w:rPr>
        <w:t>400000</w:t>
      </w:r>
      <w:r>
        <w:rPr>
          <w:rFonts w:ascii="Arial" w:eastAsia="Arial"/>
          <w:spacing w:val="-13"/>
        </w:rPr>
        <w:t xml:space="preserve"> </w:t>
      </w:r>
      <w:r>
        <w:t>米</w:t>
      </w:r>
    </w:p>
    <w:p>
      <w:pPr>
        <w:pStyle w:val="BodyText"/>
        <w:tabs>
          <w:tab w:val="left" w:pos="4713"/>
        </w:tabs>
        <w:spacing w:before="237"/>
        <w:ind w:left="1293"/>
      </w:pPr>
      <w:r>
        <w:rPr>
          <w:rFonts w:ascii="Arial" w:eastAsia="Arial"/>
        </w:rPr>
        <w:t>3</w:t>
      </w:r>
      <w:r>
        <w:t>、仪表盘箱安装</w:t>
        <w:tab/>
      </w:r>
      <w:r>
        <w:rPr>
          <w:rFonts w:ascii="Arial" w:eastAsia="Arial"/>
        </w:rPr>
        <w:t>58</w:t>
      </w:r>
      <w:r>
        <w:rPr>
          <w:rFonts w:ascii="Arial" w:eastAsia="Arial"/>
          <w:spacing w:val="-12"/>
        </w:rPr>
        <w:t xml:space="preserve"> </w:t>
      </w:r>
      <w:r>
        <w:t>个</w:t>
      </w:r>
    </w:p>
    <w:p>
      <w:pPr>
        <w:pStyle w:val="BodyText"/>
        <w:tabs>
          <w:tab w:val="left" w:pos="4713"/>
        </w:tabs>
        <w:spacing w:before="241"/>
        <w:ind w:left="1293"/>
      </w:pPr>
      <w:r>
        <w:rPr>
          <w:rFonts w:ascii="Arial" w:eastAsia="Arial"/>
        </w:rPr>
        <w:t>4</w:t>
      </w:r>
      <w:r>
        <w:t>、检测仪表安装</w:t>
        <w:tab/>
      </w:r>
      <w:r>
        <w:rPr>
          <w:rFonts w:ascii="Arial" w:eastAsia="Arial"/>
        </w:rPr>
        <w:t>530</w:t>
      </w:r>
      <w:r>
        <w:rPr>
          <w:rFonts w:ascii="Arial" w:eastAsia="Arial"/>
          <w:spacing w:val="-12"/>
        </w:rPr>
        <w:t xml:space="preserve"> </w:t>
      </w:r>
      <w:r>
        <w:t>套</w:t>
      </w:r>
    </w:p>
    <w:p>
      <w:pPr>
        <w:pStyle w:val="BodyText"/>
        <w:spacing w:before="8"/>
        <w:rPr>
          <w:sz w:val="29"/>
        </w:rPr>
      </w:pPr>
    </w:p>
    <w:p>
      <w:pPr>
        <w:pStyle w:val="Heading1"/>
      </w:pPr>
      <w:r>
        <w:t>五、冬季施工措施</w:t>
      </w:r>
    </w:p>
    <w:p>
      <w:pPr>
        <w:pStyle w:val="ListParagraph"/>
        <w:numPr>
          <w:ilvl w:val="0"/>
          <w:numId w:val="23"/>
        </w:numPr>
        <w:tabs>
          <w:tab w:val="left" w:pos="2194"/>
        </w:tabs>
        <w:spacing w:before="255" w:after="0" w:line="364" w:lineRule="auto"/>
        <w:ind w:left="573" w:right="2584" w:firstLine="719"/>
        <w:jc w:val="left"/>
        <w:rPr>
          <w:sz w:val="36"/>
        </w:rPr>
      </w:pPr>
      <w:r>
        <w:rPr>
          <w:w w:val="95"/>
          <w:sz w:val="36"/>
        </w:rPr>
        <w:t>气温低于</w:t>
      </w:r>
      <w:r>
        <w:rPr>
          <w:rFonts w:ascii="Arial" w:eastAsia="Arial" w:hAnsi="Arial"/>
          <w:w w:val="95"/>
          <w:sz w:val="36"/>
        </w:rPr>
        <w:t>-5</w:t>
      </w:r>
      <w:r>
        <w:rPr>
          <w:spacing w:val="-1"/>
          <w:w w:val="95"/>
          <w:sz w:val="36"/>
        </w:rPr>
        <w:t xml:space="preserve">℃进行露天作业时，施工现场附近应设取暖休息室，取暖设  </w:t>
      </w:r>
      <w:r>
        <w:rPr>
          <w:sz w:val="36"/>
        </w:rPr>
        <w:t>施应符合防火规定</w:t>
      </w:r>
      <w:r>
        <w:rPr>
          <w:rFonts w:ascii="Arial" w:eastAsia="Arial" w:hAnsi="Arial"/>
          <w:sz w:val="36"/>
        </w:rPr>
        <w:t>,</w:t>
      </w:r>
      <w:r>
        <w:rPr>
          <w:sz w:val="36"/>
        </w:rPr>
        <w:t>施工采暖供热设施必须悬挂明显标志</w:t>
      </w:r>
      <w:r>
        <w:rPr>
          <w:rFonts w:ascii="Arial" w:eastAsia="Arial" w:hAnsi="Arial"/>
          <w:sz w:val="36"/>
        </w:rPr>
        <w:t>,</w:t>
      </w:r>
      <w:r>
        <w:rPr>
          <w:sz w:val="36"/>
        </w:rPr>
        <w:t>防止人员烫伤。</w:t>
      </w:r>
    </w:p>
    <w:p>
      <w:pPr>
        <w:pStyle w:val="ListParagraph"/>
        <w:numPr>
          <w:ilvl w:val="0"/>
          <w:numId w:val="23"/>
        </w:numPr>
        <w:tabs>
          <w:tab w:val="left" w:pos="2194"/>
        </w:tabs>
        <w:spacing w:before="0" w:after="0" w:line="459" w:lineRule="exact"/>
        <w:ind w:left="2194" w:right="0" w:hanging="901"/>
        <w:jc w:val="left"/>
        <w:rPr>
          <w:sz w:val="36"/>
        </w:rPr>
      </w:pPr>
      <w:r>
        <w:rPr>
          <w:sz w:val="36"/>
        </w:rPr>
        <w:t>对消防器具进行全面检查，对消防设施做好保温防冻措施。</w:t>
      </w:r>
    </w:p>
    <w:p>
      <w:pPr>
        <w:spacing w:after="0" w:line="459" w:lineRule="exact"/>
        <w:jc w:val="left"/>
        <w:rPr>
          <w:sz w:val="36"/>
        </w:rPr>
        <w:sectPr>
          <w:headerReference w:type="default" r:id="rId7"/>
          <w:footerReference w:type="default" r:id="rId8"/>
          <w:pgSz w:w="17860" w:h="25270"/>
          <w:pgMar w:top="1300" w:right="0" w:bottom="1680" w:left="1980" w:header="969" w:footer="1488"/>
          <w:pgNumType w:start="3"/>
          <w:cols w:space="708"/>
        </w:sectPr>
      </w:pPr>
    </w:p>
    <w:p>
      <w:pPr>
        <w:pStyle w:val="BodyText"/>
        <w:rPr>
          <w:sz w:val="20"/>
        </w:rPr>
      </w:pPr>
    </w:p>
    <w:p>
      <w:pPr>
        <w:pStyle w:val="ListParagraph"/>
        <w:numPr>
          <w:ilvl w:val="0"/>
          <w:numId w:val="22"/>
        </w:numPr>
        <w:tabs>
          <w:tab w:val="left" w:pos="2194"/>
        </w:tabs>
        <w:spacing w:before="265" w:after="0" w:line="240" w:lineRule="auto"/>
        <w:ind w:left="2194" w:right="0" w:hanging="901"/>
        <w:jc w:val="left"/>
        <w:rPr>
          <w:sz w:val="36"/>
        </w:rPr>
      </w:pPr>
      <w:r>
        <w:rPr>
          <w:spacing w:val="-3"/>
          <w:sz w:val="36"/>
        </w:rPr>
        <w:t>对取暖设施进行全面检查并加强用火管理，及时清除火源周围的易燃物。</w:t>
      </w:r>
    </w:p>
    <w:p>
      <w:pPr>
        <w:pStyle w:val="ListParagraph"/>
        <w:numPr>
          <w:ilvl w:val="0"/>
          <w:numId w:val="22"/>
        </w:numPr>
        <w:tabs>
          <w:tab w:val="left" w:pos="2194"/>
        </w:tabs>
        <w:spacing w:before="238" w:after="0" w:line="240" w:lineRule="auto"/>
        <w:ind w:left="2194" w:right="0" w:hanging="901"/>
        <w:jc w:val="left"/>
        <w:rPr>
          <w:sz w:val="36"/>
        </w:rPr>
      </w:pPr>
      <w:r>
        <w:rPr>
          <w:sz w:val="36"/>
        </w:rPr>
        <w:t>施工现场严禁用明火或碘钨灯取暖，防止火灾发生。</w:t>
      </w:r>
    </w:p>
    <w:p>
      <w:pPr>
        <w:pStyle w:val="ListParagraph"/>
        <w:numPr>
          <w:ilvl w:val="0"/>
          <w:numId w:val="22"/>
        </w:numPr>
        <w:tabs>
          <w:tab w:val="left" w:pos="2194"/>
        </w:tabs>
        <w:spacing w:before="241" w:after="0" w:line="240" w:lineRule="auto"/>
        <w:ind w:left="2194" w:right="0" w:hanging="901"/>
        <w:jc w:val="left"/>
        <w:rPr>
          <w:sz w:val="36"/>
        </w:rPr>
      </w:pPr>
      <w:r>
        <w:rPr>
          <w:sz w:val="36"/>
        </w:rPr>
        <w:t>各种设备、仪器应有防冻、恒温设施，确保其精确度。</w:t>
      </w:r>
    </w:p>
    <w:p>
      <w:pPr>
        <w:pStyle w:val="ListParagraph"/>
        <w:numPr>
          <w:ilvl w:val="0"/>
          <w:numId w:val="22"/>
        </w:numPr>
        <w:tabs>
          <w:tab w:val="left" w:pos="2194"/>
        </w:tabs>
        <w:spacing w:before="237" w:after="0" w:line="364" w:lineRule="auto"/>
        <w:ind w:left="573" w:right="2387" w:firstLine="719"/>
        <w:jc w:val="left"/>
        <w:rPr>
          <w:sz w:val="36"/>
        </w:rPr>
      </w:pPr>
      <w:r>
        <w:rPr>
          <w:sz w:val="36"/>
        </w:rPr>
        <w:t>露天的贵重设备（有保护要求</w:t>
      </w:r>
      <w:r>
        <w:rPr>
          <w:spacing w:val="-224"/>
          <w:sz w:val="36"/>
        </w:rPr>
        <w:t>）</w:t>
      </w:r>
      <w:r>
        <w:rPr>
          <w:spacing w:val="-1"/>
          <w:sz w:val="36"/>
        </w:rPr>
        <w:t>，需搭设防护棚或盖专门的小间。当有防</w:t>
      </w:r>
      <w:r>
        <w:rPr>
          <w:spacing w:val="-10"/>
          <w:sz w:val="36"/>
        </w:rPr>
        <w:t>冻要求时，防护棚或小间内均应有取暖设备。。</w:t>
      </w:r>
    </w:p>
    <w:p>
      <w:pPr>
        <w:pStyle w:val="ListParagraph"/>
        <w:numPr>
          <w:ilvl w:val="0"/>
          <w:numId w:val="22"/>
        </w:numPr>
        <w:tabs>
          <w:tab w:val="left" w:pos="2194"/>
        </w:tabs>
        <w:spacing w:before="0" w:after="0" w:line="364" w:lineRule="auto"/>
        <w:ind w:left="573" w:right="2524" w:firstLine="719"/>
        <w:jc w:val="left"/>
        <w:rPr>
          <w:sz w:val="36"/>
        </w:rPr>
      </w:pPr>
      <w:r>
        <w:rPr>
          <w:spacing w:val="-1"/>
          <w:sz w:val="36"/>
        </w:rPr>
        <w:t>设备和精密仪器应采取特殊保护措施，防冻、防潮，防止设备和仪器的</w:t>
      </w:r>
      <w:r>
        <w:rPr>
          <w:sz w:val="36"/>
        </w:rPr>
        <w:t>损坏。</w:t>
      </w:r>
    </w:p>
    <w:p>
      <w:pPr>
        <w:pStyle w:val="ListParagraph"/>
        <w:numPr>
          <w:ilvl w:val="0"/>
          <w:numId w:val="22"/>
        </w:numPr>
        <w:tabs>
          <w:tab w:val="left" w:pos="2194"/>
        </w:tabs>
        <w:spacing w:before="0" w:after="0" w:line="240" w:lineRule="auto"/>
        <w:ind w:left="2194" w:right="0" w:hanging="901"/>
        <w:jc w:val="left"/>
        <w:rPr>
          <w:sz w:val="36"/>
        </w:rPr>
      </w:pPr>
      <w:r>
        <w:rPr>
          <w:sz w:val="36"/>
        </w:rPr>
        <w:t>试验室要保持恒温和干燥，确保校验设备的正常使用。</w:t>
      </w:r>
    </w:p>
    <w:p>
      <w:pPr>
        <w:pStyle w:val="ListParagraph"/>
        <w:numPr>
          <w:ilvl w:val="0"/>
          <w:numId w:val="22"/>
        </w:numPr>
        <w:tabs>
          <w:tab w:val="left" w:pos="2194"/>
        </w:tabs>
        <w:spacing w:before="238" w:after="0" w:line="364" w:lineRule="auto"/>
        <w:ind w:left="573" w:right="2524" w:firstLine="719"/>
        <w:jc w:val="left"/>
        <w:rPr>
          <w:sz w:val="36"/>
        </w:rPr>
      </w:pPr>
      <w:r>
        <w:rPr>
          <w:spacing w:val="-1"/>
          <w:sz w:val="36"/>
        </w:rPr>
        <w:t>霜冻、雨、雪后必须将施工现场清理干净，脚手架和跳板及走道上的积</w:t>
      </w:r>
      <w:r>
        <w:rPr>
          <w:sz w:val="36"/>
        </w:rPr>
        <w:t>水、霜雪应及时清除并采取防滑措施。</w:t>
      </w:r>
    </w:p>
    <w:p>
      <w:pPr>
        <w:pStyle w:val="ListParagraph"/>
        <w:numPr>
          <w:ilvl w:val="0"/>
          <w:numId w:val="22"/>
        </w:numPr>
        <w:tabs>
          <w:tab w:val="left" w:pos="2374"/>
        </w:tabs>
        <w:spacing w:before="0" w:after="0" w:line="459" w:lineRule="exact"/>
        <w:ind w:left="2374" w:right="0" w:hanging="1081"/>
        <w:jc w:val="left"/>
        <w:rPr>
          <w:sz w:val="36"/>
        </w:rPr>
      </w:pPr>
      <w:r>
        <w:rPr>
          <w:sz w:val="36"/>
        </w:rPr>
        <w:t>冬季施工前，认真做好防冻、防滑、防火等安全用品的准备和检查。</w:t>
      </w:r>
    </w:p>
    <w:p>
      <w:pPr>
        <w:pStyle w:val="ListParagraph"/>
        <w:numPr>
          <w:ilvl w:val="0"/>
          <w:numId w:val="22"/>
        </w:numPr>
        <w:tabs>
          <w:tab w:val="left" w:pos="2360"/>
        </w:tabs>
        <w:spacing w:before="241" w:after="0" w:line="240" w:lineRule="auto"/>
        <w:ind w:left="2359" w:right="0" w:hanging="1067"/>
        <w:jc w:val="left"/>
        <w:rPr>
          <w:sz w:val="36"/>
        </w:rPr>
      </w:pPr>
      <w:r>
        <w:rPr>
          <w:spacing w:val="-9"/>
          <w:sz w:val="36"/>
        </w:rPr>
        <w:t>在冬季对消防器材进行全面检查，对消防设施采取保温措施，以备待用。</w:t>
      </w:r>
    </w:p>
    <w:p>
      <w:pPr>
        <w:pStyle w:val="ListParagraph"/>
        <w:numPr>
          <w:ilvl w:val="0"/>
          <w:numId w:val="22"/>
        </w:numPr>
        <w:tabs>
          <w:tab w:val="left" w:pos="2374"/>
        </w:tabs>
        <w:spacing w:before="237" w:after="0" w:line="240" w:lineRule="auto"/>
        <w:ind w:left="2374" w:right="0" w:hanging="1081"/>
        <w:jc w:val="left"/>
        <w:rPr>
          <w:sz w:val="36"/>
        </w:rPr>
      </w:pPr>
      <w:r>
        <w:rPr>
          <w:sz w:val="36"/>
        </w:rPr>
        <w:t>施工区域的冰雪及时清除，并采取撒沙子等必要的防滑措施。</w:t>
      </w:r>
    </w:p>
    <w:p>
      <w:pPr>
        <w:pStyle w:val="ListParagraph"/>
        <w:numPr>
          <w:ilvl w:val="0"/>
          <w:numId w:val="22"/>
        </w:numPr>
        <w:tabs>
          <w:tab w:val="left" w:pos="2374"/>
        </w:tabs>
        <w:spacing w:before="241" w:after="0" w:line="362" w:lineRule="auto"/>
        <w:ind w:left="573" w:right="2438" w:firstLine="719"/>
        <w:jc w:val="left"/>
        <w:rPr>
          <w:sz w:val="36"/>
        </w:rPr>
      </w:pPr>
      <w:r>
        <w:rPr>
          <w:spacing w:val="-3"/>
          <w:sz w:val="36"/>
        </w:rPr>
        <w:t>参加高处作业的施工人员必须穿防滑鞋，并将安全带挂在上方牢固可</w:t>
      </w:r>
      <w:r>
        <w:rPr>
          <w:spacing w:val="-4"/>
          <w:sz w:val="36"/>
        </w:rPr>
        <w:t>靠的地方。</w:t>
      </w:r>
    </w:p>
    <w:p>
      <w:pPr>
        <w:pStyle w:val="ListParagraph"/>
        <w:numPr>
          <w:ilvl w:val="0"/>
          <w:numId w:val="22"/>
        </w:numPr>
        <w:tabs>
          <w:tab w:val="left" w:pos="2374"/>
        </w:tabs>
        <w:spacing w:before="8" w:after="0" w:line="240" w:lineRule="auto"/>
        <w:ind w:left="2374" w:right="0" w:hanging="1081"/>
        <w:jc w:val="left"/>
        <w:rPr>
          <w:sz w:val="36"/>
        </w:rPr>
      </w:pPr>
      <w:r>
        <w:rPr>
          <w:spacing w:val="-15"/>
          <w:sz w:val="36"/>
        </w:rPr>
        <w:t>大风及雨、雪后，要检查脚手架是否有塌陷现象，如有发生，立即加固。</w:t>
      </w:r>
    </w:p>
    <w:p>
      <w:pPr>
        <w:pStyle w:val="ListParagraph"/>
        <w:numPr>
          <w:ilvl w:val="0"/>
          <w:numId w:val="22"/>
        </w:numPr>
        <w:tabs>
          <w:tab w:val="left" w:pos="2374"/>
        </w:tabs>
        <w:spacing w:before="237" w:after="0" w:line="364" w:lineRule="auto"/>
        <w:ind w:left="573" w:right="2344" w:firstLine="719"/>
        <w:jc w:val="left"/>
        <w:rPr>
          <w:sz w:val="36"/>
        </w:rPr>
      </w:pPr>
      <w:r>
        <w:rPr>
          <w:spacing w:val="-1"/>
          <w:sz w:val="36"/>
        </w:rPr>
        <w:t>下雨、雪天使用电动工具和电焊必须采取可靠且有效地防触电措施，使</w:t>
      </w:r>
      <w:r>
        <w:rPr>
          <w:sz w:val="36"/>
        </w:rPr>
        <w:t>用合格的绝缘手套、绝缘鞋。</w:t>
      </w:r>
    </w:p>
    <w:p>
      <w:pPr>
        <w:pStyle w:val="ListParagraph"/>
        <w:numPr>
          <w:ilvl w:val="0"/>
          <w:numId w:val="22"/>
        </w:numPr>
        <w:tabs>
          <w:tab w:val="left" w:pos="2374"/>
        </w:tabs>
        <w:spacing w:before="0" w:after="0" w:line="459" w:lineRule="exact"/>
        <w:ind w:left="2374" w:right="0" w:hanging="1081"/>
        <w:jc w:val="left"/>
        <w:rPr>
          <w:sz w:val="36"/>
        </w:rPr>
      </w:pPr>
      <w:r>
        <w:rPr>
          <w:sz w:val="36"/>
        </w:rPr>
        <w:t>对各电气设备应加强巡视、防尘、防冻、防挂冰、防放电伤人。</w:t>
      </w:r>
    </w:p>
    <w:p>
      <w:pPr>
        <w:pStyle w:val="ListParagraph"/>
        <w:numPr>
          <w:ilvl w:val="0"/>
          <w:numId w:val="22"/>
        </w:numPr>
        <w:tabs>
          <w:tab w:val="left" w:pos="2374"/>
        </w:tabs>
        <w:spacing w:before="241" w:after="0" w:line="240" w:lineRule="auto"/>
        <w:ind w:left="2374" w:right="0" w:hanging="1081"/>
        <w:jc w:val="left"/>
        <w:rPr>
          <w:sz w:val="36"/>
        </w:rPr>
      </w:pPr>
      <w:r>
        <w:rPr>
          <w:sz w:val="36"/>
        </w:rPr>
        <w:t>各种仪表应有防冻、恒温设施保持其精密度。</w:t>
      </w:r>
    </w:p>
    <w:p>
      <w:pPr>
        <w:pStyle w:val="ListParagraph"/>
        <w:numPr>
          <w:ilvl w:val="0"/>
          <w:numId w:val="22"/>
        </w:numPr>
        <w:tabs>
          <w:tab w:val="left" w:pos="2374"/>
        </w:tabs>
        <w:spacing w:before="237" w:after="0" w:line="364" w:lineRule="auto"/>
        <w:ind w:left="573" w:right="2438" w:firstLine="719"/>
        <w:jc w:val="left"/>
        <w:rPr>
          <w:sz w:val="36"/>
        </w:rPr>
      </w:pPr>
      <w:r>
        <w:rPr>
          <w:spacing w:val="-3"/>
          <w:sz w:val="36"/>
        </w:rPr>
        <w:t>电气设备到场后应有专人对其负责防止小件丢失。精密仪器应采用特</w:t>
      </w:r>
      <w:r>
        <w:rPr>
          <w:spacing w:val="-4"/>
          <w:sz w:val="36"/>
        </w:rPr>
        <w:t>殊保护的办法。</w:t>
      </w:r>
    </w:p>
    <w:p>
      <w:pPr>
        <w:pStyle w:val="ListParagraph"/>
        <w:numPr>
          <w:ilvl w:val="0"/>
          <w:numId w:val="22"/>
        </w:numPr>
        <w:tabs>
          <w:tab w:val="left" w:pos="2374"/>
        </w:tabs>
        <w:spacing w:before="3" w:after="0" w:line="240" w:lineRule="auto"/>
        <w:ind w:left="2374" w:right="0" w:hanging="1081"/>
        <w:jc w:val="left"/>
        <w:rPr>
          <w:sz w:val="36"/>
        </w:rPr>
      </w:pPr>
      <w:r>
        <w:rPr>
          <w:sz w:val="36"/>
        </w:rPr>
        <w:t>电气设备存储应充分考虑到现场天气环境的影响。</w:t>
      </w:r>
    </w:p>
    <w:p>
      <w:pPr>
        <w:pStyle w:val="ListParagraph"/>
        <w:numPr>
          <w:ilvl w:val="0"/>
          <w:numId w:val="22"/>
        </w:numPr>
        <w:tabs>
          <w:tab w:val="left" w:pos="2374"/>
        </w:tabs>
        <w:spacing w:before="237" w:after="0" w:line="364" w:lineRule="auto"/>
        <w:ind w:left="573" w:right="2344" w:firstLine="719"/>
        <w:jc w:val="left"/>
        <w:rPr>
          <w:sz w:val="36"/>
        </w:rPr>
      </w:pPr>
      <w:r>
        <w:rPr>
          <w:spacing w:val="-1"/>
          <w:sz w:val="36"/>
        </w:rPr>
        <w:t>电气设备工作间、配电室严禁使用热光源，临时照明电源绝缘检测应合</w:t>
      </w:r>
      <w:r>
        <w:rPr>
          <w:sz w:val="36"/>
        </w:rPr>
        <w:t>格。</w:t>
      </w:r>
    </w:p>
    <w:p>
      <w:pPr>
        <w:pStyle w:val="ListParagraph"/>
        <w:numPr>
          <w:ilvl w:val="0"/>
          <w:numId w:val="22"/>
        </w:numPr>
        <w:tabs>
          <w:tab w:val="left" w:pos="2374"/>
        </w:tabs>
        <w:spacing w:before="0" w:after="0" w:line="459" w:lineRule="exact"/>
        <w:ind w:left="2374" w:right="0" w:hanging="1081"/>
        <w:jc w:val="left"/>
        <w:rPr>
          <w:sz w:val="36"/>
        </w:rPr>
      </w:pPr>
      <w:r>
        <w:rPr>
          <w:sz w:val="36"/>
        </w:rPr>
        <w:t>电气设备工作间、配电室内的包装箱等易燃、易爆物应及时清理。</w:t>
      </w:r>
    </w:p>
    <w:p>
      <w:pPr>
        <w:pStyle w:val="ListParagraph"/>
        <w:numPr>
          <w:ilvl w:val="0"/>
          <w:numId w:val="22"/>
        </w:numPr>
        <w:tabs>
          <w:tab w:val="left" w:pos="2374"/>
        </w:tabs>
        <w:spacing w:before="240" w:after="0" w:line="362" w:lineRule="auto"/>
        <w:ind w:left="573" w:right="2344" w:firstLine="719"/>
        <w:jc w:val="left"/>
        <w:rPr>
          <w:sz w:val="36"/>
        </w:rPr>
      </w:pPr>
      <w:r>
        <w:rPr>
          <w:spacing w:val="-1"/>
          <w:sz w:val="36"/>
        </w:rPr>
        <w:t>各电气工作间、配电室应加强管理，以防无关人员带入火种或损坏防护</w:t>
      </w:r>
      <w:r>
        <w:rPr>
          <w:sz w:val="36"/>
        </w:rPr>
        <w:t>设施</w:t>
      </w:r>
    </w:p>
    <w:p>
      <w:pPr>
        <w:pStyle w:val="ListParagraph"/>
        <w:numPr>
          <w:ilvl w:val="0"/>
          <w:numId w:val="22"/>
        </w:numPr>
        <w:tabs>
          <w:tab w:val="left" w:pos="2374"/>
        </w:tabs>
        <w:spacing w:before="8" w:after="0" w:line="240" w:lineRule="auto"/>
        <w:ind w:left="2374" w:right="0" w:hanging="1081"/>
        <w:jc w:val="left"/>
        <w:rPr>
          <w:sz w:val="36"/>
        </w:rPr>
      </w:pPr>
      <w:r>
        <w:rPr>
          <w:sz w:val="36"/>
        </w:rPr>
        <w:t>已安装完毕未投入运行的电气设备，做好必要的防护措施。</w:t>
      </w:r>
    </w:p>
    <w:p>
      <w:pPr>
        <w:pStyle w:val="ListParagraph"/>
        <w:numPr>
          <w:ilvl w:val="0"/>
          <w:numId w:val="22"/>
        </w:numPr>
        <w:tabs>
          <w:tab w:val="left" w:pos="2374"/>
        </w:tabs>
        <w:spacing w:before="238" w:after="0" w:line="240" w:lineRule="auto"/>
        <w:ind w:left="2374" w:right="0" w:hanging="1081"/>
        <w:jc w:val="left"/>
        <w:rPr>
          <w:sz w:val="36"/>
        </w:rPr>
      </w:pPr>
      <w:r>
        <w:rPr>
          <w:sz w:val="36"/>
        </w:rPr>
        <w:t>真空泵、滤油机等机械冬季不用时必须将油、水放净，防止泵体和管路</w:t>
      </w:r>
    </w:p>
    <w:p>
      <w:pPr>
        <w:spacing w:after="0" w:line="240" w:lineRule="auto"/>
        <w:jc w:val="left"/>
        <w:rPr>
          <w:sz w:val="36"/>
        </w:rPr>
        <w:sectPr>
          <w:headerReference w:type="default" r:id="rId9"/>
          <w:footerReference w:type="default" r:id="rId10"/>
          <w:pgSz w:w="17860" w:h="25270"/>
          <w:pgMar w:top="1300" w:right="0" w:bottom="1700" w:left="1980" w:header="969" w:footer="1488"/>
          <w:pgNumType w:start="4"/>
          <w:cols w:space="708"/>
        </w:sectPr>
      </w:pPr>
    </w:p>
    <w:p>
      <w:pPr>
        <w:pStyle w:val="BodyText"/>
        <w:rPr>
          <w:sz w:val="20"/>
        </w:rPr>
      </w:pPr>
      <w:r>
        <w:pict>
          <v:group id="_x0000_s1025" style="width:695pt;height:675pt;margin-top:441pt;margin-left:119pt;mso-position-horizontal-relative:page;mso-position-vertical-relative:page;position:absolute;z-index:-251657216" coordorigin="2380,8820" coordsize="13900,13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900;height:13500;left:2380;position:absolute;top:8820" stroked="f">
              <v:imagedata r:id="rId11" o:title=""/>
            </v:shape>
            <v:shapetype id="_x0000_t202" coordsize="21600,21600" o:spt="202" path="m,l,21600r21600,l21600,xe">
              <v:stroke joinstyle="miter"/>
              <v:path gradientshapeok="t" o:connecttype="rect"/>
            </v:shapetype>
            <v:shape id="_x0000_s1027" type="#_x0000_t202" style="width:2555;height:425;left:4126;position:absolute;top:10046" filled="f" stroked="f">
              <v:textbox inset="0,0,0,0">
                <w:txbxContent>
                  <w:p>
                    <w:pPr>
                      <w:spacing w:before="28" w:line="396" w:lineRule="exact"/>
                      <w:ind w:left="0" w:right="0" w:firstLine="0"/>
                      <w:jc w:val="left"/>
                      <w:rPr>
                        <w:sz w:val="31"/>
                      </w:rPr>
                    </w:pPr>
                    <w:r>
                      <w:rPr>
                        <w:sz w:val="31"/>
                      </w:rPr>
                      <w:t>预制构件加工制作</w:t>
                    </w:r>
                  </w:p>
                </w:txbxContent>
              </v:textbox>
            </v:shape>
            <v:shape id="_x0000_s1028" type="#_x0000_t202" style="width:1921;height:425;left:9091;position:absolute;top:10046" filled="f" stroked="f">
              <v:textbox inset="0,0,0,0">
                <w:txbxContent>
                  <w:p>
                    <w:pPr>
                      <w:spacing w:before="28" w:line="396" w:lineRule="exact"/>
                      <w:ind w:left="0" w:right="0" w:firstLine="0"/>
                      <w:jc w:val="left"/>
                      <w:rPr>
                        <w:sz w:val="31"/>
                      </w:rPr>
                    </w:pPr>
                    <w:r>
                      <w:rPr>
                        <w:sz w:val="31"/>
                      </w:rPr>
                      <w:t>配合土建预埋</w:t>
                    </w:r>
                  </w:p>
                </w:txbxContent>
              </v:textbox>
            </v:shape>
            <v:shape id="_x0000_s1029" type="#_x0000_t202" style="width:1604;height:425;left:13675;position:absolute;top:10046" filled="f" stroked="f">
              <v:textbox inset="0,0,0,0">
                <w:txbxContent>
                  <w:p>
                    <w:pPr>
                      <w:spacing w:before="28" w:line="396" w:lineRule="exact"/>
                      <w:ind w:left="0" w:right="0" w:firstLine="0"/>
                      <w:jc w:val="left"/>
                      <w:rPr>
                        <w:sz w:val="31"/>
                      </w:rPr>
                    </w:pPr>
                    <w:r>
                      <w:rPr>
                        <w:sz w:val="31"/>
                      </w:rPr>
                      <w:t>管子的防腐</w:t>
                    </w:r>
                  </w:p>
                </w:txbxContent>
              </v:textbox>
            </v:shape>
            <v:shape id="_x0000_s1030" type="#_x0000_t202" style="width:1772;height:425;left:14280;position:absolute;top:12074" filled="f" stroked="f">
              <v:textbox inset="0,0,0,0">
                <w:txbxContent>
                  <w:p>
                    <w:pPr>
                      <w:spacing w:before="28" w:line="396" w:lineRule="exact"/>
                      <w:ind w:left="0" w:right="0" w:firstLine="0"/>
                      <w:jc w:val="left"/>
                      <w:rPr>
                        <w:sz w:val="31"/>
                      </w:rPr>
                    </w:pPr>
                    <w:r>
                      <w:rPr>
                        <w:sz w:val="31"/>
                      </w:rPr>
                      <w:t>电缆桥架安</w:t>
                    </w:r>
                  </w:p>
                </w:txbxContent>
              </v:textbox>
            </v:shape>
          </v:group>
        </w:pict>
      </w:r>
    </w:p>
    <w:p>
      <w:pPr>
        <w:pStyle w:val="BodyText"/>
        <w:spacing w:before="11"/>
        <w:rPr>
          <w:sz w:val="16"/>
        </w:rPr>
      </w:pPr>
    </w:p>
    <w:p>
      <w:pPr>
        <w:pStyle w:val="BodyText"/>
        <w:spacing w:before="49"/>
        <w:ind w:left="573"/>
      </w:pPr>
      <w:r>
        <w:t>冻裂。</w:t>
      </w:r>
    </w:p>
    <w:p>
      <w:pPr>
        <w:pStyle w:val="ListParagraph"/>
        <w:numPr>
          <w:ilvl w:val="0"/>
          <w:numId w:val="24"/>
        </w:numPr>
        <w:tabs>
          <w:tab w:val="left" w:pos="2374"/>
        </w:tabs>
        <w:spacing w:before="238" w:after="0" w:line="240" w:lineRule="auto"/>
        <w:ind w:left="2374" w:right="0" w:hanging="1081"/>
        <w:jc w:val="left"/>
        <w:rPr>
          <w:sz w:val="36"/>
        </w:rPr>
      </w:pPr>
      <w:r>
        <w:rPr>
          <w:sz w:val="36"/>
        </w:rPr>
        <w:t>雨雪天气不得运输仪表及控制装置。</w:t>
      </w:r>
    </w:p>
    <w:p>
      <w:pPr>
        <w:pStyle w:val="ListParagraph"/>
        <w:numPr>
          <w:ilvl w:val="0"/>
          <w:numId w:val="24"/>
        </w:numPr>
        <w:tabs>
          <w:tab w:val="left" w:pos="2374"/>
        </w:tabs>
        <w:spacing w:before="241" w:after="0" w:line="362" w:lineRule="auto"/>
        <w:ind w:left="573" w:right="2254" w:firstLine="719"/>
        <w:jc w:val="left"/>
        <w:rPr>
          <w:sz w:val="36"/>
        </w:rPr>
      </w:pPr>
      <w:r>
        <w:rPr>
          <w:spacing w:val="-15"/>
          <w:sz w:val="36"/>
        </w:rPr>
        <w:t>起重作业时，应注意物体与地面，物体与物体之间的冻结，大风、大雪</w:t>
      </w:r>
      <w:r>
        <w:rPr>
          <w:spacing w:val="-4"/>
          <w:sz w:val="36"/>
        </w:rPr>
        <w:t>、大雾天气禁止吊装作业。</w:t>
      </w:r>
    </w:p>
    <w:p>
      <w:pPr>
        <w:pStyle w:val="ListParagraph"/>
        <w:numPr>
          <w:ilvl w:val="0"/>
          <w:numId w:val="24"/>
        </w:numPr>
        <w:tabs>
          <w:tab w:val="left" w:pos="2374"/>
        </w:tabs>
        <w:spacing w:before="7" w:after="0" w:line="362" w:lineRule="auto"/>
        <w:ind w:left="573" w:right="2344" w:firstLine="719"/>
        <w:jc w:val="left"/>
        <w:rPr>
          <w:sz w:val="36"/>
        </w:rPr>
      </w:pPr>
      <w:r>
        <w:rPr>
          <w:spacing w:val="-1"/>
          <w:sz w:val="36"/>
        </w:rPr>
        <w:t>冬季风干物燥，容易起火，以及时清理仓库周围杂草，禁止用电加热器</w:t>
      </w:r>
      <w:r>
        <w:rPr>
          <w:sz w:val="36"/>
        </w:rPr>
        <w:t>和明火。</w:t>
      </w:r>
    </w:p>
    <w:p>
      <w:pPr>
        <w:pStyle w:val="Heading1"/>
        <w:spacing w:before="151"/>
      </w:pPr>
      <w:r>
        <w:t>六、仪表安装</w:t>
      </w:r>
    </w:p>
    <w:p>
      <w:pPr>
        <w:pStyle w:val="BodyText"/>
        <w:rPr>
          <w:b/>
          <w:sz w:val="20"/>
        </w:rPr>
      </w:pPr>
    </w:p>
    <w:p>
      <w:pPr>
        <w:pStyle w:val="BodyText"/>
        <w:spacing w:before="2"/>
        <w:rPr>
          <w:b/>
          <w:sz w:val="17"/>
        </w:rPr>
      </w:pPr>
      <w:r>
        <w:pict>
          <v:group id="_x0000_s1031" style="width:606pt;height:63pt;margin-top:12.95pt;margin-left:190pt;mso-position-horizontal-relative:page;mso-wrap-distance-left:0;mso-wrap-distance-right:0;position:absolute;z-index:-251656192" coordorigin="3800,259" coordsize="12120,1260">
            <v:shape id="_x0000_s1032" type="#_x0000_t75" style="width:12120;height:1260;left:3800;position:absolute;top:258" stroked="f">
              <v:imagedata r:id="rId12" o:title=""/>
            </v:shape>
            <v:shape id="_x0000_s1033" type="#_x0000_t202" style="width:2238;height:425;left:4284;position:absolute;top:666" filled="f" stroked="f">
              <v:textbox inset="0,0,0,0">
                <w:txbxContent>
                  <w:p>
                    <w:pPr>
                      <w:spacing w:before="28" w:line="396" w:lineRule="exact"/>
                      <w:ind w:left="0" w:right="0" w:firstLine="0"/>
                      <w:jc w:val="left"/>
                      <w:rPr>
                        <w:sz w:val="31"/>
                      </w:rPr>
                    </w:pPr>
                    <w:r>
                      <w:rPr>
                        <w:sz w:val="31"/>
                      </w:rPr>
                      <w:t>材料、机具准备</w:t>
                    </w:r>
                  </w:p>
                </w:txbxContent>
              </v:textbox>
            </v:shape>
            <v:shape id="_x0000_s1034" type="#_x0000_t202" style="width:1604;height:425;left:9246;position:absolute;top:666" filled="f" stroked="f">
              <v:textbox inset="0,0,0,0">
                <w:txbxContent>
                  <w:p>
                    <w:pPr>
                      <w:spacing w:before="28" w:line="396" w:lineRule="exact"/>
                      <w:ind w:left="0" w:right="0" w:firstLine="0"/>
                      <w:jc w:val="left"/>
                      <w:rPr>
                        <w:sz w:val="31"/>
                      </w:rPr>
                    </w:pPr>
                    <w:r>
                      <w:rPr>
                        <w:sz w:val="31"/>
                      </w:rPr>
                      <w:t>施工前准备</w:t>
                    </w:r>
                  </w:p>
                </w:txbxContent>
              </v:textbox>
            </v:shape>
            <v:shape id="_x0000_s1035" type="#_x0000_t202" style="width:2238;height:425;left:13315;position:absolute;top:666" filled="f" stroked="f">
              <v:textbox inset="0,0,0,0">
                <w:txbxContent>
                  <w:p>
                    <w:pPr>
                      <w:spacing w:before="28" w:line="396" w:lineRule="exact"/>
                      <w:ind w:left="0" w:right="0" w:firstLine="0"/>
                      <w:jc w:val="left"/>
                      <w:rPr>
                        <w:sz w:val="31"/>
                      </w:rPr>
                    </w:pPr>
                    <w:r>
                      <w:rPr>
                        <w:sz w:val="31"/>
                      </w:rPr>
                      <w:t>人员、技术准备</w:t>
                    </w:r>
                  </w:p>
                </w:txbxContent>
              </v:textbox>
            </v:shape>
            <w10:wrap type="topAndBottom"/>
          </v:group>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4"/>
        </w:rPr>
      </w:pPr>
    </w:p>
    <w:tbl>
      <w:tblPr>
        <w:tblStyle w:val="TableNormal1"/>
        <w:tblW w:w="0" w:type="auto"/>
        <w:jc w:val="left"/>
        <w:tblInd w:w="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83"/>
        <w:gridCol w:w="2634"/>
        <w:gridCol w:w="4287"/>
      </w:tblGrid>
      <w:tr>
        <w:tblPrEx>
          <w:tblW w:w="0" w:type="auto"/>
          <w:jc w:val="left"/>
          <w:tblInd w:w="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71"/>
          <w:jc w:val="left"/>
        </w:trPr>
        <w:tc>
          <w:tcPr>
            <w:tcW w:w="3683" w:type="dxa"/>
          </w:tcPr>
          <w:p>
            <w:pPr>
              <w:pStyle w:val="TableParagraph"/>
              <w:spacing w:before="28"/>
              <w:ind w:left="50"/>
              <w:rPr>
                <w:rFonts w:ascii="宋体" w:eastAsia="宋体" w:hint="eastAsia"/>
                <w:sz w:val="31"/>
              </w:rPr>
            </w:pPr>
            <w:r>
              <w:rPr>
                <w:rFonts w:ascii="宋体" w:eastAsia="宋体" w:hint="eastAsia"/>
                <w:sz w:val="31"/>
              </w:rPr>
              <w:t>仪表温度部件及压力、</w:t>
            </w:r>
          </w:p>
          <w:p>
            <w:pPr>
              <w:pStyle w:val="TableParagraph"/>
              <w:rPr>
                <w:rFonts w:ascii="宋体"/>
                <w:b/>
                <w:sz w:val="42"/>
              </w:rPr>
            </w:pPr>
          </w:p>
          <w:p>
            <w:pPr>
              <w:pStyle w:val="TableParagraph"/>
              <w:spacing w:before="7"/>
              <w:rPr>
                <w:rFonts w:ascii="宋体"/>
                <w:b/>
                <w:sz w:val="31"/>
              </w:rPr>
            </w:pPr>
          </w:p>
          <w:p>
            <w:pPr>
              <w:pStyle w:val="TableParagraph"/>
              <w:ind w:left="208"/>
              <w:rPr>
                <w:rFonts w:ascii="宋体" w:eastAsia="宋体" w:hint="eastAsia"/>
                <w:sz w:val="31"/>
              </w:rPr>
            </w:pPr>
            <w:r>
              <w:rPr>
                <w:rFonts w:ascii="宋体" w:eastAsia="宋体" w:hint="eastAsia"/>
                <w:sz w:val="31"/>
              </w:rPr>
              <w:t>仪表导压管路施工</w:t>
            </w:r>
          </w:p>
          <w:p>
            <w:pPr>
              <w:pStyle w:val="TableParagraph"/>
              <w:rPr>
                <w:rFonts w:ascii="宋体"/>
                <w:b/>
                <w:sz w:val="42"/>
              </w:rPr>
            </w:pPr>
          </w:p>
          <w:p>
            <w:pPr>
              <w:pStyle w:val="TableParagraph"/>
              <w:rPr>
                <w:rFonts w:ascii="宋体"/>
                <w:b/>
                <w:sz w:val="42"/>
              </w:rPr>
            </w:pPr>
          </w:p>
          <w:p>
            <w:pPr>
              <w:pStyle w:val="TableParagraph"/>
              <w:spacing w:before="10"/>
              <w:rPr>
                <w:rFonts w:ascii="宋体"/>
                <w:b/>
                <w:sz w:val="50"/>
              </w:rPr>
            </w:pPr>
          </w:p>
          <w:p>
            <w:pPr>
              <w:pStyle w:val="TableParagraph"/>
              <w:ind w:left="690"/>
              <w:rPr>
                <w:rFonts w:ascii="宋体" w:eastAsia="宋体" w:hint="eastAsia"/>
                <w:sz w:val="31"/>
              </w:rPr>
            </w:pPr>
            <w:r>
              <w:rPr>
                <w:rFonts w:ascii="宋体" w:eastAsia="宋体" w:hint="eastAsia"/>
                <w:sz w:val="31"/>
              </w:rPr>
              <w:t>仪表单体调试</w:t>
            </w:r>
          </w:p>
        </w:tc>
        <w:tc>
          <w:tcPr>
            <w:tcW w:w="6921" w:type="dxa"/>
            <w:gridSpan w:val="2"/>
          </w:tcPr>
          <w:p>
            <w:pPr>
              <w:pStyle w:val="TableParagraph"/>
              <w:tabs>
                <w:tab w:val="left" w:pos="4558"/>
              </w:tabs>
              <w:spacing w:before="28"/>
              <w:ind w:left="464"/>
              <w:rPr>
                <w:rFonts w:ascii="宋体" w:eastAsia="宋体" w:hint="eastAsia"/>
                <w:sz w:val="31"/>
              </w:rPr>
            </w:pPr>
            <w:r>
              <w:rPr>
                <w:rFonts w:ascii="宋体" w:eastAsia="宋体" w:hint="eastAsia"/>
                <w:sz w:val="31"/>
              </w:rPr>
              <w:t>仪表管线敷设</w:t>
              <w:tab/>
            </w:r>
            <w:r>
              <w:rPr>
                <w:rFonts w:ascii="宋体" w:eastAsia="宋体" w:hint="eastAsia"/>
                <w:spacing w:val="42"/>
                <w:sz w:val="31"/>
              </w:rPr>
              <w:t>基础型</w:t>
            </w:r>
            <w:r>
              <w:rPr>
                <w:rFonts w:ascii="宋体" w:eastAsia="宋体" w:hint="eastAsia"/>
                <w:spacing w:val="39"/>
                <w:sz w:val="31"/>
              </w:rPr>
              <w:t>钢</w:t>
            </w:r>
            <w:r>
              <w:rPr>
                <w:rFonts w:ascii="宋体" w:eastAsia="宋体" w:hint="eastAsia"/>
                <w:sz w:val="31"/>
              </w:rPr>
              <w:t>安</w:t>
            </w:r>
          </w:p>
          <w:p>
            <w:pPr>
              <w:pStyle w:val="TableParagraph"/>
              <w:rPr>
                <w:rFonts w:ascii="宋体"/>
                <w:b/>
                <w:sz w:val="42"/>
              </w:rPr>
            </w:pPr>
          </w:p>
          <w:p>
            <w:pPr>
              <w:pStyle w:val="TableParagraph"/>
              <w:spacing w:before="375"/>
              <w:ind w:left="4018"/>
              <w:rPr>
                <w:rFonts w:ascii="宋体" w:eastAsia="宋体" w:hint="eastAsia"/>
                <w:sz w:val="31"/>
              </w:rPr>
            </w:pPr>
            <w:r>
              <w:rPr>
                <w:rFonts w:ascii="宋体" w:eastAsia="宋体" w:hint="eastAsia"/>
                <w:sz w:val="31"/>
              </w:rPr>
              <w:t>自动化仪表盘柜安装</w:t>
            </w:r>
          </w:p>
          <w:p>
            <w:pPr>
              <w:pStyle w:val="TableParagraph"/>
              <w:rPr>
                <w:rFonts w:ascii="宋体"/>
                <w:b/>
                <w:sz w:val="42"/>
              </w:rPr>
            </w:pPr>
          </w:p>
          <w:p>
            <w:pPr>
              <w:pStyle w:val="TableParagraph"/>
              <w:rPr>
                <w:rFonts w:ascii="宋体"/>
                <w:b/>
                <w:sz w:val="42"/>
              </w:rPr>
            </w:pPr>
          </w:p>
          <w:p>
            <w:pPr>
              <w:pStyle w:val="TableParagraph"/>
              <w:spacing w:before="6"/>
              <w:rPr>
                <w:rFonts w:ascii="宋体"/>
                <w:b/>
                <w:sz w:val="43"/>
              </w:rPr>
            </w:pPr>
          </w:p>
          <w:p>
            <w:pPr>
              <w:pStyle w:val="TableParagraph"/>
              <w:ind w:left="2368" w:right="2032"/>
              <w:jc w:val="center"/>
              <w:rPr>
                <w:rFonts w:ascii="宋体" w:eastAsia="宋体" w:hint="eastAsia"/>
                <w:sz w:val="31"/>
              </w:rPr>
            </w:pPr>
            <w:r>
              <w:rPr>
                <w:rFonts w:ascii="宋体" w:eastAsia="宋体" w:hint="eastAsia"/>
                <w:sz w:val="31"/>
              </w:rPr>
              <w:t>现场仪表设备安装</w:t>
            </w:r>
          </w:p>
        </w:tc>
      </w:tr>
      <w:tr>
        <w:tblPrEx>
          <w:tblW w:w="0" w:type="auto"/>
          <w:jc w:val="left"/>
          <w:tblInd w:w="599" w:type="dxa"/>
          <w:tblLayout w:type="fixed"/>
          <w:tblCellMar>
            <w:top w:w="0" w:type="dxa"/>
            <w:left w:w="0" w:type="dxa"/>
            <w:bottom w:w="0" w:type="dxa"/>
            <w:right w:w="0" w:type="dxa"/>
          </w:tblCellMar>
          <w:tblLook w:val="01E0"/>
        </w:tblPrEx>
        <w:trPr>
          <w:trHeight w:val="1200"/>
          <w:jc w:val="left"/>
        </w:trPr>
        <w:tc>
          <w:tcPr>
            <w:tcW w:w="3683" w:type="dxa"/>
          </w:tcPr>
          <w:p>
            <w:pPr>
              <w:pStyle w:val="TableParagraph"/>
              <w:spacing w:before="2"/>
              <w:rPr>
                <w:rFonts w:ascii="宋体"/>
                <w:b/>
                <w:sz w:val="32"/>
              </w:rPr>
            </w:pPr>
          </w:p>
          <w:p>
            <w:pPr>
              <w:pStyle w:val="TableParagraph"/>
              <w:ind w:left="1003"/>
              <w:rPr>
                <w:rFonts w:ascii="宋体" w:eastAsia="宋体" w:hint="eastAsia"/>
                <w:sz w:val="31"/>
              </w:rPr>
            </w:pPr>
            <w:r>
              <w:rPr>
                <w:rFonts w:ascii="宋体" w:eastAsia="宋体" w:hint="eastAsia"/>
                <w:sz w:val="31"/>
              </w:rPr>
              <w:t>绝缘测试</w:t>
            </w:r>
          </w:p>
        </w:tc>
        <w:tc>
          <w:tcPr>
            <w:tcW w:w="2634" w:type="dxa"/>
          </w:tcPr>
          <w:p>
            <w:pPr>
              <w:pStyle w:val="TableParagraph"/>
              <w:rPr>
                <w:rFonts w:ascii="Times New Roman"/>
                <w:sz w:val="32"/>
              </w:rPr>
            </w:pPr>
          </w:p>
        </w:tc>
        <w:tc>
          <w:tcPr>
            <w:tcW w:w="4287" w:type="dxa"/>
          </w:tcPr>
          <w:p>
            <w:pPr>
              <w:pStyle w:val="TableParagraph"/>
              <w:spacing w:before="3"/>
              <w:rPr>
                <w:rFonts w:ascii="宋体"/>
                <w:b/>
                <w:sz w:val="34"/>
              </w:rPr>
            </w:pPr>
          </w:p>
          <w:p>
            <w:pPr>
              <w:pStyle w:val="TableParagraph"/>
              <w:ind w:left="267"/>
              <w:rPr>
                <w:rFonts w:ascii="宋体" w:eastAsia="宋体" w:hint="eastAsia"/>
                <w:sz w:val="24"/>
              </w:rPr>
            </w:pPr>
            <w:r>
              <w:rPr>
                <w:rFonts w:ascii="宋体" w:eastAsia="宋体" w:hint="eastAsia"/>
                <w:sz w:val="24"/>
              </w:rPr>
              <w:t>电线电缆敷设</w:t>
            </w:r>
          </w:p>
        </w:tc>
      </w:tr>
      <w:tr>
        <w:tblPrEx>
          <w:tblW w:w="0" w:type="auto"/>
          <w:jc w:val="left"/>
          <w:tblInd w:w="599" w:type="dxa"/>
          <w:tblLayout w:type="fixed"/>
          <w:tblCellMar>
            <w:top w:w="0" w:type="dxa"/>
            <w:left w:w="0" w:type="dxa"/>
            <w:bottom w:w="0" w:type="dxa"/>
            <w:right w:w="0" w:type="dxa"/>
          </w:tblCellMar>
          <w:tblLook w:val="01E0"/>
        </w:tblPrEx>
        <w:trPr>
          <w:trHeight w:val="1197"/>
          <w:jc w:val="left"/>
        </w:trPr>
        <w:tc>
          <w:tcPr>
            <w:tcW w:w="6317" w:type="dxa"/>
            <w:gridSpan w:val="2"/>
            <w:vMerge w:val="restart"/>
          </w:tcPr>
          <w:p>
            <w:pPr>
              <w:pStyle w:val="TableParagraph"/>
              <w:rPr>
                <w:rFonts w:ascii="Times New Roman"/>
                <w:sz w:val="32"/>
              </w:rPr>
            </w:pPr>
          </w:p>
        </w:tc>
        <w:tc>
          <w:tcPr>
            <w:tcW w:w="4287" w:type="dxa"/>
          </w:tcPr>
          <w:p>
            <w:pPr>
              <w:pStyle w:val="TableParagraph"/>
              <w:spacing w:before="12"/>
              <w:rPr>
                <w:rFonts w:ascii="宋体"/>
                <w:b/>
                <w:sz w:val="31"/>
              </w:rPr>
            </w:pPr>
          </w:p>
          <w:p>
            <w:pPr>
              <w:pStyle w:val="TableParagraph"/>
              <w:ind w:left="346"/>
              <w:rPr>
                <w:rFonts w:ascii="宋体" w:eastAsia="宋体" w:hint="eastAsia"/>
                <w:sz w:val="24"/>
              </w:rPr>
            </w:pPr>
            <w:r>
              <w:rPr>
                <w:rFonts w:ascii="宋体" w:eastAsia="宋体" w:hint="eastAsia"/>
                <w:sz w:val="24"/>
              </w:rPr>
              <w:t>各种设备接线</w:t>
            </w:r>
          </w:p>
        </w:tc>
      </w:tr>
      <w:tr>
        <w:tblPrEx>
          <w:tblW w:w="0" w:type="auto"/>
          <w:jc w:val="left"/>
          <w:tblInd w:w="599" w:type="dxa"/>
          <w:tblLayout w:type="fixed"/>
          <w:tblCellMar>
            <w:top w:w="0" w:type="dxa"/>
            <w:left w:w="0" w:type="dxa"/>
            <w:bottom w:w="0" w:type="dxa"/>
            <w:right w:w="0" w:type="dxa"/>
          </w:tblCellMar>
          <w:tblLook w:val="01E0"/>
        </w:tblPrEx>
        <w:trPr>
          <w:trHeight w:val="1370"/>
          <w:jc w:val="left"/>
        </w:trPr>
        <w:tc>
          <w:tcPr>
            <w:tcW w:w="6317" w:type="dxa"/>
            <w:gridSpan w:val="2"/>
            <w:vMerge/>
            <w:tcBorders>
              <w:top w:val="nil"/>
            </w:tcBorders>
          </w:tcPr>
          <w:p>
            <w:pPr>
              <w:rPr>
                <w:sz w:val="2"/>
                <w:szCs w:val="2"/>
              </w:rPr>
            </w:pPr>
          </w:p>
        </w:tc>
        <w:tc>
          <w:tcPr>
            <w:tcW w:w="4287" w:type="dxa"/>
          </w:tcPr>
          <w:p>
            <w:pPr>
              <w:pStyle w:val="TableParagraph"/>
              <w:spacing w:before="10"/>
              <w:rPr>
                <w:rFonts w:ascii="宋体"/>
                <w:b/>
                <w:sz w:val="39"/>
              </w:rPr>
            </w:pPr>
          </w:p>
          <w:p>
            <w:pPr>
              <w:pStyle w:val="TableParagraph"/>
              <w:spacing w:before="1"/>
              <w:ind w:left="436"/>
              <w:rPr>
                <w:rFonts w:ascii="宋体" w:eastAsia="宋体" w:hint="eastAsia"/>
                <w:sz w:val="31"/>
              </w:rPr>
            </w:pPr>
            <w:r>
              <w:rPr>
                <w:rFonts w:ascii="宋体" w:eastAsia="宋体" w:hint="eastAsia"/>
                <w:sz w:val="31"/>
              </w:rPr>
              <w:t>系统调试</w:t>
            </w:r>
          </w:p>
        </w:tc>
      </w:tr>
      <w:tr>
        <w:tblPrEx>
          <w:tblW w:w="0" w:type="auto"/>
          <w:jc w:val="left"/>
          <w:tblInd w:w="599" w:type="dxa"/>
          <w:tblLayout w:type="fixed"/>
          <w:tblCellMar>
            <w:top w:w="0" w:type="dxa"/>
            <w:left w:w="0" w:type="dxa"/>
            <w:bottom w:w="0" w:type="dxa"/>
            <w:right w:w="0" w:type="dxa"/>
          </w:tblCellMar>
          <w:tblLook w:val="01E0"/>
        </w:tblPrEx>
        <w:trPr>
          <w:trHeight w:val="1233"/>
          <w:jc w:val="left"/>
        </w:trPr>
        <w:tc>
          <w:tcPr>
            <w:tcW w:w="6317" w:type="dxa"/>
            <w:gridSpan w:val="2"/>
            <w:vMerge/>
            <w:tcBorders>
              <w:top w:val="nil"/>
            </w:tcBorders>
          </w:tcPr>
          <w:p>
            <w:pPr>
              <w:rPr>
                <w:sz w:val="2"/>
                <w:szCs w:val="2"/>
              </w:rPr>
            </w:pPr>
          </w:p>
        </w:tc>
        <w:tc>
          <w:tcPr>
            <w:tcW w:w="4287" w:type="dxa"/>
          </w:tcPr>
          <w:p>
            <w:pPr>
              <w:pStyle w:val="TableParagraph"/>
              <w:spacing w:before="7"/>
              <w:rPr>
                <w:rFonts w:ascii="宋体"/>
                <w:b/>
                <w:sz w:val="37"/>
              </w:rPr>
            </w:pPr>
          </w:p>
          <w:p>
            <w:pPr>
              <w:pStyle w:val="TableParagraph"/>
              <w:ind w:left="346"/>
              <w:rPr>
                <w:rFonts w:ascii="宋体" w:eastAsia="宋体" w:hint="eastAsia"/>
                <w:sz w:val="24"/>
              </w:rPr>
            </w:pPr>
            <w:r>
              <w:rPr>
                <w:rFonts w:ascii="宋体" w:eastAsia="宋体" w:hint="eastAsia"/>
                <w:sz w:val="24"/>
              </w:rPr>
              <w:t>遗留问题处理</w:t>
            </w:r>
          </w:p>
        </w:tc>
      </w:tr>
      <w:tr>
        <w:tblPrEx>
          <w:tblW w:w="0" w:type="auto"/>
          <w:jc w:val="left"/>
          <w:tblInd w:w="599" w:type="dxa"/>
          <w:tblLayout w:type="fixed"/>
          <w:tblCellMar>
            <w:top w:w="0" w:type="dxa"/>
            <w:left w:w="0" w:type="dxa"/>
            <w:bottom w:w="0" w:type="dxa"/>
            <w:right w:w="0" w:type="dxa"/>
          </w:tblCellMar>
          <w:tblLook w:val="01E0"/>
        </w:tblPrEx>
        <w:trPr>
          <w:trHeight w:val="769"/>
          <w:jc w:val="left"/>
        </w:trPr>
        <w:tc>
          <w:tcPr>
            <w:tcW w:w="6317" w:type="dxa"/>
            <w:gridSpan w:val="2"/>
            <w:vMerge/>
            <w:tcBorders>
              <w:top w:val="nil"/>
            </w:tcBorders>
          </w:tcPr>
          <w:p>
            <w:pPr>
              <w:rPr>
                <w:sz w:val="2"/>
                <w:szCs w:val="2"/>
              </w:rPr>
            </w:pPr>
          </w:p>
        </w:tc>
        <w:tc>
          <w:tcPr>
            <w:tcW w:w="4287" w:type="dxa"/>
          </w:tcPr>
          <w:p>
            <w:pPr>
              <w:pStyle w:val="TableParagraph"/>
              <w:spacing w:before="3"/>
              <w:rPr>
                <w:rFonts w:ascii="宋体"/>
                <w:b/>
                <w:sz w:val="36"/>
              </w:rPr>
            </w:pPr>
          </w:p>
          <w:p>
            <w:pPr>
              <w:pStyle w:val="TableParagraph"/>
              <w:tabs>
                <w:tab w:val="left" w:pos="1308"/>
              </w:tabs>
              <w:spacing w:line="285" w:lineRule="exact"/>
              <w:ind w:left="585"/>
              <w:rPr>
                <w:rFonts w:ascii="宋体" w:eastAsia="宋体" w:hint="eastAsia"/>
                <w:sz w:val="24"/>
              </w:rPr>
            </w:pPr>
            <w:r>
              <w:rPr>
                <w:rFonts w:ascii="宋体" w:eastAsia="宋体" w:hint="eastAsia"/>
                <w:sz w:val="24"/>
              </w:rPr>
              <w:t>交</w:t>
              <w:tab/>
              <w:t>工</w:t>
            </w:r>
          </w:p>
        </w:tc>
      </w:tr>
    </w:tbl>
    <w:p>
      <w:pPr>
        <w:spacing w:after="0" w:line="285" w:lineRule="exact"/>
        <w:rPr>
          <w:rFonts w:hint="eastAsia"/>
          <w:sz w:val="24"/>
        </w:rPr>
        <w:sectPr>
          <w:headerReference w:type="default" r:id="rId13"/>
          <w:footerReference w:type="default" r:id="rId14"/>
          <w:pgSz w:w="17860" w:h="25270"/>
          <w:pgMar w:top="1300" w:right="0" w:bottom="1700" w:left="1980" w:header="969" w:footer="1488"/>
          <w:pgNumType w:start="5"/>
          <w:cols w:space="708"/>
        </w:sectPr>
      </w:pPr>
    </w:p>
    <w:p>
      <w:pPr>
        <w:pStyle w:val="BodyText"/>
        <w:rPr>
          <w:b/>
          <w:sz w:val="20"/>
        </w:rPr>
      </w:pPr>
    </w:p>
    <w:p>
      <w:pPr>
        <w:pStyle w:val="BodyText"/>
        <w:spacing w:before="8"/>
        <w:rPr>
          <w:b/>
          <w:sz w:val="28"/>
        </w:rPr>
      </w:pPr>
    </w:p>
    <w:p>
      <w:pPr>
        <w:spacing w:before="42"/>
        <w:ind w:left="573" w:right="0" w:firstLine="0"/>
        <w:jc w:val="left"/>
        <w:rPr>
          <w:b/>
          <w:sz w:val="42"/>
        </w:rPr>
      </w:pPr>
      <w:r>
        <w:rPr>
          <w:b/>
          <w:sz w:val="42"/>
        </w:rPr>
        <w:t>七、施工技术要求</w:t>
      </w:r>
    </w:p>
    <w:p>
      <w:pPr>
        <w:pStyle w:val="Heading2"/>
        <w:spacing w:before="255"/>
      </w:pPr>
      <w:r>
        <w:t>1、取源部件的安装</w:t>
      </w:r>
    </w:p>
    <w:p>
      <w:pPr>
        <w:pStyle w:val="ListParagraph"/>
        <w:numPr>
          <w:ilvl w:val="0"/>
          <w:numId w:val="25"/>
        </w:numPr>
        <w:tabs>
          <w:tab w:val="left" w:pos="2194"/>
        </w:tabs>
        <w:spacing w:before="7" w:after="0" w:line="240" w:lineRule="auto"/>
        <w:ind w:left="2194" w:right="0" w:hanging="901"/>
        <w:jc w:val="left"/>
        <w:rPr>
          <w:sz w:val="36"/>
        </w:rPr>
      </w:pPr>
      <w:r>
        <w:rPr>
          <w:sz w:val="36"/>
        </w:rPr>
        <w:t>总体要求</w:t>
      </w:r>
    </w:p>
    <w:p>
      <w:pPr>
        <w:pStyle w:val="BodyText"/>
        <w:spacing w:before="237"/>
        <w:ind w:left="1293"/>
      </w:pPr>
      <w:r>
        <w:t>①取源部件的安装，应在工艺设备制造或工艺管道预制、安装的同时进行。</w:t>
      </w:r>
    </w:p>
    <w:p>
      <w:pPr>
        <w:pStyle w:val="BodyText"/>
        <w:spacing w:before="241" w:line="362" w:lineRule="auto"/>
        <w:ind w:left="573" w:right="2344" w:firstLine="719"/>
      </w:pPr>
      <w:r>
        <w:t>②安装取源部件的开孔或焊接工作，必须在工艺管道或设备的防腐、衬里、吹扫和压力试验前进行。</w:t>
      </w:r>
    </w:p>
    <w:p>
      <w:pPr>
        <w:pStyle w:val="BodyText"/>
        <w:spacing w:before="7" w:line="362" w:lineRule="auto"/>
        <w:ind w:left="573" w:right="2344" w:firstLine="719"/>
      </w:pPr>
      <w:r>
        <w:t>③在高压、合金钢、有色金属的工艺管道或设备上开孔时，应采用机械加工的方法。</w:t>
      </w:r>
    </w:p>
    <w:p>
      <w:pPr>
        <w:pStyle w:val="BodyText"/>
        <w:spacing w:before="8" w:line="364" w:lineRule="auto"/>
        <w:ind w:left="573" w:right="2438" w:firstLine="719"/>
      </w:pPr>
      <w:r>
        <w:rPr>
          <w:spacing w:val="-4"/>
        </w:rPr>
        <w:t>④在砌体和混凝土浇筑体上安装的取源部件应在砌筑或浇筑的同时埋入，当无</w:t>
      </w:r>
      <w:r>
        <w:t>法做到时，应预留安装孔。</w:t>
      </w:r>
    </w:p>
    <w:p>
      <w:pPr>
        <w:pStyle w:val="BodyText"/>
        <w:spacing w:line="459" w:lineRule="exact"/>
        <w:ind w:left="1293"/>
      </w:pPr>
      <w:r>
        <w:t>⑤安装取源部件不宜在焊缝及其边缘上开孔及焊接。</w:t>
      </w:r>
    </w:p>
    <w:p>
      <w:pPr>
        <w:pStyle w:val="ListParagraph"/>
        <w:numPr>
          <w:ilvl w:val="0"/>
          <w:numId w:val="25"/>
        </w:numPr>
        <w:tabs>
          <w:tab w:val="left" w:pos="2194"/>
        </w:tabs>
        <w:spacing w:before="241" w:after="0" w:line="240" w:lineRule="auto"/>
        <w:ind w:left="2194" w:right="0" w:hanging="901"/>
        <w:jc w:val="left"/>
        <w:rPr>
          <w:sz w:val="36"/>
        </w:rPr>
      </w:pPr>
      <w:r>
        <w:rPr>
          <w:sz w:val="36"/>
        </w:rPr>
        <w:t>温度取源部件的安装</w:t>
      </w:r>
    </w:p>
    <w:p>
      <w:pPr>
        <w:pStyle w:val="BodyText"/>
        <w:spacing w:before="237" w:line="364" w:lineRule="auto"/>
        <w:ind w:left="573" w:right="2438" w:firstLine="719"/>
      </w:pPr>
      <w:r>
        <w:rPr>
          <w:spacing w:val="-4"/>
        </w:rPr>
        <w:t>①温度取源部件的安装位置应选在介质温度变化灵敏和具有代表性的地方，不</w:t>
      </w:r>
      <w:r>
        <w:t>宜选在阀门等阻力部件的附近和介质流束呈死角处以及振动较大的地方。</w:t>
      </w:r>
    </w:p>
    <w:p>
      <w:pPr>
        <w:pStyle w:val="BodyText"/>
        <w:spacing w:line="459" w:lineRule="exact"/>
        <w:ind w:left="1293"/>
      </w:pPr>
      <w:r>
        <w:t>②热电偶取源部件的安装位置，应远离强磁场。</w:t>
      </w:r>
    </w:p>
    <w:p>
      <w:pPr>
        <w:pStyle w:val="BodyText"/>
        <w:spacing w:before="242"/>
        <w:ind w:left="1293"/>
      </w:pPr>
      <w:r>
        <w:t>③温度部件在工艺管道上安装应符合：</w:t>
      </w:r>
    </w:p>
    <w:p>
      <w:pPr>
        <w:pStyle w:val="BodyText"/>
        <w:spacing w:before="237"/>
        <w:ind w:left="1293"/>
      </w:pPr>
      <w:r>
        <w:rPr>
          <w:rFonts w:ascii="Arial" w:eastAsia="Arial"/>
        </w:rPr>
        <w:t>a</w:t>
      </w:r>
      <w:r>
        <w:t>、与工艺管道垂直安装时，取源部件轴线应与工艺管道轴线垂直相交。</w:t>
      </w:r>
    </w:p>
    <w:p>
      <w:pPr>
        <w:pStyle w:val="BodyText"/>
        <w:spacing w:before="241" w:line="362" w:lineRule="auto"/>
        <w:ind w:left="573" w:right="2524" w:firstLine="719"/>
      </w:pPr>
      <w:r>
        <w:rPr>
          <w:rFonts w:ascii="Arial" w:eastAsia="Arial"/>
          <w:w w:val="95"/>
        </w:rPr>
        <w:t>b</w:t>
      </w:r>
      <w:r>
        <w:rPr>
          <w:spacing w:val="-1"/>
          <w:w w:val="95"/>
        </w:rPr>
        <w:t xml:space="preserve">、在工艺管道的拐弯处安装时，宜逆着介质流向，取源部件轴线应与工艺管  </w:t>
      </w:r>
      <w:r>
        <w:t>道轴线相重合。</w:t>
      </w:r>
    </w:p>
    <w:p>
      <w:pPr>
        <w:pStyle w:val="BodyText"/>
        <w:spacing w:before="7" w:line="362" w:lineRule="auto"/>
        <w:ind w:left="573" w:right="2546" w:firstLine="719"/>
      </w:pPr>
      <w:r>
        <w:rPr>
          <w:rFonts w:ascii="Arial" w:eastAsia="Arial"/>
          <w:w w:val="95"/>
        </w:rPr>
        <w:t>c</w:t>
      </w:r>
      <w:r>
        <w:rPr>
          <w:spacing w:val="-1"/>
          <w:w w:val="95"/>
        </w:rPr>
        <w:t xml:space="preserve">、与工艺管道倾斜安装时，宜逆着介质流向，取源部件轴线应与工艺管道轴  </w:t>
      </w:r>
      <w:r>
        <w:t>线相交。</w:t>
      </w:r>
    </w:p>
    <w:p>
      <w:pPr>
        <w:pStyle w:val="ListParagraph"/>
        <w:numPr>
          <w:ilvl w:val="0"/>
          <w:numId w:val="25"/>
        </w:numPr>
        <w:tabs>
          <w:tab w:val="left" w:pos="2194"/>
        </w:tabs>
        <w:spacing w:before="7" w:after="0" w:line="240" w:lineRule="auto"/>
        <w:ind w:left="2194" w:right="0" w:hanging="901"/>
        <w:jc w:val="left"/>
        <w:rPr>
          <w:sz w:val="36"/>
        </w:rPr>
      </w:pPr>
      <w:r>
        <w:rPr>
          <w:sz w:val="36"/>
        </w:rPr>
        <w:t>压力取源部件的安装</w:t>
      </w:r>
    </w:p>
    <w:p>
      <w:pPr>
        <w:pStyle w:val="BodyText"/>
        <w:spacing w:before="239"/>
        <w:ind w:left="1293"/>
      </w:pPr>
      <w:r>
        <w:t>①压力取源部件的安装位置应选在介质流束稳定的地方。</w:t>
      </w:r>
    </w:p>
    <w:p>
      <w:pPr>
        <w:pStyle w:val="BodyText"/>
        <w:spacing w:before="240" w:line="364" w:lineRule="auto"/>
        <w:ind w:left="573" w:right="2438" w:firstLine="719"/>
      </w:pPr>
      <w:r>
        <w:rPr>
          <w:spacing w:val="-6"/>
        </w:rPr>
        <w:t>②压力取源部件与温度取源部件在同一管段上时，应安装在温度取源部件的上</w:t>
      </w:r>
      <w:r>
        <w:t>游侧。</w:t>
      </w:r>
    </w:p>
    <w:p>
      <w:pPr>
        <w:pStyle w:val="BodyText"/>
        <w:spacing w:line="459" w:lineRule="exact"/>
        <w:ind w:left="1293"/>
      </w:pPr>
      <w:r>
        <w:t>③压力取源部件的端部不应超出工艺管道或设备的内壁。</w:t>
      </w:r>
    </w:p>
    <w:p>
      <w:pPr>
        <w:pStyle w:val="BodyText"/>
        <w:spacing w:before="241" w:line="362" w:lineRule="auto"/>
        <w:ind w:left="573" w:right="2438" w:firstLine="719"/>
      </w:pPr>
      <w:r>
        <w:rPr>
          <w:spacing w:val="-9"/>
        </w:rPr>
        <w:t>④测量带有灰尘、固体颗粒或沉淀物等混浊介质的压力时，取源部件应倾斜向</w:t>
      </w:r>
      <w:r>
        <w:t>上安装。在水平的工艺管道上时应顺流束呈锐角安装。</w:t>
      </w:r>
    </w:p>
    <w:p>
      <w:pPr>
        <w:pStyle w:val="BodyText"/>
        <w:spacing w:before="8" w:line="364" w:lineRule="auto"/>
        <w:ind w:left="573" w:right="2613" w:firstLine="719"/>
      </w:pPr>
      <w:r>
        <w:rPr>
          <w:spacing w:val="-14"/>
        </w:rPr>
        <w:t xml:space="preserve">⑤当测量温度高于 </w:t>
      </w:r>
      <w:r>
        <w:rPr>
          <w:rFonts w:ascii="Arial" w:eastAsia="Arial" w:hAnsi="Arial"/>
        </w:rPr>
        <w:t>60</w:t>
      </w:r>
      <w:r>
        <w:rPr>
          <w:spacing w:val="-1"/>
        </w:rPr>
        <w:t>℃的液体、蒸汽和克宁性气体的压力时，就地安装的压</w:t>
      </w:r>
      <w:r>
        <w:rPr>
          <w:spacing w:val="-7"/>
        </w:rPr>
        <w:t xml:space="preserve">力表的取源部件应带有环形或 </w:t>
      </w:r>
      <w:r>
        <w:rPr>
          <w:rFonts w:ascii="Arial" w:eastAsia="Arial" w:hAnsi="Arial"/>
        </w:rPr>
        <w:t xml:space="preserve">U </w:t>
      </w:r>
      <w:r>
        <w:t>型冷凝弯。</w:t>
      </w:r>
    </w:p>
    <w:p>
      <w:pPr>
        <w:spacing w:after="0" w:line="364" w:lineRule="auto"/>
        <w:sectPr>
          <w:headerReference w:type="default" r:id="rId15"/>
          <w:footerReference w:type="default" r:id="rId16"/>
          <w:pgSz w:w="17860" w:h="25270"/>
          <w:pgMar w:top="1300" w:right="0" w:bottom="1700" w:left="1980" w:header="969" w:footer="1488"/>
          <w:pgNumType w:start="6"/>
          <w:cols w:space="708"/>
        </w:sectPr>
      </w:pPr>
    </w:p>
    <w:p>
      <w:pPr>
        <w:pStyle w:val="BodyText"/>
        <w:rPr>
          <w:sz w:val="20"/>
        </w:rPr>
      </w:pPr>
    </w:p>
    <w:p>
      <w:pPr>
        <w:pStyle w:val="BodyText"/>
        <w:spacing w:before="11"/>
        <w:rPr>
          <w:sz w:val="16"/>
        </w:rPr>
      </w:pPr>
    </w:p>
    <w:p>
      <w:pPr>
        <w:pStyle w:val="BodyText"/>
        <w:spacing w:before="49" w:line="364" w:lineRule="auto"/>
        <w:ind w:left="573" w:right="2438" w:firstLine="719"/>
      </w:pPr>
      <w:r>
        <w:rPr>
          <w:spacing w:val="-6"/>
        </w:rPr>
        <w:t>⑥压力取源部件在水平和倾斜的工艺管道上安装时，取压口地方位应符合下列</w:t>
      </w:r>
      <w:r>
        <w:t>规定：</w:t>
      </w:r>
    </w:p>
    <w:p>
      <w:pPr>
        <w:pStyle w:val="BodyText"/>
        <w:spacing w:line="460" w:lineRule="exact"/>
        <w:ind w:left="1293"/>
      </w:pPr>
      <w:r>
        <w:rPr>
          <w:rFonts w:ascii="Arial" w:eastAsia="Arial"/>
        </w:rPr>
        <w:t>a</w:t>
      </w:r>
      <w:r>
        <w:t>、测量气体压力时，在工艺管道的上半部。</w:t>
      </w:r>
    </w:p>
    <w:p>
      <w:pPr>
        <w:pStyle w:val="BodyText"/>
        <w:spacing w:before="238"/>
        <w:ind w:left="1293"/>
        <w:rPr>
          <w:rFonts w:ascii="Arial" w:eastAsia="Arial"/>
        </w:rPr>
      </w:pPr>
      <w:r>
        <w:rPr>
          <w:rFonts w:ascii="Arial" w:eastAsia="Arial"/>
        </w:rPr>
        <w:t>b</w:t>
      </w:r>
      <w:r>
        <w:t xml:space="preserve">、测量液体压力时，在工艺管道的下半部与工艺管道的水平中心线成 </w:t>
      </w:r>
      <w:r>
        <w:rPr>
          <w:rFonts w:ascii="Arial" w:eastAsia="Arial"/>
        </w:rPr>
        <w:t xml:space="preserve">0 </w:t>
      </w:r>
      <w:r>
        <w:t xml:space="preserve">至 </w:t>
      </w:r>
      <w:r>
        <w:rPr>
          <w:rFonts w:ascii="Arial" w:eastAsia="Arial"/>
        </w:rPr>
        <w:t>45</w:t>
      </w:r>
    </w:p>
    <w:p>
      <w:pPr>
        <w:pStyle w:val="BodyText"/>
        <w:spacing w:before="240" w:line="362" w:lineRule="auto"/>
        <w:ind w:left="1293" w:right="2612" w:hanging="720"/>
        <w:rPr>
          <w:rFonts w:ascii="Arial" w:eastAsia="Arial"/>
        </w:rPr>
      </w:pPr>
      <w:r>
        <w:t>度夹角的范围内。                                                     ｃ</w:t>
      </w:r>
      <w:r>
        <w:rPr>
          <w:spacing w:val="-4"/>
        </w:rPr>
        <w:t xml:space="preserve">、测量蒸气压力时，在工艺管道的上半部与工艺管道水平中心线成 </w:t>
      </w:r>
      <w:r>
        <w:rPr>
          <w:rFonts w:ascii="Arial" w:eastAsia="Arial"/>
        </w:rPr>
        <w:t>0</w:t>
      </w:r>
      <w:r>
        <w:rPr>
          <w:rFonts w:ascii="Arial" w:eastAsia="Arial"/>
          <w:spacing w:val="-29"/>
        </w:rPr>
        <w:t xml:space="preserve"> </w:t>
      </w:r>
      <w:r>
        <w:rPr>
          <w:spacing w:val="-54"/>
        </w:rPr>
        <w:t xml:space="preserve">至 </w:t>
      </w:r>
      <w:r>
        <w:rPr>
          <w:rFonts w:ascii="Arial" w:eastAsia="Arial"/>
          <w:spacing w:val="-9"/>
        </w:rPr>
        <w:t>45</w:t>
      </w:r>
    </w:p>
    <w:p>
      <w:pPr>
        <w:pStyle w:val="BodyText"/>
        <w:spacing w:before="8"/>
        <w:ind w:left="573"/>
      </w:pPr>
      <w:r>
        <w:t>度夹角的范围内。</w:t>
      </w:r>
    </w:p>
    <w:p>
      <w:pPr>
        <w:pStyle w:val="ListParagraph"/>
        <w:numPr>
          <w:ilvl w:val="0"/>
          <w:numId w:val="26"/>
        </w:numPr>
        <w:tabs>
          <w:tab w:val="left" w:pos="2194"/>
        </w:tabs>
        <w:spacing w:before="241" w:after="0" w:line="240" w:lineRule="auto"/>
        <w:ind w:left="2194" w:right="0" w:hanging="901"/>
        <w:jc w:val="left"/>
        <w:rPr>
          <w:sz w:val="36"/>
        </w:rPr>
      </w:pPr>
      <w:r>
        <w:rPr>
          <w:sz w:val="36"/>
        </w:rPr>
        <w:t>流量取源部件的安装</w:t>
      </w:r>
    </w:p>
    <w:p>
      <w:pPr>
        <w:pStyle w:val="BodyText"/>
        <w:spacing w:before="237"/>
        <w:ind w:left="1293"/>
      </w:pPr>
      <w:r>
        <w:t>①孔板上下游侧直管段的最小长度应符合设计规定。</w:t>
      </w:r>
    </w:p>
    <w:p>
      <w:pPr>
        <w:pStyle w:val="BodyText"/>
        <w:spacing w:before="241"/>
        <w:ind w:left="1293"/>
      </w:pPr>
      <w:r>
        <w:t>②安装节流件所规定的最小直管段，其内表面应清洁、无凹坑。</w:t>
      </w:r>
    </w:p>
    <w:p>
      <w:pPr>
        <w:pStyle w:val="BodyText"/>
        <w:spacing w:before="237" w:line="364" w:lineRule="auto"/>
        <w:ind w:left="573" w:right="2438" w:firstLine="719"/>
      </w:pPr>
      <w:r>
        <w:rPr>
          <w:spacing w:val="-7"/>
        </w:rPr>
        <w:t>③在节流件的上游侧安装温度计时，温度计与节流件间的直管距离应付和下列</w:t>
      </w:r>
      <w:r>
        <w:t>规定：</w:t>
      </w:r>
    </w:p>
    <w:p>
      <w:pPr>
        <w:pStyle w:val="BodyText"/>
        <w:spacing w:line="364" w:lineRule="auto"/>
        <w:ind w:left="573" w:right="2392" w:firstLine="719"/>
      </w:pPr>
      <w:r>
        <w:rPr>
          <w:rFonts w:ascii="Arial" w:eastAsia="Arial"/>
          <w:w w:val="95"/>
        </w:rPr>
        <w:t>a</w:t>
      </w:r>
      <w:r>
        <w:rPr>
          <w:spacing w:val="3"/>
          <w:w w:val="95"/>
        </w:rPr>
        <w:t>、温度计套管直径小于或等于</w:t>
      </w:r>
      <w:r>
        <w:rPr>
          <w:rFonts w:ascii="Arial" w:eastAsia="Arial"/>
          <w:w w:val="95"/>
        </w:rPr>
        <w:t xml:space="preserve">0.03 </w:t>
      </w:r>
      <w:r>
        <w:rPr>
          <w:spacing w:val="4"/>
          <w:w w:val="95"/>
        </w:rPr>
        <w:t>倍工艺管道内径时，不小于</w:t>
      </w:r>
      <w:r>
        <w:rPr>
          <w:rFonts w:ascii="Arial" w:eastAsia="Arial"/>
          <w:spacing w:val="-20"/>
          <w:w w:val="95"/>
        </w:rPr>
        <w:t>5</w:t>
      </w:r>
      <w:r>
        <w:rPr>
          <w:spacing w:val="-20"/>
          <w:w w:val="95"/>
        </w:rPr>
        <w:t>（</w:t>
      </w:r>
      <w:r>
        <w:rPr>
          <w:spacing w:val="62"/>
          <w:w w:val="95"/>
        </w:rPr>
        <w:t xml:space="preserve">或 </w:t>
      </w:r>
      <w:r>
        <w:rPr>
          <w:rFonts w:ascii="Arial" w:eastAsia="Arial"/>
          <w:w w:val="95"/>
        </w:rPr>
        <w:t>3</w:t>
      </w:r>
      <w:r>
        <w:rPr>
          <w:w w:val="95"/>
        </w:rPr>
        <w:t>）</w:t>
      </w:r>
      <w:r>
        <w:rPr>
          <w:spacing w:val="-7"/>
          <w:w w:val="95"/>
        </w:rPr>
        <w:t>倍工</w:t>
      </w:r>
      <w:r>
        <w:t>艺管道内径。</w:t>
      </w:r>
    </w:p>
    <w:p>
      <w:pPr>
        <w:pStyle w:val="BodyText"/>
        <w:spacing w:line="364" w:lineRule="auto"/>
        <w:ind w:left="573" w:right="2204" w:firstLine="719"/>
      </w:pPr>
      <w:r>
        <w:t>ｂ</w:t>
      </w:r>
      <w:r>
        <w:rPr>
          <w:spacing w:val="-24"/>
        </w:rPr>
        <w:t xml:space="preserve">、温度计套管直径在 </w:t>
      </w:r>
      <w:r>
        <w:rPr>
          <w:rFonts w:ascii="Arial" w:eastAsia="Arial"/>
        </w:rPr>
        <w:t xml:space="preserve">0.03 </w:t>
      </w:r>
      <w:r>
        <w:rPr>
          <w:spacing w:val="-63"/>
        </w:rPr>
        <w:t xml:space="preserve">到 </w:t>
      </w:r>
      <w:r>
        <w:rPr>
          <w:rFonts w:ascii="Arial" w:eastAsia="Arial"/>
        </w:rPr>
        <w:t xml:space="preserve">0.13 </w:t>
      </w:r>
      <w:r>
        <w:rPr>
          <w:spacing w:val="-17"/>
        </w:rPr>
        <w:t xml:space="preserve">倍工艺管道内径之间时，不小于 </w:t>
      </w:r>
      <w:r>
        <w:rPr>
          <w:rFonts w:ascii="Arial" w:eastAsia="Arial"/>
          <w:spacing w:val="-30"/>
        </w:rPr>
        <w:t>20</w:t>
      </w:r>
      <w:r>
        <w:rPr>
          <w:spacing w:val="-30"/>
        </w:rPr>
        <w:t>（</w:t>
      </w:r>
      <w:r>
        <w:rPr>
          <w:spacing w:val="-63"/>
        </w:rPr>
        <w:t xml:space="preserve">或 </w:t>
      </w:r>
      <w:r>
        <w:rPr>
          <w:rFonts w:ascii="Arial" w:eastAsia="Arial"/>
          <w:spacing w:val="-5"/>
        </w:rPr>
        <w:t>10</w:t>
      </w:r>
      <w:r>
        <w:rPr>
          <w:spacing w:val="-5"/>
        </w:rPr>
        <w:t xml:space="preserve">） </w:t>
      </w:r>
      <w:r>
        <w:t>倍工艺管道内径。</w:t>
      </w:r>
    </w:p>
    <w:p>
      <w:pPr>
        <w:pStyle w:val="BodyText"/>
        <w:spacing w:line="460" w:lineRule="exact"/>
        <w:ind w:left="1293"/>
        <w:rPr>
          <w:rFonts w:ascii="Arial" w:eastAsia="Arial"/>
        </w:rPr>
      </w:pPr>
      <w:r>
        <w:t xml:space="preserve">ｃ、节流件的下游侧安装温度计时，温度计与节流件间的直管距离不应小于 </w:t>
      </w:r>
      <w:r>
        <w:rPr>
          <w:rFonts w:ascii="Arial" w:eastAsia="Arial"/>
        </w:rPr>
        <w:t>5</w:t>
      </w:r>
    </w:p>
    <w:p>
      <w:pPr>
        <w:pStyle w:val="BodyText"/>
        <w:spacing w:before="238"/>
        <w:ind w:left="573"/>
      </w:pPr>
      <w:r>
        <w:t>倍工艺管道内径。</w:t>
      </w:r>
    </w:p>
    <w:p>
      <w:pPr>
        <w:pStyle w:val="BodyText"/>
        <w:spacing w:before="7"/>
        <w:rPr>
          <w:sz w:val="28"/>
        </w:rPr>
      </w:pPr>
    </w:p>
    <w:p>
      <w:pPr>
        <w:pStyle w:val="Heading2"/>
        <w:rPr>
          <w:rFonts w:ascii="Microsoft JhengHei" w:eastAsia="Microsoft JhengHei" w:hint="eastAsia"/>
        </w:rPr>
      </w:pPr>
      <w:r>
        <w:t>2</w:t>
      </w:r>
      <w:r>
        <w:rPr>
          <w:rFonts w:ascii="Microsoft JhengHei" w:eastAsia="Microsoft JhengHei" w:hint="eastAsia"/>
        </w:rPr>
        <w:t>、仪表盘（箱、操作台）的安装</w:t>
      </w:r>
    </w:p>
    <w:p>
      <w:pPr>
        <w:pStyle w:val="BodyText"/>
        <w:spacing w:before="145"/>
        <w:ind w:left="1293"/>
      </w:pPr>
      <w:r>
        <w:t>①仪表箱、保温箱、保护箱的安装应符合下列规定：</w:t>
      </w:r>
    </w:p>
    <w:p>
      <w:pPr>
        <w:pStyle w:val="BodyText"/>
        <w:spacing w:before="241"/>
        <w:ind w:left="1293"/>
      </w:pPr>
      <w:r>
        <w:rPr>
          <w:rFonts w:ascii="Arial" w:eastAsia="Arial"/>
        </w:rPr>
        <w:t>a</w:t>
      </w:r>
      <w:r>
        <w:t>、应垂直、平正、牢固</w:t>
      </w:r>
    </w:p>
    <w:p>
      <w:pPr>
        <w:pStyle w:val="BodyText"/>
        <w:spacing w:before="237" w:line="364" w:lineRule="auto"/>
        <w:ind w:left="573" w:right="2562" w:firstLine="719"/>
      </w:pPr>
      <w:r>
        <w:rPr>
          <w:rFonts w:ascii="Arial" w:eastAsia="Arial"/>
        </w:rPr>
        <w:t>b</w:t>
      </w:r>
      <w:r>
        <w:rPr>
          <w:spacing w:val="-12"/>
        </w:rPr>
        <w:t xml:space="preserve">、垂直度允许偏差为 </w:t>
      </w:r>
      <w:r>
        <w:rPr>
          <w:rFonts w:ascii="Arial" w:eastAsia="Arial"/>
        </w:rPr>
        <w:t xml:space="preserve">3 </w:t>
      </w:r>
      <w:r>
        <w:rPr>
          <w:spacing w:val="-12"/>
        </w:rPr>
        <w:t xml:space="preserve">毫米；箱的高度达于 </w:t>
      </w:r>
      <w:r>
        <w:rPr>
          <w:rFonts w:ascii="Arial" w:eastAsia="Arial"/>
        </w:rPr>
        <w:t xml:space="preserve">1.2 </w:t>
      </w:r>
      <w:r>
        <w:rPr>
          <w:spacing w:val="-2"/>
        </w:rPr>
        <w:t xml:space="preserve">米时，垂直度允许偏差为４ </w:t>
      </w:r>
      <w:r>
        <w:t>毫米。</w:t>
      </w:r>
    </w:p>
    <w:p>
      <w:pPr>
        <w:pStyle w:val="BodyText"/>
        <w:spacing w:before="3"/>
        <w:ind w:left="1293"/>
      </w:pPr>
      <w:r>
        <w:rPr>
          <w:rFonts w:ascii="Arial" w:eastAsia="Arial"/>
        </w:rPr>
        <w:t>c</w:t>
      </w:r>
      <w:r>
        <w:t xml:space="preserve">、水平方向的倾斜度允许偏差为 </w:t>
      </w:r>
      <w:r>
        <w:rPr>
          <w:rFonts w:ascii="Arial" w:eastAsia="Arial"/>
        </w:rPr>
        <w:t xml:space="preserve">3 </w:t>
      </w:r>
      <w:r>
        <w:t>毫米。</w:t>
      </w:r>
    </w:p>
    <w:p>
      <w:pPr>
        <w:pStyle w:val="BodyText"/>
        <w:spacing w:before="237" w:line="364" w:lineRule="auto"/>
        <w:ind w:left="1293" w:right="6304"/>
      </w:pPr>
      <w:r>
        <w:t>②单独的仪表盘（操作台）</w:t>
      </w:r>
      <w:r>
        <w:rPr>
          <w:spacing w:val="-2"/>
        </w:rPr>
        <w:t xml:space="preserve">的安装应符合下列规定： </w:t>
      </w:r>
      <w:r>
        <w:t>ａ、应垂直、平正、牢固                       ｂ</w:t>
      </w:r>
      <w:r>
        <w:rPr>
          <w:spacing w:val="2"/>
        </w:rPr>
        <w:t xml:space="preserve">、垂直度允许偏差为每米            </w:t>
      </w:r>
      <w:r>
        <w:rPr>
          <w:rFonts w:ascii="Arial" w:eastAsia="Arial" w:hAnsi="Arial"/>
        </w:rPr>
        <w:t>1.</w:t>
      </w:r>
      <w:r>
        <w:t>５毫米ｃ、水平方向的倾斜度允许偏差为每米１毫米。</w:t>
      </w:r>
    </w:p>
    <w:p>
      <w:pPr>
        <w:pStyle w:val="BodyText"/>
        <w:spacing w:line="457" w:lineRule="exact"/>
        <w:ind w:left="1293"/>
      </w:pPr>
      <w:r>
        <w:t>③成排的仪表盘（操作台）的安装应符合下列规定：</w:t>
      </w:r>
    </w:p>
    <w:p>
      <w:pPr>
        <w:spacing w:after="0" w:line="457" w:lineRule="exact"/>
        <w:sectPr>
          <w:headerReference w:type="default" r:id="rId17"/>
          <w:footerReference w:type="default" r:id="rId18"/>
          <w:pgSz w:w="17860" w:h="25270"/>
          <w:pgMar w:top="1300" w:right="0" w:bottom="1700" w:left="1980" w:header="969" w:footer="1488"/>
          <w:pgNumType w:start="7"/>
          <w:cols w:space="708"/>
        </w:sectPr>
      </w:pPr>
    </w:p>
    <w:p>
      <w:pPr>
        <w:pStyle w:val="BodyText"/>
        <w:rPr>
          <w:sz w:val="20"/>
        </w:rPr>
      </w:pPr>
    </w:p>
    <w:p>
      <w:pPr>
        <w:pStyle w:val="BodyText"/>
        <w:spacing w:before="11"/>
        <w:rPr>
          <w:sz w:val="16"/>
        </w:rPr>
      </w:pPr>
    </w:p>
    <w:p>
      <w:pPr>
        <w:pStyle w:val="BodyText"/>
        <w:spacing w:before="49" w:line="364" w:lineRule="auto"/>
        <w:ind w:left="1293" w:right="2704"/>
      </w:pPr>
      <w:r>
        <w:t>ａ、相邻两盘（操作台）顶部高度允许偏差为２毫米                   ｂ、当盘间的连接处超过两处时，其顶部高度最大允许偏差为５毫米。   ｃ、相邻两盘（操作台）接缝处盘正面的平面度最大允许偏差为５毫米。 ｄ</w:t>
      </w:r>
      <w:r>
        <w:rPr>
          <w:spacing w:val="-1"/>
        </w:rPr>
        <w:t>、当盘间的连接处超过５处时，盘正面的平面度最大允许偏差为５毫米。</w:t>
      </w:r>
      <w:r>
        <w:t>ｅ、相邻两盘（操作台）间接缝的间隙，不大于两毫米。</w:t>
      </w:r>
    </w:p>
    <w:p>
      <w:pPr>
        <w:pStyle w:val="Heading2"/>
        <w:spacing w:line="456" w:lineRule="exact"/>
      </w:pPr>
      <w:r>
        <w:t>3、仪表设备的安装</w:t>
      </w:r>
    </w:p>
    <w:p>
      <w:pPr>
        <w:pStyle w:val="ListParagraph"/>
        <w:numPr>
          <w:ilvl w:val="0"/>
          <w:numId w:val="27"/>
        </w:numPr>
        <w:tabs>
          <w:tab w:val="left" w:pos="1714"/>
        </w:tabs>
        <w:spacing w:before="7" w:after="0" w:line="240" w:lineRule="auto"/>
        <w:ind w:left="1713" w:right="0" w:hanging="421"/>
        <w:jc w:val="left"/>
        <w:rPr>
          <w:sz w:val="36"/>
        </w:rPr>
      </w:pPr>
      <w:r>
        <w:rPr>
          <w:sz w:val="36"/>
        </w:rPr>
        <w:t>一般规定</w:t>
      </w:r>
    </w:p>
    <w:p>
      <w:pPr>
        <w:pStyle w:val="BodyText"/>
        <w:spacing w:before="241"/>
        <w:ind w:left="1293"/>
      </w:pPr>
      <w:r>
        <w:t>①设计规定需要脱脂的仪表，应经脱脂检查合格后方可安装。</w:t>
      </w:r>
    </w:p>
    <w:p>
      <w:pPr>
        <w:pStyle w:val="BodyText"/>
        <w:spacing w:before="241" w:line="364" w:lineRule="auto"/>
        <w:ind w:left="573" w:right="2439" w:firstLine="719"/>
        <w:jc w:val="both"/>
      </w:pPr>
      <w:r>
        <w:rPr>
          <w:spacing w:val="-7"/>
        </w:rPr>
        <w:t>②直接安装在工艺管道上的仪表，宜在工艺管道吹扫后压力试验前安装，当必须与工艺管道同时安装时，在工艺管道吹扫时应将仪表拆下。仪表外壳上箭头的指</w:t>
      </w:r>
      <w:r>
        <w:t>向应与被测介质的流向一致。</w:t>
      </w:r>
    </w:p>
    <w:p>
      <w:pPr>
        <w:pStyle w:val="BodyText"/>
        <w:spacing w:line="364" w:lineRule="auto"/>
        <w:ind w:left="573" w:right="2438" w:firstLine="719"/>
      </w:pPr>
      <w:r>
        <w:rPr>
          <w:spacing w:val="-6"/>
        </w:rPr>
        <w:t>③直接安装在工艺设备或管道上的仪表安装完毕，应随同工艺系统一起进行压</w:t>
      </w:r>
      <w:r>
        <w:t>力试验。</w:t>
      </w:r>
    </w:p>
    <w:p>
      <w:pPr>
        <w:pStyle w:val="ListParagraph"/>
        <w:numPr>
          <w:ilvl w:val="0"/>
          <w:numId w:val="27"/>
        </w:numPr>
        <w:tabs>
          <w:tab w:val="left" w:pos="1714"/>
        </w:tabs>
        <w:spacing w:before="0" w:after="0" w:line="459" w:lineRule="exact"/>
        <w:ind w:left="1713" w:right="0" w:hanging="421"/>
        <w:jc w:val="left"/>
        <w:rPr>
          <w:sz w:val="36"/>
        </w:rPr>
      </w:pPr>
      <w:r>
        <w:rPr>
          <w:sz w:val="36"/>
        </w:rPr>
        <w:t>温度仪表安装</w:t>
      </w:r>
    </w:p>
    <w:p>
      <w:pPr>
        <w:pStyle w:val="BodyText"/>
        <w:spacing w:before="237" w:line="364" w:lineRule="auto"/>
        <w:ind w:left="573" w:right="2436" w:firstLine="719"/>
      </w:pPr>
      <w:r>
        <w:rPr>
          <w:spacing w:val="-10"/>
        </w:rPr>
        <w:t>①热电偶、热电阻安装在一被测介质强烈冲击的地方，以及当水平安装使其插</w:t>
      </w:r>
      <w:r>
        <w:rPr>
          <w:spacing w:val="-16"/>
        </w:rPr>
        <w:t xml:space="preserve">入深度达于 </w:t>
      </w:r>
      <w:r>
        <w:rPr>
          <w:rFonts w:ascii="Arial" w:eastAsia="Arial" w:hAnsi="Arial"/>
        </w:rPr>
        <w:t xml:space="preserve">1 </w:t>
      </w:r>
      <w:r>
        <w:rPr>
          <w:spacing w:val="-11"/>
        </w:rPr>
        <w:t xml:space="preserve">米或被测温度达于 </w:t>
      </w:r>
      <w:r>
        <w:rPr>
          <w:rFonts w:ascii="Arial" w:eastAsia="Arial" w:hAnsi="Arial"/>
        </w:rPr>
        <w:t>700</w:t>
      </w:r>
      <w:r>
        <w:t>℃时，应采取方弯曲措施。</w:t>
      </w:r>
    </w:p>
    <w:p>
      <w:pPr>
        <w:pStyle w:val="BodyText"/>
        <w:spacing w:line="460" w:lineRule="exact"/>
        <w:ind w:left="1293"/>
      </w:pPr>
      <w:r>
        <w:t>②表面温度计的感温面应与被测表面紧密接触，固定牢固。</w:t>
      </w:r>
    </w:p>
    <w:p>
      <w:pPr>
        <w:pStyle w:val="ListParagraph"/>
        <w:numPr>
          <w:ilvl w:val="0"/>
          <w:numId w:val="19"/>
        </w:numPr>
        <w:tabs>
          <w:tab w:val="left" w:pos="2194"/>
        </w:tabs>
        <w:spacing w:before="237" w:after="0" w:line="240" w:lineRule="auto"/>
        <w:ind w:left="2194" w:right="0" w:hanging="901"/>
        <w:jc w:val="left"/>
        <w:rPr>
          <w:sz w:val="36"/>
        </w:rPr>
      </w:pPr>
      <w:r>
        <w:rPr>
          <w:sz w:val="36"/>
        </w:rPr>
        <w:t>压力仪表安装</w:t>
      </w:r>
    </w:p>
    <w:p>
      <w:pPr>
        <w:pStyle w:val="BodyText"/>
        <w:spacing w:before="241"/>
        <w:ind w:left="1293"/>
      </w:pPr>
      <w:r>
        <w:t>①测量低压的压力表或变送器的安装高度，宜与取压点的高度一致。</w:t>
      </w:r>
    </w:p>
    <w:p>
      <w:pPr>
        <w:pStyle w:val="BodyText"/>
        <w:spacing w:before="237"/>
        <w:ind w:left="1293"/>
      </w:pPr>
      <w:r>
        <w:t>②就地安装的压力表不应固定在震动较大的工艺管道或设备上。</w:t>
      </w:r>
    </w:p>
    <w:p>
      <w:pPr>
        <w:pStyle w:val="BodyText"/>
        <w:spacing w:before="241" w:line="362" w:lineRule="auto"/>
        <w:ind w:left="573" w:right="2390" w:firstLine="719"/>
      </w:pPr>
      <w:r>
        <w:rPr>
          <w:spacing w:val="-5"/>
        </w:rPr>
        <w:t xml:space="preserve">③测量高压的压力表安装在操作岗位附近时，宜距地面 </w:t>
      </w:r>
      <w:r>
        <w:rPr>
          <w:rFonts w:ascii="Arial" w:eastAsia="Arial" w:hAnsi="Arial"/>
        </w:rPr>
        <w:t xml:space="preserve">1.8 </w:t>
      </w:r>
      <w:r>
        <w:rPr>
          <w:spacing w:val="-2"/>
        </w:rPr>
        <w:t>米以上，或在仪表</w:t>
      </w:r>
      <w:r>
        <w:t>正面加保护罩。</w:t>
      </w:r>
    </w:p>
    <w:p>
      <w:pPr>
        <w:pStyle w:val="ListParagraph"/>
        <w:numPr>
          <w:ilvl w:val="0"/>
          <w:numId w:val="19"/>
        </w:numPr>
        <w:tabs>
          <w:tab w:val="left" w:pos="2194"/>
        </w:tabs>
        <w:spacing w:before="7" w:after="0" w:line="240" w:lineRule="auto"/>
        <w:ind w:left="2194" w:right="0" w:hanging="901"/>
        <w:jc w:val="left"/>
        <w:rPr>
          <w:sz w:val="36"/>
        </w:rPr>
      </w:pPr>
      <w:r>
        <w:rPr>
          <w:sz w:val="36"/>
        </w:rPr>
        <w:t>流量仪表安装</w:t>
      </w:r>
    </w:p>
    <w:p>
      <w:pPr>
        <w:pStyle w:val="BodyText"/>
        <w:spacing w:before="242"/>
        <w:ind w:left="1293"/>
      </w:pPr>
      <w:r>
        <w:t>①孔板安装前进行清洗是不应损伤节流件。</w:t>
      </w:r>
    </w:p>
    <w:p>
      <w:pPr>
        <w:pStyle w:val="BodyText"/>
        <w:spacing w:before="237"/>
        <w:ind w:left="1293"/>
      </w:pPr>
      <w:r>
        <w:t>②孔板的锐边的曲面侧应迎着被测介质的流向。</w:t>
      </w:r>
    </w:p>
    <w:p>
      <w:pPr>
        <w:pStyle w:val="BodyText"/>
        <w:spacing w:before="241" w:line="362" w:lineRule="auto"/>
        <w:ind w:left="573" w:right="2459" w:firstLine="719"/>
      </w:pPr>
      <w:r>
        <w:t>③孔板环室上有“</w:t>
      </w:r>
      <w:r>
        <w:rPr>
          <w:rFonts w:ascii="Arial" w:eastAsia="Arial" w:hAnsi="Arial"/>
        </w:rPr>
        <w:t>+</w:t>
      </w:r>
      <w:r>
        <w:t>”号的一侧应在被测介质流向的上游侧，当用箭头表明流向时，箭头的指向应与被测介质的流向一致。</w:t>
      </w:r>
    </w:p>
    <w:p>
      <w:pPr>
        <w:pStyle w:val="BodyText"/>
        <w:spacing w:before="7"/>
        <w:ind w:left="1293"/>
      </w:pPr>
      <w:r>
        <w:t>③差压计或差压变送器正、负压室与测量管路的连接必需正确。</w:t>
      </w:r>
    </w:p>
    <w:p>
      <w:pPr>
        <w:pStyle w:val="BodyText"/>
        <w:spacing w:before="237"/>
        <w:ind w:left="1293"/>
      </w:pPr>
      <w:r>
        <w:t>④电磁流量计、被测介质及工艺管道三者间应连成等电位，并应接地。</w:t>
      </w:r>
    </w:p>
    <w:p>
      <w:pPr>
        <w:pStyle w:val="BodyText"/>
        <w:spacing w:before="241"/>
        <w:ind w:left="1293"/>
      </w:pPr>
      <w:r>
        <w:t>⑤电磁流量计在垂直的管道上安装时，被测介质的流向应自下而上，在水平和</w:t>
      </w:r>
    </w:p>
    <w:p>
      <w:pPr>
        <w:spacing w:after="0"/>
        <w:sectPr>
          <w:headerReference w:type="default" r:id="rId19"/>
          <w:footerReference w:type="default" r:id="rId20"/>
          <w:pgSz w:w="17860" w:h="25270"/>
          <w:pgMar w:top="1300" w:right="0" w:bottom="1680" w:left="1980" w:header="969" w:footer="1488"/>
          <w:pgNumType w:start="8"/>
          <w:cols w:space="708"/>
        </w:sectPr>
      </w:pPr>
    </w:p>
    <w:p>
      <w:pPr>
        <w:pStyle w:val="BodyText"/>
        <w:rPr>
          <w:sz w:val="20"/>
        </w:rPr>
      </w:pPr>
    </w:p>
    <w:p>
      <w:pPr>
        <w:pStyle w:val="BodyText"/>
        <w:spacing w:before="11"/>
        <w:rPr>
          <w:sz w:val="16"/>
        </w:rPr>
      </w:pPr>
    </w:p>
    <w:p>
      <w:pPr>
        <w:pStyle w:val="BodyText"/>
        <w:spacing w:before="49"/>
        <w:ind w:left="573"/>
      </w:pPr>
      <w:r>
        <w:t>倾斜的管道上安装时，两个测量电极不应在工艺管道的正上方和正下方位置。</w:t>
      </w:r>
    </w:p>
    <w:p>
      <w:pPr>
        <w:pStyle w:val="ListParagraph"/>
        <w:numPr>
          <w:ilvl w:val="0"/>
          <w:numId w:val="28"/>
        </w:numPr>
        <w:tabs>
          <w:tab w:val="left" w:pos="2194"/>
        </w:tabs>
        <w:spacing w:before="238" w:after="0" w:line="240" w:lineRule="auto"/>
        <w:ind w:left="2194" w:right="0" w:hanging="901"/>
        <w:jc w:val="left"/>
        <w:rPr>
          <w:sz w:val="36"/>
        </w:rPr>
      </w:pPr>
      <w:r>
        <w:rPr>
          <w:sz w:val="36"/>
        </w:rPr>
        <w:t>物位仪表安装</w:t>
      </w:r>
    </w:p>
    <w:p>
      <w:pPr>
        <w:pStyle w:val="BodyText"/>
        <w:spacing w:before="241"/>
        <w:ind w:left="1293"/>
      </w:pPr>
      <w:r>
        <w:t>①浮力式液位计的安装高度应符合设计文件规定。</w:t>
      </w:r>
    </w:p>
    <w:p>
      <w:pPr>
        <w:pStyle w:val="BodyText"/>
        <w:spacing w:before="237" w:line="364" w:lineRule="auto"/>
        <w:ind w:left="573" w:right="2438" w:firstLine="719"/>
      </w:pPr>
      <w:r>
        <w:rPr>
          <w:spacing w:val="-6"/>
        </w:rPr>
        <w:t>②浮筒液位计的安装应使浮筒呈垂直状态，处于浮筒中心正常操作液位或分界</w:t>
      </w:r>
      <w:r>
        <w:t>液位的高度。</w:t>
      </w:r>
    </w:p>
    <w:p>
      <w:pPr>
        <w:pStyle w:val="BodyText"/>
        <w:spacing w:line="459" w:lineRule="exact"/>
        <w:ind w:left="1293"/>
      </w:pPr>
      <w:r>
        <w:t>③钢带液位计的导管应垂直安装，钢带应处于导管的中心并滑动自如。</w:t>
      </w:r>
    </w:p>
    <w:p>
      <w:pPr>
        <w:pStyle w:val="BodyText"/>
        <w:spacing w:before="241"/>
        <w:ind w:left="1293"/>
      </w:pPr>
      <w:r>
        <w:t>④用差压计或差压变送器测量液位时，仪表安装高度不应高于下部取压口。</w:t>
      </w:r>
    </w:p>
    <w:p>
      <w:pPr>
        <w:pStyle w:val="ListParagraph"/>
        <w:numPr>
          <w:ilvl w:val="0"/>
          <w:numId w:val="28"/>
        </w:numPr>
        <w:tabs>
          <w:tab w:val="left" w:pos="2194"/>
        </w:tabs>
        <w:spacing w:before="241" w:after="0" w:line="240" w:lineRule="auto"/>
        <w:ind w:left="2194" w:right="0" w:hanging="901"/>
        <w:jc w:val="left"/>
        <w:rPr>
          <w:sz w:val="36"/>
        </w:rPr>
      </w:pPr>
      <w:r>
        <w:rPr>
          <w:sz w:val="36"/>
        </w:rPr>
        <w:t>机械量检测仪表安装</w:t>
      </w:r>
    </w:p>
    <w:p>
      <w:pPr>
        <w:pStyle w:val="BodyText"/>
        <w:spacing w:before="238" w:line="364" w:lineRule="auto"/>
        <w:ind w:left="573" w:right="2704" w:firstLine="719"/>
      </w:pPr>
      <w:r>
        <w:t>①负荷传感器的安装和承载在称重容器及其所有部件和连接件的安装完成后进行。</w:t>
      </w:r>
    </w:p>
    <w:p>
      <w:pPr>
        <w:pStyle w:val="BodyText"/>
        <w:spacing w:line="364" w:lineRule="auto"/>
        <w:ind w:left="573" w:right="2438" w:firstLine="719"/>
      </w:pPr>
      <w:r>
        <w:rPr>
          <w:spacing w:val="-7"/>
        </w:rPr>
        <w:t>②负荷传感器的安装呈垂直状态，保证传感器的主轴线与加荷轴线相重合，使</w:t>
      </w:r>
      <w:r>
        <w:t>倾斜负荷和偏心负荷的影响减至最小。各个传感器的受力均匀。</w:t>
      </w:r>
    </w:p>
    <w:p>
      <w:pPr>
        <w:pStyle w:val="BodyText"/>
        <w:spacing w:line="459" w:lineRule="exact"/>
        <w:ind w:left="1293"/>
      </w:pPr>
      <w:r>
        <w:t>③称重容器与外部的连接为软连接。</w:t>
      </w:r>
    </w:p>
    <w:p>
      <w:pPr>
        <w:pStyle w:val="BodyText"/>
        <w:spacing w:before="239"/>
        <w:ind w:left="1293"/>
      </w:pPr>
      <w:r>
        <w:t>④水平限制器的安装应符合设计要求。</w:t>
      </w:r>
    </w:p>
    <w:p>
      <w:pPr>
        <w:pStyle w:val="BodyText"/>
        <w:spacing w:before="237"/>
        <w:ind w:left="1293"/>
      </w:pPr>
      <w:r>
        <w:t>⑤传感器的支承面及底面均应平滑，不得有锈蚀、擦伤及杂物。</w:t>
      </w:r>
    </w:p>
    <w:p>
      <w:pPr>
        <w:pStyle w:val="ListParagraph"/>
        <w:numPr>
          <w:ilvl w:val="0"/>
          <w:numId w:val="28"/>
        </w:numPr>
        <w:tabs>
          <w:tab w:val="left" w:pos="2194"/>
        </w:tabs>
        <w:spacing w:before="241" w:after="0" w:line="240" w:lineRule="auto"/>
        <w:ind w:left="2194" w:right="0" w:hanging="901"/>
        <w:jc w:val="left"/>
        <w:rPr>
          <w:sz w:val="36"/>
        </w:rPr>
      </w:pPr>
      <w:r>
        <w:rPr>
          <w:sz w:val="36"/>
        </w:rPr>
        <w:t>成分分析和物性检测仪表安装</w:t>
      </w:r>
    </w:p>
    <w:p>
      <w:pPr>
        <w:pStyle w:val="BodyText"/>
        <w:spacing w:before="237" w:line="364" w:lineRule="auto"/>
        <w:ind w:left="573" w:right="2256" w:firstLine="719"/>
        <w:jc w:val="both"/>
      </w:pPr>
      <w:r>
        <w:t>可燃性气体检测器和有毒气体检测器的安装位置根据所检测气体的密度确定。</w:t>
      </w:r>
      <w:r>
        <w:rPr>
          <w:spacing w:val="-5"/>
          <w:w w:val="95"/>
        </w:rPr>
        <w:t xml:space="preserve">其密度大于空气时，检测器安装在距地面 </w:t>
      </w:r>
      <w:r>
        <w:rPr>
          <w:rFonts w:ascii="Arial" w:eastAsia="Arial"/>
          <w:w w:val="95"/>
        </w:rPr>
        <w:t>200</w:t>
      </w:r>
      <w:r>
        <w:rPr>
          <w:w w:val="95"/>
        </w:rPr>
        <w:t>～</w:t>
      </w:r>
      <w:r>
        <w:rPr>
          <w:rFonts w:ascii="Arial" w:eastAsia="Arial"/>
          <w:w w:val="95"/>
        </w:rPr>
        <w:t>300mm</w:t>
      </w:r>
      <w:r>
        <w:rPr>
          <w:rFonts w:ascii="Arial" w:eastAsia="Arial"/>
          <w:spacing w:val="35"/>
          <w:w w:val="95"/>
        </w:rPr>
        <w:t xml:space="preserve"> </w:t>
      </w:r>
      <w:r>
        <w:rPr>
          <w:spacing w:val="-15"/>
          <w:w w:val="95"/>
        </w:rPr>
        <w:t xml:space="preserve">的位置；其密度小于空气时， </w:t>
      </w:r>
      <w:r>
        <w:t>检测器安装在泄漏域的上方位置。</w:t>
      </w:r>
    </w:p>
    <w:p>
      <w:pPr>
        <w:pStyle w:val="Heading2"/>
        <w:spacing w:line="460" w:lineRule="exact"/>
      </w:pPr>
      <w:r>
        <w:t>4、仪表用管路的敷设</w:t>
      </w:r>
    </w:p>
    <w:p>
      <w:pPr>
        <w:pStyle w:val="BodyText"/>
        <w:spacing w:before="7"/>
        <w:ind w:left="1293"/>
      </w:pPr>
      <w:r>
        <w:t>①管路的敷设</w:t>
      </w:r>
    </w:p>
    <w:p>
      <w:pPr>
        <w:pStyle w:val="BodyText"/>
        <w:spacing w:before="237" w:line="364" w:lineRule="auto"/>
        <w:ind w:left="573" w:right="2546" w:firstLine="719"/>
      </w:pPr>
      <w:r>
        <w:rPr>
          <w:rFonts w:ascii="Arial" w:eastAsia="Arial"/>
          <w:w w:val="95"/>
        </w:rPr>
        <w:t>a</w:t>
      </w:r>
      <w:r>
        <w:rPr>
          <w:spacing w:val="-1"/>
          <w:w w:val="95"/>
        </w:rPr>
        <w:t xml:space="preserve">、管路敷设前，管内应清扫干净，须脱脂的管路，应经脱脂检查合格后再进  </w:t>
      </w:r>
      <w:r>
        <w:t>行敷设。</w:t>
      </w:r>
    </w:p>
    <w:p>
      <w:pPr>
        <w:pStyle w:val="BodyText"/>
        <w:spacing w:before="3"/>
        <w:ind w:left="1293"/>
      </w:pPr>
      <w:r>
        <w:rPr>
          <w:rFonts w:ascii="Arial" w:eastAsia="Arial"/>
        </w:rPr>
        <w:t>b</w:t>
      </w:r>
      <w:r>
        <w:t>、测量管路在满足测量要求的条件下，应按最短路径敷设。</w:t>
      </w:r>
    </w:p>
    <w:p>
      <w:pPr>
        <w:pStyle w:val="BodyText"/>
        <w:spacing w:before="237" w:line="364" w:lineRule="auto"/>
        <w:ind w:left="573" w:right="2344" w:firstLine="719"/>
        <w:jc w:val="both"/>
      </w:pPr>
      <w:r>
        <w:rPr>
          <w:rFonts w:ascii="Arial" w:eastAsia="Arial"/>
          <w:w w:val="95"/>
        </w:rPr>
        <w:t>c</w:t>
      </w:r>
      <w:r>
        <w:rPr>
          <w:w w:val="95"/>
        </w:rPr>
        <w:t xml:space="preserve">、测量管路沿水平敷设时，应根据不同的介质及测量要求，有 </w:t>
      </w:r>
      <w:r>
        <w:rPr>
          <w:rFonts w:ascii="Arial" w:eastAsia="Arial"/>
          <w:w w:val="95"/>
        </w:rPr>
        <w:t>1</w:t>
      </w:r>
      <w:r>
        <w:rPr>
          <w:w w:val="95"/>
        </w:rPr>
        <w:t>：</w:t>
      </w:r>
      <w:r>
        <w:rPr>
          <w:rFonts w:ascii="Arial" w:eastAsia="Arial"/>
          <w:w w:val="95"/>
        </w:rPr>
        <w:t>10~1</w:t>
      </w:r>
      <w:r>
        <w:rPr>
          <w:w w:val="95"/>
        </w:rPr>
        <w:t>：</w:t>
      </w:r>
      <w:r>
        <w:rPr>
          <w:rFonts w:ascii="Arial" w:eastAsia="Arial"/>
          <w:w w:val="95"/>
        </w:rPr>
        <w:t xml:space="preserve">100 </w:t>
      </w:r>
      <w:r>
        <w:t>的坡度，其倾斜方向应保证能排除气体或冷凝液。当不能满足要求时，应在管路的集气处安装排气装置，集液处安装排液装置。</w:t>
      </w:r>
    </w:p>
    <w:p>
      <w:pPr>
        <w:pStyle w:val="BodyText"/>
        <w:spacing w:line="460" w:lineRule="exact"/>
        <w:ind w:left="1293"/>
      </w:pPr>
      <w:r>
        <w:rPr>
          <w:rFonts w:ascii="Arial" w:eastAsia="Arial"/>
        </w:rPr>
        <w:t>d</w:t>
      </w:r>
      <w:r>
        <w:t>、测量差压用的正压管及负压管应敷设在环境温度相同的地方。</w:t>
      </w:r>
    </w:p>
    <w:p>
      <w:pPr>
        <w:pStyle w:val="BodyText"/>
        <w:spacing w:before="237" w:line="364" w:lineRule="auto"/>
        <w:ind w:left="573" w:right="2300" w:firstLine="719"/>
      </w:pPr>
      <w:r>
        <w:rPr>
          <w:rFonts w:ascii="Arial" w:eastAsia="Arial"/>
        </w:rPr>
        <w:t>e</w:t>
      </w:r>
      <w:r>
        <w:rPr>
          <w:spacing w:val="1"/>
        </w:rPr>
        <w:t>、管路与工艺管道、设备或建筑物表面间的距离不以小于</w:t>
      </w:r>
      <w:r>
        <w:rPr>
          <w:rFonts w:ascii="Arial" w:eastAsia="Arial"/>
        </w:rPr>
        <w:t>50</w:t>
      </w:r>
      <w:r>
        <w:rPr>
          <w:rFonts w:ascii="Arial" w:eastAsia="Arial"/>
          <w:spacing w:val="-57"/>
        </w:rPr>
        <w:t xml:space="preserve"> </w:t>
      </w:r>
      <w:r>
        <w:t>毫米。有几易燃</w:t>
      </w:r>
      <w:r>
        <w:rPr>
          <w:spacing w:val="-6"/>
        </w:rPr>
        <w:t xml:space="preserve">易爆介质的管路余热表面间的距离不以小于 </w:t>
      </w:r>
      <w:r>
        <w:rPr>
          <w:rFonts w:ascii="Arial" w:eastAsia="Arial"/>
        </w:rPr>
        <w:t xml:space="preserve">150 </w:t>
      </w:r>
      <w:r>
        <w:rPr>
          <w:spacing w:val="-2"/>
        </w:rPr>
        <w:t>毫米，且不应平行敷设在其上方。</w:t>
      </w:r>
    </w:p>
    <w:p>
      <w:pPr>
        <w:spacing w:after="0" w:line="364" w:lineRule="auto"/>
        <w:sectPr>
          <w:headerReference w:type="default" r:id="rId21"/>
          <w:footerReference w:type="default" r:id="rId22"/>
          <w:pgSz w:w="17860" w:h="25270"/>
          <w:pgMar w:top="1300" w:right="0" w:bottom="1700" w:left="1980" w:header="969" w:footer="1488"/>
          <w:pgNumType w:start="9"/>
          <w:cols w:space="708"/>
        </w:sectPr>
      </w:pPr>
    </w:p>
    <w:p>
      <w:pPr>
        <w:pStyle w:val="BodyText"/>
        <w:rPr>
          <w:sz w:val="20"/>
        </w:rPr>
      </w:pPr>
    </w:p>
    <w:p>
      <w:pPr>
        <w:pStyle w:val="BodyText"/>
        <w:spacing w:before="11"/>
        <w:rPr>
          <w:sz w:val="16"/>
        </w:rPr>
      </w:pPr>
    </w:p>
    <w:p>
      <w:pPr>
        <w:pStyle w:val="BodyText"/>
        <w:spacing w:before="49"/>
        <w:ind w:left="573"/>
      </w:pPr>
      <w:r>
        <w:t>当管路需要绝热时，应适当增大距离。</w:t>
      </w:r>
    </w:p>
    <w:p>
      <w:pPr>
        <w:pStyle w:val="BodyText"/>
        <w:spacing w:before="238"/>
        <w:ind w:left="1293"/>
      </w:pPr>
      <w:r>
        <w:t>②弯管及连接</w:t>
      </w:r>
    </w:p>
    <w:p>
      <w:pPr>
        <w:pStyle w:val="BodyText"/>
        <w:spacing w:before="241" w:line="362" w:lineRule="auto"/>
        <w:ind w:left="1293" w:right="5786"/>
      </w:pPr>
      <w:r>
        <w:rPr>
          <w:rFonts w:ascii="Arial" w:eastAsia="Arial"/>
          <w:w w:val="95"/>
        </w:rPr>
        <w:t>a</w:t>
      </w:r>
      <w:r>
        <w:rPr>
          <w:spacing w:val="-1"/>
          <w:w w:val="95"/>
        </w:rPr>
        <w:t xml:space="preserve">、金属管子的弯制宜采用冷弯。高压管宜一次性弯成。  </w:t>
      </w:r>
      <w:r>
        <w:rPr>
          <w:rFonts w:ascii="Arial" w:eastAsia="Arial"/>
        </w:rPr>
        <w:t>b</w:t>
      </w:r>
      <w:r>
        <w:rPr>
          <w:spacing w:val="-6"/>
        </w:rPr>
        <w:t xml:space="preserve">、金属管的弯曲半径不小于管子外径的 </w:t>
      </w:r>
      <w:r>
        <w:rPr>
          <w:rFonts w:ascii="Arial" w:eastAsia="Arial"/>
        </w:rPr>
        <w:t>3</w:t>
      </w:r>
      <w:r>
        <w:rPr>
          <w:rFonts w:ascii="Arial" w:eastAsia="Arial"/>
          <w:spacing w:val="-13"/>
        </w:rPr>
        <w:t xml:space="preserve"> </w:t>
      </w:r>
      <w:r>
        <w:t>倍。</w:t>
      </w:r>
    </w:p>
    <w:p>
      <w:pPr>
        <w:pStyle w:val="BodyText"/>
        <w:spacing w:before="7" w:line="362" w:lineRule="auto"/>
        <w:ind w:left="1293" w:right="6901"/>
      </w:pPr>
      <w:r>
        <w:rPr>
          <w:rFonts w:ascii="Arial" w:eastAsia="Arial"/>
        </w:rPr>
        <w:t>c</w:t>
      </w:r>
      <w:r>
        <w:rPr>
          <w:spacing w:val="-7"/>
        </w:rPr>
        <w:t xml:space="preserve">、所料管的弯曲半径不小于管子外径的 </w:t>
      </w:r>
      <w:r>
        <w:rPr>
          <w:rFonts w:ascii="Arial" w:eastAsia="Arial"/>
        </w:rPr>
        <w:t xml:space="preserve">4.5 </w:t>
      </w:r>
      <w:r>
        <w:rPr>
          <w:spacing w:val="-8"/>
        </w:rPr>
        <w:t>倍。</w:t>
      </w:r>
      <w:r>
        <w:t>管子连接时，其轴线应一致。</w:t>
      </w:r>
    </w:p>
    <w:p>
      <w:pPr>
        <w:pStyle w:val="BodyText"/>
        <w:spacing w:before="8" w:line="364" w:lineRule="auto"/>
        <w:ind w:left="573" w:right="2377" w:firstLine="719"/>
      </w:pPr>
      <w:r>
        <w:rPr>
          <w:rFonts w:ascii="Arial" w:eastAsia="Arial"/>
        </w:rPr>
        <w:t>d</w:t>
      </w:r>
      <w:r>
        <w:rPr>
          <w:spacing w:val="11"/>
        </w:rPr>
        <w:t>、直径小于</w:t>
      </w:r>
      <w:r>
        <w:rPr>
          <w:rFonts w:ascii="Arial" w:eastAsia="Arial"/>
        </w:rPr>
        <w:t>10</w:t>
      </w:r>
      <w:r>
        <w:rPr>
          <w:rFonts w:ascii="Arial" w:eastAsia="Arial"/>
          <w:spacing w:val="-59"/>
        </w:rPr>
        <w:t xml:space="preserve"> </w:t>
      </w:r>
      <w:r>
        <w:rPr>
          <w:spacing w:val="-1"/>
        </w:rPr>
        <w:t>毫米的铜管，宜采用卡套式中间接头连接。也可以采用承插法</w:t>
      </w:r>
      <w:r>
        <w:t>或套管法焊接。承插法焊接时，其插入方向宜顺着介质流向。</w:t>
      </w:r>
    </w:p>
    <w:p>
      <w:pPr>
        <w:pStyle w:val="BodyText"/>
        <w:spacing w:line="460" w:lineRule="exact"/>
        <w:ind w:left="1293"/>
      </w:pPr>
      <w:r>
        <w:rPr>
          <w:rFonts w:ascii="Arial" w:eastAsia="Arial"/>
        </w:rPr>
        <w:t>e</w:t>
      </w:r>
      <w:r>
        <w:t>、镀锌钢管应采用螺纹连接，连接用的管件也应采用镀锌件。</w:t>
      </w:r>
    </w:p>
    <w:p>
      <w:pPr>
        <w:pStyle w:val="BodyText"/>
        <w:spacing w:before="241"/>
        <w:ind w:left="1293"/>
      </w:pPr>
      <w:r>
        <w:t>③管路的固定</w:t>
      </w:r>
    </w:p>
    <w:p>
      <w:pPr>
        <w:pStyle w:val="BodyText"/>
        <w:spacing w:before="237" w:line="364" w:lineRule="auto"/>
        <w:ind w:left="573" w:right="2546" w:firstLine="719"/>
      </w:pPr>
      <w:r>
        <w:rPr>
          <w:rFonts w:ascii="Arial" w:eastAsia="Arial"/>
          <w:w w:val="95"/>
        </w:rPr>
        <w:t>a</w:t>
      </w:r>
      <w:r>
        <w:rPr>
          <w:spacing w:val="-1"/>
          <w:w w:val="95"/>
        </w:rPr>
        <w:t xml:space="preserve">、管子应采用管卡固定在支架上。当管子与支架间有频繁的相对运动时，应  </w:t>
      </w:r>
      <w:r>
        <w:t>在管子与支架间加木块或软垫。成排敷设的管路，间距均应一致。</w:t>
      </w:r>
    </w:p>
    <w:p>
      <w:pPr>
        <w:pStyle w:val="BodyText"/>
        <w:spacing w:line="459" w:lineRule="exact"/>
        <w:ind w:left="1293"/>
      </w:pPr>
      <w:r>
        <w:rPr>
          <w:rFonts w:ascii="Arial" w:eastAsia="Arial"/>
        </w:rPr>
        <w:t>b</w:t>
      </w:r>
      <w:r>
        <w:t>、不锈钢管固定时，不应与碳钢直接接触。</w:t>
      </w:r>
    </w:p>
    <w:p>
      <w:pPr>
        <w:pStyle w:val="Heading2"/>
        <w:spacing w:before="240"/>
      </w:pPr>
      <w:r>
        <w:t>5、仪表调试</w:t>
      </w:r>
    </w:p>
    <w:p>
      <w:pPr>
        <w:pStyle w:val="BodyText"/>
        <w:spacing w:before="7"/>
        <w:ind w:left="1293"/>
      </w:pPr>
      <w:r>
        <w:rPr>
          <w:rFonts w:ascii="Arial" w:eastAsia="Arial"/>
        </w:rPr>
        <w:t>a</w:t>
      </w:r>
      <w:r>
        <w:t>、仪表的单体调试应在安装前进行。</w:t>
      </w:r>
    </w:p>
    <w:p>
      <w:pPr>
        <w:pStyle w:val="BodyText"/>
        <w:spacing w:before="238"/>
        <w:ind w:left="1293"/>
      </w:pPr>
      <w:r>
        <w:rPr>
          <w:rFonts w:ascii="Arial" w:eastAsia="Arial"/>
        </w:rPr>
        <w:t>b</w:t>
      </w:r>
      <w:r>
        <w:t>、仪表系统在使用前必须进行系统调试。</w:t>
      </w:r>
    </w:p>
    <w:p>
      <w:pPr>
        <w:pStyle w:val="BodyText"/>
        <w:spacing w:before="241" w:line="362" w:lineRule="auto"/>
        <w:ind w:left="573" w:right="2186" w:firstLine="719"/>
      </w:pPr>
      <w:r>
        <w:rPr>
          <w:rFonts w:ascii="Arial" w:eastAsia="Arial"/>
          <w:w w:val="95"/>
        </w:rPr>
        <w:t>c</w:t>
      </w:r>
      <w:r>
        <w:rPr>
          <w:spacing w:val="-1"/>
          <w:w w:val="95"/>
        </w:rPr>
        <w:t xml:space="preserve">、调校用标准仪器、仪表应具备有效的鉴定合格证书，其基本误差的绝对值，  </w:t>
      </w:r>
      <w:r>
        <w:rPr>
          <w:spacing w:val="-6"/>
        </w:rPr>
        <w:t xml:space="preserve">不宜超过被校仪表基本误差绝对值的 </w:t>
      </w:r>
      <w:r>
        <w:rPr>
          <w:rFonts w:ascii="Arial" w:eastAsia="Arial"/>
        </w:rPr>
        <w:t>1/3</w:t>
      </w:r>
      <w:r>
        <w:t>。</w:t>
      </w:r>
    </w:p>
    <w:p>
      <w:pPr>
        <w:pStyle w:val="BodyText"/>
        <w:spacing w:before="7" w:line="362" w:lineRule="auto"/>
        <w:ind w:left="573" w:right="2524" w:firstLine="719"/>
      </w:pPr>
      <w:r>
        <w:rPr>
          <w:rFonts w:ascii="Arial" w:eastAsia="Arial"/>
          <w:w w:val="95"/>
        </w:rPr>
        <w:t>d</w:t>
      </w:r>
      <w:r>
        <w:rPr>
          <w:spacing w:val="-1"/>
          <w:w w:val="95"/>
        </w:rPr>
        <w:t xml:space="preserve">、仪表的调校点应在全科度范围内均匀选区，其数量为：单体调校时不少于 </w:t>
      </w:r>
      <w:r>
        <w:rPr>
          <w:spacing w:val="137"/>
          <w:w w:val="95"/>
        </w:rPr>
        <w:t xml:space="preserve"> </w:t>
      </w:r>
      <w:r>
        <w:rPr>
          <w:rFonts w:ascii="Arial" w:eastAsia="Arial"/>
        </w:rPr>
        <w:t>5</w:t>
      </w:r>
      <w:r>
        <w:rPr>
          <w:rFonts w:ascii="Arial" w:eastAsia="Arial"/>
          <w:spacing w:val="-12"/>
        </w:rPr>
        <w:t xml:space="preserve"> </w:t>
      </w:r>
      <w:r>
        <w:rPr>
          <w:spacing w:val="-9"/>
        </w:rPr>
        <w:t xml:space="preserve">点；系统调校时不小于 </w:t>
      </w:r>
      <w:r>
        <w:rPr>
          <w:rFonts w:ascii="Arial" w:eastAsia="Arial"/>
        </w:rPr>
        <w:t>3</w:t>
      </w:r>
      <w:r>
        <w:rPr>
          <w:rFonts w:ascii="Arial" w:eastAsia="Arial"/>
          <w:spacing w:val="-12"/>
        </w:rPr>
        <w:t xml:space="preserve"> </w:t>
      </w:r>
      <w:r>
        <w:t>点。</w:t>
      </w:r>
    </w:p>
    <w:p>
      <w:pPr>
        <w:pStyle w:val="Heading2"/>
        <w:spacing w:before="8"/>
      </w:pPr>
      <w:r>
        <w:t>6、电缆桥架的安装</w:t>
      </w:r>
    </w:p>
    <w:p>
      <w:pPr>
        <w:pStyle w:val="BodyText"/>
        <w:spacing w:before="6" w:line="364" w:lineRule="auto"/>
        <w:ind w:left="573" w:right="2344" w:firstLine="719"/>
        <w:jc w:val="both"/>
      </w:pPr>
      <w:r>
        <w:rPr>
          <w:spacing w:val="-5"/>
        </w:rPr>
        <w:t>电缆桥架的选择和安装要符合设计要求，同一区域安装的桥架标高要一致，立</w:t>
      </w:r>
      <w:r>
        <w:rPr>
          <w:spacing w:val="-11"/>
        </w:rPr>
        <w:t>柱采用焊接时焊接要牢固，如没有预埋件需用膨胀螺栓固定钢板时，钢板的固定要</w:t>
      </w:r>
      <w:r>
        <w:rPr>
          <w:spacing w:val="-12"/>
        </w:rPr>
        <w:t>牢固。托臂的安装要保证横平竖直，且牢固可靠。桥架的连接要牢固，每个连接处</w:t>
      </w:r>
      <w:r>
        <w:rPr>
          <w:spacing w:val="-1"/>
        </w:rPr>
        <w:t xml:space="preserve">每侧的连接螺栓不得少于八个，连接螺母在桥架外侧，连接后要保持平直，桥架全长的接地要良好。电缆桥架及其附件型号规格应符合设计要求，桥架安装应美观， </w:t>
      </w:r>
      <w:r>
        <w:t>水平偏差不大于±</w:t>
      </w:r>
      <w:r>
        <w:rPr>
          <w:rFonts w:ascii="Arial" w:eastAsia="Arial" w:hAnsi="Arial"/>
        </w:rPr>
        <w:t>5mm</w:t>
      </w:r>
      <w:r>
        <w:t>，中心偏差不大于±</w:t>
      </w:r>
      <w:r>
        <w:rPr>
          <w:rFonts w:ascii="Arial" w:eastAsia="Arial" w:hAnsi="Arial"/>
        </w:rPr>
        <w:t>10mm</w:t>
      </w:r>
      <w:r>
        <w:t>。</w:t>
      </w:r>
    </w:p>
    <w:p>
      <w:pPr>
        <w:pStyle w:val="Heading2"/>
        <w:spacing w:line="457" w:lineRule="exact"/>
      </w:pPr>
      <w:r>
        <w:t>7、配管及管内穿线</w:t>
      </w:r>
    </w:p>
    <w:p>
      <w:pPr>
        <w:pStyle w:val="ListParagraph"/>
        <w:numPr>
          <w:ilvl w:val="0"/>
          <w:numId w:val="29"/>
        </w:numPr>
        <w:tabs>
          <w:tab w:val="left" w:pos="2194"/>
        </w:tabs>
        <w:spacing w:before="7" w:after="0" w:line="240" w:lineRule="auto"/>
        <w:ind w:left="2194" w:right="0" w:hanging="901"/>
        <w:jc w:val="left"/>
        <w:rPr>
          <w:sz w:val="36"/>
        </w:rPr>
      </w:pPr>
      <w:r>
        <w:rPr>
          <w:sz w:val="36"/>
        </w:rPr>
        <w:t>φ</w:t>
      </w:r>
      <w:r>
        <w:rPr>
          <w:rFonts w:ascii="Arial" w:eastAsia="Arial" w:hAnsi="Arial"/>
          <w:sz w:val="36"/>
        </w:rPr>
        <w:t>32</w:t>
      </w:r>
      <w:r>
        <w:rPr>
          <w:rFonts w:ascii="Arial" w:eastAsia="Arial" w:hAnsi="Arial"/>
          <w:spacing w:val="-13"/>
          <w:sz w:val="36"/>
        </w:rPr>
        <w:t xml:space="preserve"> </w:t>
      </w:r>
      <w:r>
        <w:rPr>
          <w:sz w:val="36"/>
        </w:rPr>
        <w:t>以下钢管用手动弯管器弯制，φ</w:t>
      </w:r>
      <w:r>
        <w:rPr>
          <w:rFonts w:ascii="Arial" w:eastAsia="Arial" w:hAnsi="Arial"/>
          <w:sz w:val="36"/>
        </w:rPr>
        <w:t>32</w:t>
      </w:r>
      <w:r>
        <w:rPr>
          <w:rFonts w:ascii="Arial" w:eastAsia="Arial" w:hAnsi="Arial"/>
          <w:spacing w:val="-13"/>
          <w:sz w:val="36"/>
        </w:rPr>
        <w:t xml:space="preserve"> </w:t>
      </w:r>
      <w:r>
        <w:rPr>
          <w:sz w:val="36"/>
        </w:rPr>
        <w:t>以上用电动弯管器弯制。</w:t>
      </w:r>
    </w:p>
    <w:p>
      <w:pPr>
        <w:pStyle w:val="ListParagraph"/>
        <w:numPr>
          <w:ilvl w:val="0"/>
          <w:numId w:val="29"/>
        </w:numPr>
        <w:tabs>
          <w:tab w:val="left" w:pos="2194"/>
        </w:tabs>
        <w:spacing w:before="241" w:after="0" w:line="364" w:lineRule="auto"/>
        <w:ind w:left="573" w:right="2524" w:firstLine="719"/>
        <w:jc w:val="left"/>
        <w:rPr>
          <w:sz w:val="36"/>
        </w:rPr>
      </w:pPr>
      <w:r>
        <w:rPr>
          <w:spacing w:val="-1"/>
          <w:sz w:val="36"/>
        </w:rPr>
        <w:t>钢管的连接：明敷时应采用螺纹连接；暗敷时采用套管连接，套管长度</w:t>
      </w:r>
      <w:r>
        <w:rPr>
          <w:spacing w:val="-14"/>
          <w:sz w:val="36"/>
        </w:rPr>
        <w:t xml:space="preserve">宜为管外径的 </w:t>
      </w:r>
      <w:r>
        <w:rPr>
          <w:rFonts w:ascii="Arial" w:eastAsia="Arial"/>
          <w:sz w:val="36"/>
        </w:rPr>
        <w:t>1.5</w:t>
      </w:r>
      <w:r>
        <w:rPr>
          <w:rFonts w:ascii="Arial" w:eastAsia="Arial"/>
          <w:spacing w:val="-12"/>
          <w:sz w:val="36"/>
        </w:rPr>
        <w:t xml:space="preserve"> </w:t>
      </w:r>
      <w:r>
        <w:rPr>
          <w:spacing w:val="-45"/>
          <w:sz w:val="36"/>
        </w:rPr>
        <w:t xml:space="preserve">至 </w:t>
      </w:r>
      <w:r>
        <w:rPr>
          <w:rFonts w:ascii="Arial" w:eastAsia="Arial"/>
          <w:sz w:val="36"/>
        </w:rPr>
        <w:t>3</w:t>
      </w:r>
      <w:r>
        <w:rPr>
          <w:rFonts w:ascii="Arial" w:eastAsia="Arial"/>
          <w:spacing w:val="-12"/>
          <w:sz w:val="36"/>
        </w:rPr>
        <w:t xml:space="preserve"> </w:t>
      </w:r>
      <w:r>
        <w:rPr>
          <w:sz w:val="36"/>
        </w:rPr>
        <w:t>倍，焊缝应牢固严密。</w:t>
      </w:r>
    </w:p>
    <w:p>
      <w:pPr>
        <w:spacing w:after="0" w:line="364" w:lineRule="auto"/>
        <w:jc w:val="left"/>
        <w:rPr>
          <w:sz w:val="36"/>
        </w:rPr>
        <w:sectPr>
          <w:headerReference w:type="default" r:id="rId23"/>
          <w:footerReference w:type="default" r:id="rId24"/>
          <w:pgSz w:w="17860" w:h="25270"/>
          <w:pgMar w:top="1300" w:right="0" w:bottom="1700" w:left="1980" w:header="969" w:footer="1488"/>
          <w:pgNumType w:start="10"/>
          <w:cols w:space="708"/>
        </w:sectPr>
      </w:pPr>
    </w:p>
    <w:p>
      <w:pPr>
        <w:pStyle w:val="BodyText"/>
        <w:rPr>
          <w:sz w:val="20"/>
        </w:rPr>
      </w:pPr>
    </w:p>
    <w:p>
      <w:pPr>
        <w:pStyle w:val="BodyText"/>
        <w:spacing w:before="1"/>
        <w:rPr>
          <w:sz w:val="16"/>
        </w:rPr>
      </w:pPr>
    </w:p>
    <w:p>
      <w:pPr>
        <w:pStyle w:val="ListParagraph"/>
        <w:numPr>
          <w:ilvl w:val="0"/>
          <w:numId w:val="18"/>
        </w:numPr>
        <w:tabs>
          <w:tab w:val="left" w:pos="2194"/>
        </w:tabs>
        <w:spacing w:before="59" w:after="0" w:line="240" w:lineRule="auto"/>
        <w:ind w:left="2194" w:right="0" w:hanging="901"/>
        <w:jc w:val="left"/>
        <w:rPr>
          <w:sz w:val="36"/>
        </w:rPr>
      </w:pPr>
      <w:r>
        <w:rPr>
          <w:sz w:val="36"/>
        </w:rPr>
        <w:t>镀锌管及薄壁管应采用螺纹连接。</w:t>
      </w:r>
    </w:p>
    <w:p>
      <w:pPr>
        <w:pStyle w:val="ListParagraph"/>
        <w:numPr>
          <w:ilvl w:val="0"/>
          <w:numId w:val="18"/>
        </w:numPr>
        <w:tabs>
          <w:tab w:val="left" w:pos="2194"/>
        </w:tabs>
        <w:spacing w:before="238" w:after="0" w:line="240" w:lineRule="auto"/>
        <w:ind w:left="2194" w:right="0" w:hanging="901"/>
        <w:jc w:val="left"/>
        <w:rPr>
          <w:sz w:val="36"/>
        </w:rPr>
      </w:pPr>
      <w:r>
        <w:rPr>
          <w:sz w:val="36"/>
        </w:rPr>
        <w:t>明配钢管应横平竖直，美观大方。</w:t>
      </w:r>
    </w:p>
    <w:p>
      <w:pPr>
        <w:pStyle w:val="ListParagraph"/>
        <w:numPr>
          <w:ilvl w:val="0"/>
          <w:numId w:val="18"/>
        </w:numPr>
        <w:tabs>
          <w:tab w:val="left" w:pos="2194"/>
        </w:tabs>
        <w:spacing w:before="241" w:after="0" w:line="240" w:lineRule="auto"/>
        <w:ind w:left="2194" w:right="0" w:hanging="901"/>
        <w:jc w:val="left"/>
        <w:rPr>
          <w:sz w:val="36"/>
        </w:rPr>
      </w:pPr>
      <w:r>
        <w:rPr>
          <w:sz w:val="36"/>
        </w:rPr>
        <w:t>导线的线芯截面应符合设计要求。</w:t>
      </w:r>
    </w:p>
    <w:p>
      <w:pPr>
        <w:pStyle w:val="ListParagraph"/>
        <w:numPr>
          <w:ilvl w:val="0"/>
          <w:numId w:val="18"/>
        </w:numPr>
        <w:tabs>
          <w:tab w:val="left" w:pos="2194"/>
        </w:tabs>
        <w:spacing w:before="237" w:after="0" w:line="240" w:lineRule="auto"/>
        <w:ind w:left="2194" w:right="0" w:hanging="901"/>
        <w:jc w:val="left"/>
        <w:rPr>
          <w:sz w:val="36"/>
        </w:rPr>
      </w:pPr>
      <w:r>
        <w:rPr>
          <w:sz w:val="36"/>
        </w:rPr>
        <w:t>导线的敷设应严格按照设计进行，严禁私自更改。</w:t>
      </w:r>
    </w:p>
    <w:p>
      <w:pPr>
        <w:pStyle w:val="ListParagraph"/>
        <w:numPr>
          <w:ilvl w:val="0"/>
          <w:numId w:val="18"/>
        </w:numPr>
        <w:tabs>
          <w:tab w:val="left" w:pos="2194"/>
        </w:tabs>
        <w:spacing w:before="2" w:after="0" w:line="700" w:lineRule="atLeast"/>
        <w:ind w:left="573" w:right="6484" w:firstLine="719"/>
        <w:jc w:val="left"/>
        <w:rPr>
          <w:b/>
          <w:sz w:val="36"/>
        </w:rPr>
      </w:pPr>
      <w:r>
        <w:rPr>
          <w:spacing w:val="-1"/>
          <w:sz w:val="36"/>
        </w:rPr>
        <w:t>配管时应将管口密封好，防止其他专业损坏。</w:t>
      </w:r>
      <w:r>
        <w:rPr>
          <w:b/>
          <w:spacing w:val="3"/>
          <w:sz w:val="36"/>
        </w:rPr>
        <w:t>8</w:t>
      </w:r>
      <w:r>
        <w:rPr>
          <w:b/>
          <w:sz w:val="36"/>
        </w:rPr>
        <w:t>、电缆敷设及接线</w:t>
      </w:r>
    </w:p>
    <w:p>
      <w:pPr>
        <w:pStyle w:val="ListParagraph"/>
        <w:numPr>
          <w:ilvl w:val="0"/>
          <w:numId w:val="17"/>
        </w:numPr>
        <w:tabs>
          <w:tab w:val="left" w:pos="2194"/>
        </w:tabs>
        <w:spacing w:before="5" w:after="0" w:line="240" w:lineRule="auto"/>
        <w:ind w:left="2194" w:right="0" w:hanging="901"/>
        <w:jc w:val="left"/>
        <w:rPr>
          <w:sz w:val="36"/>
        </w:rPr>
      </w:pPr>
      <w:r>
        <w:rPr>
          <w:sz w:val="36"/>
        </w:rPr>
        <w:t>电缆的运输与保管应具有标识牌，应符合有关规范的要求。</w:t>
      </w:r>
    </w:p>
    <w:p>
      <w:pPr>
        <w:pStyle w:val="ListParagraph"/>
        <w:numPr>
          <w:ilvl w:val="0"/>
          <w:numId w:val="17"/>
        </w:numPr>
        <w:tabs>
          <w:tab w:val="left" w:pos="2194"/>
        </w:tabs>
        <w:spacing w:before="241" w:after="0" w:line="364" w:lineRule="auto"/>
        <w:ind w:left="573" w:right="2524" w:firstLine="719"/>
        <w:jc w:val="left"/>
        <w:rPr>
          <w:sz w:val="36"/>
        </w:rPr>
      </w:pPr>
      <w:r>
        <w:rPr>
          <w:spacing w:val="-1"/>
          <w:sz w:val="36"/>
        </w:rPr>
        <w:t>电缆敷设应严格按照设计路径敷设，当无设计要求时，应采用较近的路</w:t>
      </w:r>
      <w:r>
        <w:rPr>
          <w:sz w:val="36"/>
        </w:rPr>
        <w:t>径。</w:t>
      </w:r>
    </w:p>
    <w:p>
      <w:pPr>
        <w:pStyle w:val="ListParagraph"/>
        <w:numPr>
          <w:ilvl w:val="0"/>
          <w:numId w:val="17"/>
        </w:numPr>
        <w:tabs>
          <w:tab w:val="left" w:pos="2194"/>
        </w:tabs>
        <w:spacing w:before="0" w:after="0" w:line="460" w:lineRule="exact"/>
        <w:ind w:left="2194" w:right="0" w:hanging="901"/>
        <w:jc w:val="left"/>
        <w:rPr>
          <w:sz w:val="36"/>
        </w:rPr>
      </w:pPr>
      <w:r>
        <w:rPr>
          <w:sz w:val="36"/>
        </w:rPr>
        <w:t>电缆敷设时应防止将电缆绝缘部分损坏，敷设人员行动要一致。</w:t>
      </w:r>
    </w:p>
    <w:p>
      <w:pPr>
        <w:pStyle w:val="ListParagraph"/>
        <w:numPr>
          <w:ilvl w:val="0"/>
          <w:numId w:val="17"/>
        </w:numPr>
        <w:tabs>
          <w:tab w:val="left" w:pos="2194"/>
        </w:tabs>
        <w:spacing w:before="241" w:after="0" w:line="362" w:lineRule="auto"/>
        <w:ind w:left="573" w:right="2524" w:firstLine="719"/>
        <w:jc w:val="left"/>
        <w:rPr>
          <w:sz w:val="36"/>
        </w:rPr>
      </w:pPr>
      <w:r>
        <w:rPr>
          <w:spacing w:val="-1"/>
          <w:sz w:val="36"/>
        </w:rPr>
        <w:t>电缆敷设时应排列整齐，在拐弯处应利用尼龙绑扎带或绑线等将电缆固</w:t>
      </w:r>
      <w:r>
        <w:rPr>
          <w:sz w:val="36"/>
        </w:rPr>
        <w:t>定住，防止以后电缆敷设时损伤电缆。</w:t>
      </w:r>
    </w:p>
    <w:p>
      <w:pPr>
        <w:pStyle w:val="ListParagraph"/>
        <w:numPr>
          <w:ilvl w:val="0"/>
          <w:numId w:val="17"/>
        </w:numPr>
        <w:tabs>
          <w:tab w:val="left" w:pos="2194"/>
        </w:tabs>
        <w:spacing w:before="7" w:after="0" w:line="362" w:lineRule="auto"/>
        <w:ind w:left="573" w:right="2524" w:firstLine="719"/>
        <w:jc w:val="left"/>
        <w:rPr>
          <w:sz w:val="36"/>
        </w:rPr>
      </w:pPr>
      <w:r>
        <w:rPr>
          <w:spacing w:val="-1"/>
          <w:sz w:val="36"/>
        </w:rPr>
        <w:t>电缆穿管敷设时，应采用铁线拖拉方式，管前应顺平向前送，管后应一</w:t>
      </w:r>
      <w:r>
        <w:rPr>
          <w:sz w:val="36"/>
        </w:rPr>
        <w:t>致用力拉。</w:t>
      </w:r>
    </w:p>
    <w:p>
      <w:pPr>
        <w:pStyle w:val="ListParagraph"/>
        <w:numPr>
          <w:ilvl w:val="0"/>
          <w:numId w:val="17"/>
        </w:numPr>
        <w:tabs>
          <w:tab w:val="left" w:pos="2194"/>
        </w:tabs>
        <w:spacing w:before="8" w:after="0" w:line="240" w:lineRule="auto"/>
        <w:ind w:left="2194" w:right="0" w:hanging="901"/>
        <w:jc w:val="left"/>
        <w:rPr>
          <w:sz w:val="36"/>
        </w:rPr>
      </w:pPr>
      <w:r>
        <w:rPr>
          <w:sz w:val="36"/>
        </w:rPr>
        <w:t>电缆敷设时应在首尾两端布置好人力，并在电缆两端做好标识。</w:t>
      </w:r>
    </w:p>
    <w:p>
      <w:pPr>
        <w:pStyle w:val="ListParagraph"/>
        <w:numPr>
          <w:ilvl w:val="0"/>
          <w:numId w:val="17"/>
        </w:numPr>
        <w:tabs>
          <w:tab w:val="left" w:pos="2194"/>
        </w:tabs>
        <w:spacing w:before="237" w:after="0" w:line="240" w:lineRule="auto"/>
        <w:ind w:left="2194" w:right="0" w:hanging="901"/>
        <w:jc w:val="left"/>
        <w:rPr>
          <w:sz w:val="36"/>
        </w:rPr>
      </w:pPr>
      <w:r>
        <w:rPr>
          <w:sz w:val="36"/>
        </w:rPr>
        <w:t>电缆两端钧应有标识及必要的文字说明。</w:t>
      </w:r>
    </w:p>
    <w:p>
      <w:pPr>
        <w:pStyle w:val="ListParagraph"/>
        <w:numPr>
          <w:ilvl w:val="0"/>
          <w:numId w:val="17"/>
        </w:numPr>
        <w:tabs>
          <w:tab w:val="left" w:pos="2194"/>
        </w:tabs>
        <w:spacing w:before="241" w:after="0" w:line="362" w:lineRule="auto"/>
        <w:ind w:left="573" w:right="2524" w:firstLine="719"/>
        <w:jc w:val="left"/>
        <w:rPr>
          <w:sz w:val="36"/>
        </w:rPr>
      </w:pPr>
      <w:r>
        <w:rPr>
          <w:spacing w:val="-1"/>
          <w:sz w:val="36"/>
        </w:rPr>
        <w:t>仪表信号电缆与电力电缆交叉敷设时，应成直角；平行敷设时，其相互</w:t>
      </w:r>
      <w:r>
        <w:rPr>
          <w:sz w:val="36"/>
        </w:rPr>
        <w:t>间的距离应符合设计规定。</w:t>
      </w:r>
    </w:p>
    <w:p>
      <w:pPr>
        <w:pStyle w:val="ListParagraph"/>
        <w:numPr>
          <w:ilvl w:val="0"/>
          <w:numId w:val="17"/>
        </w:numPr>
        <w:tabs>
          <w:tab w:val="left" w:pos="2194"/>
        </w:tabs>
        <w:spacing w:before="8" w:after="0" w:line="240" w:lineRule="auto"/>
        <w:ind w:left="2194" w:right="0" w:hanging="901"/>
        <w:jc w:val="left"/>
        <w:rPr>
          <w:sz w:val="36"/>
        </w:rPr>
      </w:pPr>
      <w:r>
        <w:rPr>
          <w:sz w:val="36"/>
        </w:rPr>
        <w:t>补偿导线应穿保护管或在汇线槽内敷设，不应直接埋地敷设。</w:t>
      </w:r>
    </w:p>
    <w:p>
      <w:pPr>
        <w:pStyle w:val="BodyText"/>
        <w:spacing w:before="237" w:line="364" w:lineRule="auto"/>
        <w:ind w:left="1293" w:right="6027"/>
      </w:pPr>
      <w:r>
        <w:rPr>
          <w:rFonts w:ascii="Times New Roman" w:eastAsia="Times New Roman"/>
        </w:rPr>
        <w:t>(10)</w:t>
      </w:r>
      <w:r>
        <w:t>补偿导线进行中间或终端连接时，严禁接错极性。</w:t>
      </w:r>
      <w:r>
        <w:rPr>
          <w:rFonts w:ascii="Times New Roman" w:eastAsia="Times New Roman"/>
        </w:rPr>
        <w:t>(11)</w:t>
      </w:r>
      <w:r>
        <w:t>补偿导线不应与其他线路在同一根保护管内敷设。</w:t>
      </w:r>
    </w:p>
    <w:p>
      <w:pPr>
        <w:pStyle w:val="Heading2"/>
        <w:numPr>
          <w:ilvl w:val="0"/>
          <w:numId w:val="16"/>
        </w:numPr>
        <w:tabs>
          <w:tab w:val="left" w:pos="847"/>
        </w:tabs>
        <w:spacing w:before="0" w:after="0" w:line="459" w:lineRule="exact"/>
        <w:ind w:left="846" w:right="0" w:hanging="274"/>
        <w:jc w:val="left"/>
      </w:pPr>
      <w:r>
        <w:t>冬季电缆敷设施工应注意事项</w:t>
      </w:r>
    </w:p>
    <w:p>
      <w:pPr>
        <w:pStyle w:val="BodyText"/>
        <w:tabs>
          <w:tab w:val="left" w:pos="1691"/>
        </w:tabs>
        <w:spacing w:before="6" w:line="364" w:lineRule="auto"/>
        <w:ind w:left="573" w:right="2436" w:firstLine="719"/>
      </w:pPr>
      <w:r>
        <w:t>敷设电缆时根</w:t>
      </w:r>
      <w:r>
        <w:rPr>
          <w:spacing w:val="-152"/>
        </w:rPr>
        <w:t>据</w:t>
      </w:r>
      <w:r>
        <w:t>《工业自动化仪表工程施工及验收规</w:t>
      </w:r>
      <w:r>
        <w:rPr>
          <w:spacing w:val="-152"/>
        </w:rPr>
        <w:t>范</w:t>
      </w:r>
      <w:r>
        <w:t>（标准</w:t>
      </w:r>
      <w:r>
        <w:rPr>
          <w:spacing w:val="-180"/>
        </w:rPr>
        <w:t>）</w:t>
      </w:r>
      <w:r>
        <w:rPr>
          <w:spacing w:val="-150"/>
        </w:rPr>
        <w:t>》</w:t>
      </w:r>
      <w:r>
        <w:rPr>
          <w:rFonts w:ascii="Times New Roman" w:eastAsia="Times New Roman"/>
          <w:spacing w:val="-2"/>
        </w:rPr>
        <w:t xml:space="preserve">GB/50093-2002 </w:t>
      </w:r>
      <w:r>
        <w:rPr>
          <w:rFonts w:ascii="Times New Roman" w:eastAsia="Times New Roman"/>
        </w:rPr>
        <w:t>(GBJ</w:t>
        <w:tab/>
        <w:t>93-86)</w:t>
      </w:r>
      <w:r>
        <w:t>环境温度不应低于下列规定：</w:t>
      </w:r>
    </w:p>
    <w:p>
      <w:pPr>
        <w:pStyle w:val="BodyText"/>
        <w:spacing w:before="3" w:line="362" w:lineRule="auto"/>
        <w:ind w:left="1293" w:right="10353"/>
      </w:pPr>
      <w:r>
        <w:rPr>
          <w:spacing w:val="-9"/>
        </w:rPr>
        <w:t xml:space="preserve">一、交链聚乙烯电缆 </w:t>
      </w:r>
      <w:r>
        <w:rPr>
          <w:rFonts w:ascii="Times New Roman" w:eastAsia="Times New Roman" w:hAnsi="Times New Roman"/>
        </w:rPr>
        <w:t>0</w:t>
      </w:r>
      <w:r>
        <w:rPr>
          <w:spacing w:val="-9"/>
        </w:rPr>
        <w:t>℃。</w:t>
      </w:r>
      <w:r>
        <w:t>二、低压塑料电线</w:t>
      </w:r>
      <w:r>
        <w:rPr>
          <w:rFonts w:ascii="Times New Roman" w:eastAsia="Times New Roman" w:hAnsi="Times New Roman"/>
        </w:rPr>
        <w:t>-20</w:t>
      </w:r>
      <w:r>
        <w:t>℃。</w:t>
      </w:r>
    </w:p>
    <w:p>
      <w:pPr>
        <w:pStyle w:val="BodyText"/>
        <w:spacing w:before="8"/>
        <w:ind w:left="1293"/>
        <w:rPr>
          <w:rFonts w:ascii="Times New Roman" w:eastAsia="Times New Roman" w:hAnsi="Times New Roman"/>
        </w:rPr>
      </w:pPr>
      <w:r>
        <w:t>三、橡皮及聚氯乙烯保护套橡皮绝缘电缆</w:t>
      </w:r>
      <w:r>
        <w:rPr>
          <w:rFonts w:ascii="Times New Roman" w:eastAsia="Times New Roman" w:hAnsi="Times New Roman"/>
        </w:rPr>
        <w:t>-15</w:t>
      </w:r>
      <w:r>
        <w:t>℃</w:t>
      </w:r>
      <w:r>
        <w:rPr>
          <w:rFonts w:ascii="Times New Roman" w:eastAsia="Times New Roman" w:hAnsi="Times New Roman"/>
        </w:rPr>
        <w:t>.</w:t>
      </w:r>
    </w:p>
    <w:p>
      <w:pPr>
        <w:pStyle w:val="BodyText"/>
        <w:spacing w:before="237" w:line="364" w:lineRule="auto"/>
        <w:ind w:left="573" w:right="2345" w:firstLine="719"/>
      </w:pPr>
      <w:r>
        <w:t xml:space="preserve">如果在不符合以上条件时，我施工方将采取把电缆整体移到具有足够空间的房屋内（屋内温度保证在 </w:t>
      </w:r>
      <w:r>
        <w:rPr>
          <w:rFonts w:ascii="Times New Roman" w:eastAsia="Times New Roman" w:hAnsi="Times New Roman"/>
        </w:rPr>
        <w:t>25</w:t>
      </w:r>
      <w:r>
        <w:t>℃左右）进行预热，待电缆温度达到并高于规定温度再进行快速敷设施工，且敷设时间不能太长，应控制在</w:t>
      </w:r>
      <w:r>
        <w:rPr>
          <w:rFonts w:ascii="Times New Roman" w:eastAsia="Times New Roman" w:hAnsi="Times New Roman"/>
        </w:rPr>
        <w:t xml:space="preserve">4 </w:t>
      </w:r>
      <w:r>
        <w:t>小时之内（理想时间应该是</w:t>
      </w:r>
    </w:p>
    <w:p>
      <w:pPr>
        <w:spacing w:after="0" w:line="36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5" w:history="1">
        <w:r>
          <w:rPr>
            <w:rFonts w:ascii="SimSun" w:eastAsia="SimSun" w:hAnsi="SimSun" w:cs="SimSun"/>
            <w:b/>
            <w:bCs/>
            <w:color w:val="0000EE"/>
            <w:sz w:val="30"/>
            <w:szCs w:val="30"/>
            <w:u w:val="single" w:color="0000EE"/>
          </w:rPr>
          <w:t>https://d.book118.com/736144123201010052</w:t>
        </w:r>
      </w:hyperlink>
    </w:p>
    <w:p>
      <w:pPr>
        <w:spacing w:after="0" w:line="364" w:lineRule="auto"/>
      </w:pPr>
    </w:p>
    <w:sectPr>
      <w:headerReference w:type="default" r:id="rId26"/>
      <w:footerReference w:type="default" r:id="rId27"/>
      <w:pgSz w:w="17860" w:h="25270"/>
      <w:pgMar w:top="1300" w:right="0" w:bottom="1680" w:left="1980" w:header="969" w:footer="1488"/>
      <w:pgNumType w:start="1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华文行楷">
    <w:altName w:val="华文行楷"/>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Lucida Sans">
    <w:altName w:val="Lucida Sans"/>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34.25pt;height:18.45pt;margin-top:1176.12pt;margin-left:441.7pt;mso-position-horizontal-relative:page;mso-position-vertical-relative:page;position:absolute;z-index:-25165824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2</w:t>
                </w:r>
                <w:r>
                  <w:fldChar w:fldCharType="end"/>
                </w:r>
                <w:r>
                  <w:rPr>
                    <w:rFonts w:ascii="Arial"/>
                    <w:sz w:val="27"/>
                  </w:rPr>
                  <w:t xml:space="preserve"> -</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34.25pt;height:18.45pt;margin-top:1176.12pt;margin-left:441.7pt;mso-position-horizontal-relative:page;mso-position-vertical-relative:page;position:absolute;z-index:-25165721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3</w:t>
                </w:r>
                <w:r>
                  <w:fldChar w:fldCharType="end"/>
                </w:r>
                <w:r>
                  <w:rPr>
                    <w:rFonts w:ascii="Arial"/>
                    <w:sz w:val="27"/>
                  </w:rPr>
                  <w:t xml:space="preserve"> -</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34.25pt;height:18.45pt;margin-top:1176.12pt;margin-left:441.7pt;mso-position-horizontal-relative:page;mso-position-vertical-relative:page;position:absolute;z-index:-25165619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4</w:t>
                </w:r>
                <w:r>
                  <w:fldChar w:fldCharType="end"/>
                </w:r>
                <w:r>
                  <w:rPr>
                    <w:rFonts w:ascii="Arial"/>
                    <w:sz w:val="27"/>
                  </w:rPr>
                  <w:t xml:space="preserve"> -</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34.25pt;height:18.45pt;margin-top:1176.12pt;margin-left:441.7pt;mso-position-horizontal-relative:page;mso-position-vertical-relative:page;position:absolute;z-index:-25165516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5</w:t>
                </w:r>
                <w:r>
                  <w:fldChar w:fldCharType="end"/>
                </w:r>
                <w:r>
                  <w:rPr>
                    <w:rFonts w:ascii="Arial"/>
                    <w:sz w:val="27"/>
                  </w:rPr>
                  <w:t xml:space="preserve"> -</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34.25pt;height:18.45pt;margin-top:1176.12pt;margin-left:441.7pt;mso-position-horizontal-relative:page;mso-position-vertical-relative:page;position:absolute;z-index:-25165414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6</w:t>
                </w:r>
                <w:r>
                  <w:fldChar w:fldCharType="end"/>
                </w:r>
                <w:r>
                  <w:rPr>
                    <w:rFonts w:ascii="Arial"/>
                    <w:sz w:val="27"/>
                  </w:rPr>
                  <w:t xml:space="preserve"> -</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34.25pt;height:18.45pt;margin-top:1176.12pt;margin-left:441.7pt;mso-position-horizontal-relative:page;mso-position-vertical-relative:page;position:absolute;z-index:-25165312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34.25pt;height:18.45pt;margin-top:1176.12pt;margin-left:441.7pt;mso-position-horizontal-relative:page;mso-position-vertical-relative:page;position:absolute;z-index:-25165209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8</w:t>
                </w:r>
                <w:r>
                  <w:fldChar w:fldCharType="end"/>
                </w:r>
                <w:r>
                  <w:rPr>
                    <w:rFonts w:ascii="Arial"/>
                    <w:sz w:val="27"/>
                  </w:rPr>
                  <w:t xml:space="preserve"> -</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34.25pt;height:18.45pt;margin-top:1176.12pt;margin-left:441.7pt;mso-position-horizontal-relative:page;mso-position-vertical-relative:page;position:absolute;z-index:-25165107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9</w:t>
                </w:r>
                <w:r>
                  <w:fldChar w:fldCharType="end"/>
                </w:r>
                <w:r>
                  <w:rPr>
                    <w:rFonts w:ascii="Arial"/>
                    <w:sz w:val="27"/>
                  </w:rPr>
                  <w:t xml:space="preserve"> -</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34.25pt;height:18.45pt;margin-top:1176.12pt;margin-left:441.7pt;mso-position-horizontal-relative:page;mso-position-vertical-relative:page;position:absolute;z-index:-25165004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10</w:t>
                </w:r>
                <w:r>
                  <w:fldChar w:fldCharType="end"/>
                </w:r>
                <w:r>
                  <w:rPr>
                    <w:rFonts w:ascii="Arial"/>
                    <w:sz w:val="27"/>
                  </w:rPr>
                  <w:t xml:space="preserve"> -</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34.25pt;height:18.45pt;margin-top:1176.12pt;margin-left:441.7pt;mso-position-horizontal-relative:page;mso-position-vertical-relative:page;position:absolute;z-index:-25164902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11</w:t>
                </w:r>
                <w:r>
                  <w:fldChar w:fldCharType="end"/>
                </w:r>
                <w:r>
                  <w:rPr>
                    <w:rFonts w:ascii="Arial"/>
                    <w:sz w:val="27"/>
                  </w:rPr>
                  <w:t xml:space="preserve"> -</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64pt;height:15.5pt;margin-top:47.44pt;margin-left:375.27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169037264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72642"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164pt;height:15.5pt;margin-top:47.44pt;margin-left:375.27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210023694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36946"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164pt;height:15.5pt;margin-top:47.44pt;margin-left:375.27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77224114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41146"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64pt;height:15.5pt;margin-top:47.44pt;margin-left:375.27pt;mso-position-horizontal-relative:page;mso-position-vertical-relative:page;position:absolute;z-index:-251651072"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7996763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76319"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164pt;height:15.5pt;margin-top:47.44pt;margin-left:375.27pt;mso-position-horizontal-relative:page;mso-position-vertical-relative:page;position:absolute;z-index:-251649024"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14121876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87641"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164pt;height:15.5pt;margin-top:47.44pt;margin-left:375.27pt;mso-position-horizontal-relative:page;mso-position-vertical-relative:page;position:absolute;z-index:-251646976"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181374014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40144"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164pt;height:15.5pt;margin-top:47.44pt;margin-left:375.27pt;mso-position-horizontal-relative:page;mso-position-vertical-relative:page;position:absolute;z-index:-251644928"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31074408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44086"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164pt;height:15.5pt;margin-top:47.44pt;margin-left:375.27pt;mso-position-horizontal-relative:page;mso-position-vertical-relative:page;position:absolute;z-index:-251642880"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71845322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53224"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164pt;height:15.5pt;margin-top:47.44pt;margin-left:375.27pt;mso-position-horizontal-relative:page;mso-position-vertical-relative:page;position:absolute;z-index:-251640832"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1587500</wp:posOffset>
          </wp:positionH>
          <wp:positionV relativeFrom="page">
            <wp:posOffset>787400</wp:posOffset>
          </wp:positionV>
          <wp:extent cx="8458200" cy="38100"/>
          <wp:effectExtent l="0" t="0" r="0" b="0"/>
          <wp:wrapNone/>
          <wp:docPr id="14995369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36927" name="image2.png"/>
                  <pic:cNvPicPr/>
                </pic:nvPicPr>
                <pic:blipFill>
                  <a:blip xmlns:r="http://schemas.openxmlformats.org/officeDocument/2006/relationships" r:embed="rId1" cstate="print"/>
                  <a:stretch>
                    <a:fillRect/>
                  </a:stretch>
                </pic:blipFill>
                <pic:spPr>
                  <a:xfrm>
                    <a:off x="0" y="0"/>
                    <a:ext cx="8458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164pt;height:15.5pt;margin-top:47.44pt;margin-left:375.27pt;mso-position-horizontal-relative:page;mso-position-vertical-relative:page;position:absolute;z-index:-251638784" filled="f" stroked="f">
          <v:textbox inset="0,0,0,0">
            <w:txbxContent>
              <w:p>
                <w:pPr>
                  <w:spacing w:before="0" w:line="310" w:lineRule="exact"/>
                  <w:ind w:left="20" w:right="0" w:firstLine="0"/>
                  <w:jc w:val="left"/>
                  <w:rPr>
                    <w:sz w:val="27"/>
                  </w:rPr>
                </w:pPr>
                <w:r>
                  <w:rPr>
                    <w:sz w:val="27"/>
                  </w:rPr>
                  <w:t>新疆中泰化学研发实验基地</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4590"/>
    <w:multiLevelType w:val="hybridMultilevel"/>
    <w:tmpl w:val="00000000"/>
    <w:lvl w:ilvl="0">
      <w:start w:val="1"/>
      <w:numFmt w:val="decimal"/>
      <w:lvlText w:val="(%1)"/>
      <w:lvlJc w:val="left"/>
      <w:pPr>
        <w:ind w:left="1713" w:hanging="421"/>
        <w:jc w:val="left"/>
      </w:pPr>
      <w:rPr>
        <w:rFonts w:ascii="Arial" w:eastAsia="Arial" w:hAnsi="Arial" w:cs="Arial" w:hint="default"/>
        <w:spacing w:val="-3"/>
        <w:w w:val="95"/>
        <w:sz w:val="34"/>
        <w:szCs w:val="34"/>
      </w:rPr>
    </w:lvl>
    <w:lvl w:ilvl="1">
      <w:start w:val="0"/>
      <w:numFmt w:val="bullet"/>
      <w:lvlText w:val="•"/>
      <w:lvlJc w:val="left"/>
      <w:pPr>
        <w:ind w:left="3135" w:hanging="421"/>
      </w:pPr>
      <w:rPr>
        <w:rFonts w:hint="default"/>
      </w:rPr>
    </w:lvl>
    <w:lvl w:ilvl="2">
      <w:start w:val="0"/>
      <w:numFmt w:val="bullet"/>
      <w:lvlText w:val="•"/>
      <w:lvlJc w:val="left"/>
      <w:pPr>
        <w:ind w:left="4551" w:hanging="421"/>
      </w:pPr>
      <w:rPr>
        <w:rFonts w:hint="default"/>
      </w:rPr>
    </w:lvl>
    <w:lvl w:ilvl="3">
      <w:start w:val="0"/>
      <w:numFmt w:val="bullet"/>
      <w:lvlText w:val="•"/>
      <w:lvlJc w:val="left"/>
      <w:pPr>
        <w:ind w:left="5967" w:hanging="421"/>
      </w:pPr>
      <w:rPr>
        <w:rFonts w:hint="default"/>
      </w:rPr>
    </w:lvl>
    <w:lvl w:ilvl="4">
      <w:start w:val="0"/>
      <w:numFmt w:val="bullet"/>
      <w:lvlText w:val="•"/>
      <w:lvlJc w:val="left"/>
      <w:pPr>
        <w:ind w:left="7383" w:hanging="421"/>
      </w:pPr>
      <w:rPr>
        <w:rFonts w:hint="default"/>
      </w:rPr>
    </w:lvl>
    <w:lvl w:ilvl="5">
      <w:start w:val="0"/>
      <w:numFmt w:val="bullet"/>
      <w:lvlText w:val="•"/>
      <w:lvlJc w:val="left"/>
      <w:pPr>
        <w:ind w:left="8799" w:hanging="421"/>
      </w:pPr>
      <w:rPr>
        <w:rFonts w:hint="default"/>
      </w:rPr>
    </w:lvl>
    <w:lvl w:ilvl="6">
      <w:start w:val="0"/>
      <w:numFmt w:val="bullet"/>
      <w:lvlText w:val="•"/>
      <w:lvlJc w:val="left"/>
      <w:pPr>
        <w:ind w:left="10215" w:hanging="421"/>
      </w:pPr>
      <w:rPr>
        <w:rFonts w:hint="default"/>
      </w:rPr>
    </w:lvl>
    <w:lvl w:ilvl="7">
      <w:start w:val="0"/>
      <w:numFmt w:val="bullet"/>
      <w:lvlText w:val="•"/>
      <w:lvlJc w:val="left"/>
      <w:pPr>
        <w:ind w:left="11631" w:hanging="421"/>
      </w:pPr>
      <w:rPr>
        <w:rFonts w:hint="default"/>
      </w:rPr>
    </w:lvl>
    <w:lvl w:ilvl="8">
      <w:start w:val="0"/>
      <w:numFmt w:val="bullet"/>
      <w:lvlText w:val="•"/>
      <w:lvlJc w:val="left"/>
      <w:pPr>
        <w:ind w:left="13047" w:hanging="421"/>
      </w:pPr>
      <w:rPr>
        <w:rFonts w:hint="default"/>
      </w:rPr>
    </w:lvl>
  </w:abstractNum>
  <w:abstractNum w:abstractNumId="1">
    <w:nsid w:val="07612056"/>
    <w:multiLevelType w:val="hybridMultilevel"/>
    <w:tmpl w:val="00000000"/>
    <w:lvl w:ilvl="0">
      <w:start w:val="1"/>
      <w:numFmt w:val="decimal"/>
      <w:lvlText w:val="（%1）"/>
      <w:lvlJc w:val="left"/>
      <w:pPr>
        <w:ind w:left="573" w:hanging="909"/>
        <w:jc w:val="left"/>
      </w:pPr>
      <w:rPr>
        <w:rFonts w:ascii="宋体" w:eastAsia="宋体" w:hAnsi="宋体" w:cs="宋体" w:hint="default"/>
        <w:spacing w:val="0"/>
        <w:w w:val="89"/>
        <w:sz w:val="34"/>
        <w:szCs w:val="34"/>
      </w:rPr>
    </w:lvl>
    <w:lvl w:ilvl="1">
      <w:start w:val="0"/>
      <w:numFmt w:val="bullet"/>
      <w:lvlText w:val="•"/>
      <w:lvlJc w:val="left"/>
      <w:pPr>
        <w:ind w:left="2109" w:hanging="909"/>
      </w:pPr>
      <w:rPr>
        <w:rFonts w:hint="default"/>
      </w:rPr>
    </w:lvl>
    <w:lvl w:ilvl="2">
      <w:start w:val="0"/>
      <w:numFmt w:val="bullet"/>
      <w:lvlText w:val="•"/>
      <w:lvlJc w:val="left"/>
      <w:pPr>
        <w:ind w:left="3639" w:hanging="909"/>
      </w:pPr>
      <w:rPr>
        <w:rFonts w:hint="default"/>
      </w:rPr>
    </w:lvl>
    <w:lvl w:ilvl="3">
      <w:start w:val="0"/>
      <w:numFmt w:val="bullet"/>
      <w:lvlText w:val="•"/>
      <w:lvlJc w:val="left"/>
      <w:pPr>
        <w:ind w:left="5169" w:hanging="909"/>
      </w:pPr>
      <w:rPr>
        <w:rFonts w:hint="default"/>
      </w:rPr>
    </w:lvl>
    <w:lvl w:ilvl="4">
      <w:start w:val="0"/>
      <w:numFmt w:val="bullet"/>
      <w:lvlText w:val="•"/>
      <w:lvlJc w:val="left"/>
      <w:pPr>
        <w:ind w:left="6699" w:hanging="909"/>
      </w:pPr>
      <w:rPr>
        <w:rFonts w:hint="default"/>
      </w:rPr>
    </w:lvl>
    <w:lvl w:ilvl="5">
      <w:start w:val="0"/>
      <w:numFmt w:val="bullet"/>
      <w:lvlText w:val="•"/>
      <w:lvlJc w:val="left"/>
      <w:pPr>
        <w:ind w:left="8229" w:hanging="909"/>
      </w:pPr>
      <w:rPr>
        <w:rFonts w:hint="default"/>
      </w:rPr>
    </w:lvl>
    <w:lvl w:ilvl="6">
      <w:start w:val="0"/>
      <w:numFmt w:val="bullet"/>
      <w:lvlText w:val="•"/>
      <w:lvlJc w:val="left"/>
      <w:pPr>
        <w:ind w:left="9759" w:hanging="909"/>
      </w:pPr>
      <w:rPr>
        <w:rFonts w:hint="default"/>
      </w:rPr>
    </w:lvl>
    <w:lvl w:ilvl="7">
      <w:start w:val="0"/>
      <w:numFmt w:val="bullet"/>
      <w:lvlText w:val="•"/>
      <w:lvlJc w:val="left"/>
      <w:pPr>
        <w:ind w:left="11289" w:hanging="909"/>
      </w:pPr>
      <w:rPr>
        <w:rFonts w:hint="default"/>
      </w:rPr>
    </w:lvl>
    <w:lvl w:ilvl="8">
      <w:start w:val="0"/>
      <w:numFmt w:val="bullet"/>
      <w:lvlText w:val="•"/>
      <w:lvlJc w:val="left"/>
      <w:pPr>
        <w:ind w:left="12819" w:hanging="909"/>
      </w:pPr>
      <w:rPr>
        <w:rFonts w:hint="default"/>
      </w:rPr>
    </w:lvl>
  </w:abstractNum>
  <w:abstractNum w:abstractNumId="2">
    <w:nsid w:val="0C1B8549"/>
    <w:multiLevelType w:val="hybridMultilevel"/>
    <w:tmpl w:val="00000000"/>
    <w:lvl w:ilvl="0">
      <w:start w:val="1"/>
      <w:numFmt w:val="decimal"/>
      <w:lvlText w:val="（%1）"/>
      <w:lvlJc w:val="left"/>
      <w:pPr>
        <w:ind w:left="1474" w:hanging="901"/>
        <w:jc w:val="left"/>
      </w:pPr>
      <w:rPr>
        <w:rFonts w:ascii="宋体" w:eastAsia="宋体" w:hAnsi="宋体" w:cs="宋体" w:hint="default"/>
        <w:spacing w:val="-1"/>
        <w:w w:val="100"/>
        <w:sz w:val="34"/>
        <w:szCs w:val="34"/>
      </w:rPr>
    </w:lvl>
    <w:lvl w:ilvl="1">
      <w:start w:val="0"/>
      <w:numFmt w:val="bullet"/>
      <w:lvlText w:val="•"/>
      <w:lvlJc w:val="left"/>
      <w:pPr>
        <w:ind w:left="2919" w:hanging="901"/>
      </w:pPr>
      <w:rPr>
        <w:rFonts w:hint="default"/>
      </w:rPr>
    </w:lvl>
    <w:lvl w:ilvl="2">
      <w:start w:val="0"/>
      <w:numFmt w:val="bullet"/>
      <w:lvlText w:val="•"/>
      <w:lvlJc w:val="left"/>
      <w:pPr>
        <w:ind w:left="4359" w:hanging="901"/>
      </w:pPr>
      <w:rPr>
        <w:rFonts w:hint="default"/>
      </w:rPr>
    </w:lvl>
    <w:lvl w:ilvl="3">
      <w:start w:val="0"/>
      <w:numFmt w:val="bullet"/>
      <w:lvlText w:val="•"/>
      <w:lvlJc w:val="left"/>
      <w:pPr>
        <w:ind w:left="5799" w:hanging="901"/>
      </w:pPr>
      <w:rPr>
        <w:rFonts w:hint="default"/>
      </w:rPr>
    </w:lvl>
    <w:lvl w:ilvl="4">
      <w:start w:val="0"/>
      <w:numFmt w:val="bullet"/>
      <w:lvlText w:val="•"/>
      <w:lvlJc w:val="left"/>
      <w:pPr>
        <w:ind w:left="7239" w:hanging="901"/>
      </w:pPr>
      <w:rPr>
        <w:rFonts w:hint="default"/>
      </w:rPr>
    </w:lvl>
    <w:lvl w:ilvl="5">
      <w:start w:val="0"/>
      <w:numFmt w:val="bullet"/>
      <w:lvlText w:val="•"/>
      <w:lvlJc w:val="left"/>
      <w:pPr>
        <w:ind w:left="8679" w:hanging="901"/>
      </w:pPr>
      <w:rPr>
        <w:rFonts w:hint="default"/>
      </w:rPr>
    </w:lvl>
    <w:lvl w:ilvl="6">
      <w:start w:val="0"/>
      <w:numFmt w:val="bullet"/>
      <w:lvlText w:val="•"/>
      <w:lvlJc w:val="left"/>
      <w:pPr>
        <w:ind w:left="10119" w:hanging="901"/>
      </w:pPr>
      <w:rPr>
        <w:rFonts w:hint="default"/>
      </w:rPr>
    </w:lvl>
    <w:lvl w:ilvl="7">
      <w:start w:val="0"/>
      <w:numFmt w:val="bullet"/>
      <w:lvlText w:val="•"/>
      <w:lvlJc w:val="left"/>
      <w:pPr>
        <w:ind w:left="11559" w:hanging="901"/>
      </w:pPr>
      <w:rPr>
        <w:rFonts w:hint="default"/>
      </w:rPr>
    </w:lvl>
    <w:lvl w:ilvl="8">
      <w:start w:val="0"/>
      <w:numFmt w:val="bullet"/>
      <w:lvlText w:val="•"/>
      <w:lvlJc w:val="left"/>
      <w:pPr>
        <w:ind w:left="12999" w:hanging="901"/>
      </w:pPr>
      <w:rPr>
        <w:rFonts w:hint="default"/>
      </w:rPr>
    </w:lvl>
  </w:abstractNum>
  <w:abstractNum w:abstractNumId="3">
    <w:nsid w:val="0E3B8E2C"/>
    <w:multiLevelType w:val="hybridMultilevel"/>
    <w:tmpl w:val="00000000"/>
    <w:lvl w:ilvl="0">
      <w:start w:val="1"/>
      <w:numFmt w:val="decimal"/>
      <w:lvlText w:val="（%1）"/>
      <w:lvlJc w:val="left"/>
      <w:pPr>
        <w:ind w:left="2194" w:hanging="901"/>
        <w:jc w:val="left"/>
      </w:pPr>
      <w:rPr>
        <w:rFonts w:ascii="宋体" w:eastAsia="宋体" w:hAnsi="宋体" w:cs="宋体" w:hint="default"/>
        <w:w w:val="89"/>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abstractNum w:abstractNumId="4">
    <w:nsid w:val="10A722E7"/>
    <w:multiLevelType w:val="hybridMultilevel"/>
    <w:tmpl w:val="00000000"/>
    <w:lvl w:ilvl="0">
      <w:start w:val="3"/>
      <w:numFmt w:val="decimal"/>
      <w:lvlText w:val="（%1）"/>
      <w:lvlJc w:val="left"/>
      <w:pPr>
        <w:ind w:left="2194" w:hanging="901"/>
        <w:jc w:val="left"/>
      </w:pPr>
      <w:rPr>
        <w:rFonts w:ascii="宋体" w:eastAsia="宋体" w:hAnsi="宋体" w:cs="宋体" w:hint="default"/>
        <w:w w:val="89"/>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abstractNum w:abstractNumId="5">
    <w:nsid w:val="13FD70AA"/>
    <w:multiLevelType w:val="hybridMultilevel"/>
    <w:tmpl w:val="00000000"/>
    <w:lvl w:ilvl="0">
      <w:start w:val="1"/>
      <w:numFmt w:val="decimal"/>
      <w:lvlText w:val="（%1）"/>
      <w:lvlJc w:val="left"/>
      <w:pPr>
        <w:ind w:left="2194" w:hanging="901"/>
        <w:jc w:val="left"/>
      </w:pPr>
      <w:rPr>
        <w:rFonts w:ascii="宋体" w:eastAsia="宋体" w:hAnsi="宋体" w:cs="宋体" w:hint="default"/>
        <w:w w:val="89"/>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abstractNum w:abstractNumId="6">
    <w:nsid w:val="1529A3F6"/>
    <w:multiLevelType w:val="hybridMultilevel"/>
    <w:tmpl w:val="00000000"/>
    <w:lvl w:ilvl="0">
      <w:start w:val="4"/>
      <w:numFmt w:val="decimal"/>
      <w:lvlText w:val="%1."/>
      <w:lvlJc w:val="left"/>
      <w:pPr>
        <w:ind w:left="1746" w:hanging="450"/>
        <w:jc w:val="left"/>
      </w:pPr>
      <w:rPr>
        <w:rFonts w:ascii="Lucida Sans" w:eastAsia="Lucida Sans" w:hAnsi="Lucida Sans" w:cs="Lucida Sans" w:hint="default"/>
        <w:w w:val="84"/>
        <w:sz w:val="36"/>
        <w:szCs w:val="36"/>
      </w:rPr>
    </w:lvl>
    <w:lvl w:ilvl="1">
      <w:start w:val="0"/>
      <w:numFmt w:val="bullet"/>
      <w:lvlText w:val="•"/>
      <w:lvlJc w:val="left"/>
      <w:pPr>
        <w:ind w:left="3153" w:hanging="450"/>
      </w:pPr>
      <w:rPr>
        <w:rFonts w:hint="default"/>
      </w:rPr>
    </w:lvl>
    <w:lvl w:ilvl="2">
      <w:start w:val="0"/>
      <w:numFmt w:val="bullet"/>
      <w:lvlText w:val="•"/>
      <w:lvlJc w:val="left"/>
      <w:pPr>
        <w:ind w:left="4567" w:hanging="450"/>
      </w:pPr>
      <w:rPr>
        <w:rFonts w:hint="default"/>
      </w:rPr>
    </w:lvl>
    <w:lvl w:ilvl="3">
      <w:start w:val="0"/>
      <w:numFmt w:val="bullet"/>
      <w:lvlText w:val="•"/>
      <w:lvlJc w:val="left"/>
      <w:pPr>
        <w:ind w:left="5981" w:hanging="450"/>
      </w:pPr>
      <w:rPr>
        <w:rFonts w:hint="default"/>
      </w:rPr>
    </w:lvl>
    <w:lvl w:ilvl="4">
      <w:start w:val="0"/>
      <w:numFmt w:val="bullet"/>
      <w:lvlText w:val="•"/>
      <w:lvlJc w:val="left"/>
      <w:pPr>
        <w:ind w:left="7395" w:hanging="450"/>
      </w:pPr>
      <w:rPr>
        <w:rFonts w:hint="default"/>
      </w:rPr>
    </w:lvl>
    <w:lvl w:ilvl="5">
      <w:start w:val="0"/>
      <w:numFmt w:val="bullet"/>
      <w:lvlText w:val="•"/>
      <w:lvlJc w:val="left"/>
      <w:pPr>
        <w:ind w:left="8809" w:hanging="450"/>
      </w:pPr>
      <w:rPr>
        <w:rFonts w:hint="default"/>
      </w:rPr>
    </w:lvl>
    <w:lvl w:ilvl="6">
      <w:start w:val="0"/>
      <w:numFmt w:val="bullet"/>
      <w:lvlText w:val="•"/>
      <w:lvlJc w:val="left"/>
      <w:pPr>
        <w:ind w:left="10223" w:hanging="450"/>
      </w:pPr>
      <w:rPr>
        <w:rFonts w:hint="default"/>
      </w:rPr>
    </w:lvl>
    <w:lvl w:ilvl="7">
      <w:start w:val="0"/>
      <w:numFmt w:val="bullet"/>
      <w:lvlText w:val="•"/>
      <w:lvlJc w:val="left"/>
      <w:pPr>
        <w:ind w:left="11637" w:hanging="450"/>
      </w:pPr>
      <w:rPr>
        <w:rFonts w:hint="default"/>
      </w:rPr>
    </w:lvl>
    <w:lvl w:ilvl="8">
      <w:start w:val="0"/>
      <w:numFmt w:val="bullet"/>
      <w:lvlText w:val="•"/>
      <w:lvlJc w:val="left"/>
      <w:pPr>
        <w:ind w:left="13051" w:hanging="450"/>
      </w:pPr>
      <w:rPr>
        <w:rFonts w:hint="default"/>
      </w:rPr>
    </w:lvl>
  </w:abstractNum>
  <w:abstractNum w:abstractNumId="7">
    <w:nsid w:val="18A792AC"/>
    <w:multiLevelType w:val="hybridMultilevel"/>
    <w:tmpl w:val="00000000"/>
    <w:lvl w:ilvl="0">
      <w:start w:val="1"/>
      <w:numFmt w:val="decimal"/>
      <w:lvlText w:val="%1."/>
      <w:lvlJc w:val="left"/>
      <w:pPr>
        <w:ind w:left="1823" w:hanging="541"/>
        <w:jc w:val="left"/>
      </w:pPr>
      <w:rPr>
        <w:rFonts w:ascii="Arial" w:eastAsia="Arial" w:hAnsi="Arial" w:cs="Arial" w:hint="default"/>
        <w:b/>
        <w:bCs/>
        <w:w w:val="89"/>
        <w:sz w:val="34"/>
        <w:szCs w:val="34"/>
      </w:rPr>
    </w:lvl>
    <w:lvl w:ilvl="1">
      <w:start w:val="0"/>
      <w:numFmt w:val="bullet"/>
      <w:lvlText w:val="•"/>
      <w:lvlJc w:val="left"/>
      <w:pPr>
        <w:ind w:left="3225" w:hanging="541"/>
      </w:pPr>
      <w:rPr>
        <w:rFonts w:hint="default"/>
      </w:rPr>
    </w:lvl>
    <w:lvl w:ilvl="2">
      <w:start w:val="0"/>
      <w:numFmt w:val="bullet"/>
      <w:lvlText w:val="•"/>
      <w:lvlJc w:val="left"/>
      <w:pPr>
        <w:ind w:left="4631" w:hanging="541"/>
      </w:pPr>
      <w:rPr>
        <w:rFonts w:hint="default"/>
      </w:rPr>
    </w:lvl>
    <w:lvl w:ilvl="3">
      <w:start w:val="0"/>
      <w:numFmt w:val="bullet"/>
      <w:lvlText w:val="•"/>
      <w:lvlJc w:val="left"/>
      <w:pPr>
        <w:ind w:left="6037" w:hanging="541"/>
      </w:pPr>
      <w:rPr>
        <w:rFonts w:hint="default"/>
      </w:rPr>
    </w:lvl>
    <w:lvl w:ilvl="4">
      <w:start w:val="0"/>
      <w:numFmt w:val="bullet"/>
      <w:lvlText w:val="•"/>
      <w:lvlJc w:val="left"/>
      <w:pPr>
        <w:ind w:left="7443"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55" w:hanging="541"/>
      </w:pPr>
      <w:rPr>
        <w:rFonts w:hint="default"/>
      </w:rPr>
    </w:lvl>
    <w:lvl w:ilvl="7">
      <w:start w:val="0"/>
      <w:numFmt w:val="bullet"/>
      <w:lvlText w:val="•"/>
      <w:lvlJc w:val="left"/>
      <w:pPr>
        <w:ind w:left="11661" w:hanging="541"/>
      </w:pPr>
      <w:rPr>
        <w:rFonts w:hint="default"/>
      </w:rPr>
    </w:lvl>
    <w:lvl w:ilvl="8">
      <w:start w:val="0"/>
      <w:numFmt w:val="bullet"/>
      <w:lvlText w:val="•"/>
      <w:lvlJc w:val="left"/>
      <w:pPr>
        <w:ind w:left="13067" w:hanging="541"/>
      </w:pPr>
      <w:rPr>
        <w:rFonts w:hint="default"/>
      </w:rPr>
    </w:lvl>
  </w:abstractNum>
  <w:abstractNum w:abstractNumId="8">
    <w:nsid w:val="19E51B51"/>
    <w:multiLevelType w:val="hybridMultilevel"/>
    <w:tmpl w:val="00000000"/>
    <w:lvl w:ilvl="0">
      <w:start w:val="1"/>
      <w:numFmt w:val="decimal"/>
      <w:lvlText w:val="（%1）"/>
      <w:lvlJc w:val="left"/>
      <w:pPr>
        <w:ind w:left="573" w:hanging="909"/>
        <w:jc w:val="left"/>
      </w:pPr>
      <w:rPr>
        <w:rFonts w:ascii="宋体" w:eastAsia="宋体" w:hAnsi="宋体" w:cs="宋体" w:hint="default"/>
        <w:spacing w:val="0"/>
        <w:w w:val="89"/>
        <w:sz w:val="34"/>
        <w:szCs w:val="34"/>
      </w:rPr>
    </w:lvl>
    <w:lvl w:ilvl="1">
      <w:start w:val="0"/>
      <w:numFmt w:val="bullet"/>
      <w:lvlText w:val="•"/>
      <w:lvlJc w:val="left"/>
      <w:pPr>
        <w:ind w:left="2109" w:hanging="909"/>
      </w:pPr>
      <w:rPr>
        <w:rFonts w:hint="default"/>
      </w:rPr>
    </w:lvl>
    <w:lvl w:ilvl="2">
      <w:start w:val="0"/>
      <w:numFmt w:val="bullet"/>
      <w:lvlText w:val="•"/>
      <w:lvlJc w:val="left"/>
      <w:pPr>
        <w:ind w:left="3639" w:hanging="909"/>
      </w:pPr>
      <w:rPr>
        <w:rFonts w:hint="default"/>
      </w:rPr>
    </w:lvl>
    <w:lvl w:ilvl="3">
      <w:start w:val="0"/>
      <w:numFmt w:val="bullet"/>
      <w:lvlText w:val="•"/>
      <w:lvlJc w:val="left"/>
      <w:pPr>
        <w:ind w:left="5169" w:hanging="909"/>
      </w:pPr>
      <w:rPr>
        <w:rFonts w:hint="default"/>
      </w:rPr>
    </w:lvl>
    <w:lvl w:ilvl="4">
      <w:start w:val="0"/>
      <w:numFmt w:val="bullet"/>
      <w:lvlText w:val="•"/>
      <w:lvlJc w:val="left"/>
      <w:pPr>
        <w:ind w:left="6699" w:hanging="909"/>
      </w:pPr>
      <w:rPr>
        <w:rFonts w:hint="default"/>
      </w:rPr>
    </w:lvl>
    <w:lvl w:ilvl="5">
      <w:start w:val="0"/>
      <w:numFmt w:val="bullet"/>
      <w:lvlText w:val="•"/>
      <w:lvlJc w:val="left"/>
      <w:pPr>
        <w:ind w:left="8229" w:hanging="909"/>
      </w:pPr>
      <w:rPr>
        <w:rFonts w:hint="default"/>
      </w:rPr>
    </w:lvl>
    <w:lvl w:ilvl="6">
      <w:start w:val="0"/>
      <w:numFmt w:val="bullet"/>
      <w:lvlText w:val="•"/>
      <w:lvlJc w:val="left"/>
      <w:pPr>
        <w:ind w:left="9759" w:hanging="909"/>
      </w:pPr>
      <w:rPr>
        <w:rFonts w:hint="default"/>
      </w:rPr>
    </w:lvl>
    <w:lvl w:ilvl="7">
      <w:start w:val="0"/>
      <w:numFmt w:val="bullet"/>
      <w:lvlText w:val="•"/>
      <w:lvlJc w:val="left"/>
      <w:pPr>
        <w:ind w:left="11289" w:hanging="909"/>
      </w:pPr>
      <w:rPr>
        <w:rFonts w:hint="default"/>
      </w:rPr>
    </w:lvl>
    <w:lvl w:ilvl="8">
      <w:start w:val="0"/>
      <w:numFmt w:val="bullet"/>
      <w:lvlText w:val="•"/>
      <w:lvlJc w:val="left"/>
      <w:pPr>
        <w:ind w:left="12819" w:hanging="909"/>
      </w:pPr>
      <w:rPr>
        <w:rFonts w:hint="default"/>
      </w:rPr>
    </w:lvl>
  </w:abstractNum>
  <w:abstractNum w:abstractNumId="9">
    <w:nsid w:val="1A456A18"/>
    <w:multiLevelType w:val="hybridMultilevel"/>
    <w:tmpl w:val="00000000"/>
    <w:lvl w:ilvl="0">
      <w:start w:val="1"/>
      <w:numFmt w:val="decimal"/>
      <w:lvlText w:val="（%1）"/>
      <w:lvlJc w:val="left"/>
      <w:pPr>
        <w:ind w:left="573" w:hanging="901"/>
        <w:jc w:val="left"/>
      </w:pPr>
      <w:rPr>
        <w:rFonts w:ascii="宋体" w:eastAsia="宋体" w:hAnsi="宋体" w:cs="宋体" w:hint="default"/>
        <w:w w:val="89"/>
        <w:sz w:val="34"/>
        <w:szCs w:val="34"/>
      </w:rPr>
    </w:lvl>
    <w:lvl w:ilvl="1">
      <w:start w:val="0"/>
      <w:numFmt w:val="bullet"/>
      <w:lvlText w:val="•"/>
      <w:lvlJc w:val="left"/>
      <w:pPr>
        <w:ind w:left="2109" w:hanging="901"/>
      </w:pPr>
      <w:rPr>
        <w:rFonts w:hint="default"/>
      </w:rPr>
    </w:lvl>
    <w:lvl w:ilvl="2">
      <w:start w:val="0"/>
      <w:numFmt w:val="bullet"/>
      <w:lvlText w:val="•"/>
      <w:lvlJc w:val="left"/>
      <w:pPr>
        <w:ind w:left="3639" w:hanging="901"/>
      </w:pPr>
      <w:rPr>
        <w:rFonts w:hint="default"/>
      </w:rPr>
    </w:lvl>
    <w:lvl w:ilvl="3">
      <w:start w:val="0"/>
      <w:numFmt w:val="bullet"/>
      <w:lvlText w:val="•"/>
      <w:lvlJc w:val="left"/>
      <w:pPr>
        <w:ind w:left="5169" w:hanging="901"/>
      </w:pPr>
      <w:rPr>
        <w:rFonts w:hint="default"/>
      </w:rPr>
    </w:lvl>
    <w:lvl w:ilvl="4">
      <w:start w:val="0"/>
      <w:numFmt w:val="bullet"/>
      <w:lvlText w:val="•"/>
      <w:lvlJc w:val="left"/>
      <w:pPr>
        <w:ind w:left="6699" w:hanging="901"/>
      </w:pPr>
      <w:rPr>
        <w:rFonts w:hint="default"/>
      </w:rPr>
    </w:lvl>
    <w:lvl w:ilvl="5">
      <w:start w:val="0"/>
      <w:numFmt w:val="bullet"/>
      <w:lvlText w:val="•"/>
      <w:lvlJc w:val="left"/>
      <w:pPr>
        <w:ind w:left="8229" w:hanging="901"/>
      </w:pPr>
      <w:rPr>
        <w:rFonts w:hint="default"/>
      </w:rPr>
    </w:lvl>
    <w:lvl w:ilvl="6">
      <w:start w:val="0"/>
      <w:numFmt w:val="bullet"/>
      <w:lvlText w:val="•"/>
      <w:lvlJc w:val="left"/>
      <w:pPr>
        <w:ind w:left="9759" w:hanging="901"/>
      </w:pPr>
      <w:rPr>
        <w:rFonts w:hint="default"/>
      </w:rPr>
    </w:lvl>
    <w:lvl w:ilvl="7">
      <w:start w:val="0"/>
      <w:numFmt w:val="bullet"/>
      <w:lvlText w:val="•"/>
      <w:lvlJc w:val="left"/>
      <w:pPr>
        <w:ind w:left="11289" w:hanging="901"/>
      </w:pPr>
      <w:rPr>
        <w:rFonts w:hint="default"/>
      </w:rPr>
    </w:lvl>
    <w:lvl w:ilvl="8">
      <w:start w:val="0"/>
      <w:numFmt w:val="bullet"/>
      <w:lvlText w:val="•"/>
      <w:lvlJc w:val="left"/>
      <w:pPr>
        <w:ind w:left="12819" w:hanging="901"/>
      </w:pPr>
      <w:rPr>
        <w:rFonts w:hint="default"/>
      </w:rPr>
    </w:lvl>
  </w:abstractNum>
  <w:abstractNum w:abstractNumId="10">
    <w:nsid w:val="1AE04B06"/>
    <w:multiLevelType w:val="hybridMultilevel"/>
    <w:tmpl w:val="00000000"/>
    <w:lvl w:ilvl="0">
      <w:start w:val="1"/>
      <w:numFmt w:val="decimal"/>
      <w:lvlText w:val="(%1)"/>
      <w:lvlJc w:val="left"/>
      <w:pPr>
        <w:ind w:left="1713" w:hanging="421"/>
        <w:jc w:val="left"/>
      </w:pPr>
      <w:rPr>
        <w:rFonts w:ascii="Arial" w:eastAsia="Arial" w:hAnsi="Arial" w:cs="Arial" w:hint="default"/>
        <w:spacing w:val="-3"/>
        <w:w w:val="95"/>
        <w:sz w:val="34"/>
        <w:szCs w:val="34"/>
      </w:rPr>
    </w:lvl>
    <w:lvl w:ilvl="1">
      <w:start w:val="0"/>
      <w:numFmt w:val="bullet"/>
      <w:lvlText w:val="•"/>
      <w:lvlJc w:val="left"/>
      <w:pPr>
        <w:ind w:left="3135" w:hanging="421"/>
      </w:pPr>
      <w:rPr>
        <w:rFonts w:hint="default"/>
      </w:rPr>
    </w:lvl>
    <w:lvl w:ilvl="2">
      <w:start w:val="0"/>
      <w:numFmt w:val="bullet"/>
      <w:lvlText w:val="•"/>
      <w:lvlJc w:val="left"/>
      <w:pPr>
        <w:ind w:left="4551" w:hanging="421"/>
      </w:pPr>
      <w:rPr>
        <w:rFonts w:hint="default"/>
      </w:rPr>
    </w:lvl>
    <w:lvl w:ilvl="3">
      <w:start w:val="0"/>
      <w:numFmt w:val="bullet"/>
      <w:lvlText w:val="•"/>
      <w:lvlJc w:val="left"/>
      <w:pPr>
        <w:ind w:left="5967" w:hanging="421"/>
      </w:pPr>
      <w:rPr>
        <w:rFonts w:hint="default"/>
      </w:rPr>
    </w:lvl>
    <w:lvl w:ilvl="4">
      <w:start w:val="0"/>
      <w:numFmt w:val="bullet"/>
      <w:lvlText w:val="•"/>
      <w:lvlJc w:val="left"/>
      <w:pPr>
        <w:ind w:left="7383" w:hanging="421"/>
      </w:pPr>
      <w:rPr>
        <w:rFonts w:hint="default"/>
      </w:rPr>
    </w:lvl>
    <w:lvl w:ilvl="5">
      <w:start w:val="0"/>
      <w:numFmt w:val="bullet"/>
      <w:lvlText w:val="•"/>
      <w:lvlJc w:val="left"/>
      <w:pPr>
        <w:ind w:left="8799" w:hanging="421"/>
      </w:pPr>
      <w:rPr>
        <w:rFonts w:hint="default"/>
      </w:rPr>
    </w:lvl>
    <w:lvl w:ilvl="6">
      <w:start w:val="0"/>
      <w:numFmt w:val="bullet"/>
      <w:lvlText w:val="•"/>
      <w:lvlJc w:val="left"/>
      <w:pPr>
        <w:ind w:left="10215" w:hanging="421"/>
      </w:pPr>
      <w:rPr>
        <w:rFonts w:hint="default"/>
      </w:rPr>
    </w:lvl>
    <w:lvl w:ilvl="7">
      <w:start w:val="0"/>
      <w:numFmt w:val="bullet"/>
      <w:lvlText w:val="•"/>
      <w:lvlJc w:val="left"/>
      <w:pPr>
        <w:ind w:left="11631" w:hanging="421"/>
      </w:pPr>
      <w:rPr>
        <w:rFonts w:hint="default"/>
      </w:rPr>
    </w:lvl>
    <w:lvl w:ilvl="8">
      <w:start w:val="0"/>
      <w:numFmt w:val="bullet"/>
      <w:lvlText w:val="•"/>
      <w:lvlJc w:val="left"/>
      <w:pPr>
        <w:ind w:left="13047" w:hanging="421"/>
      </w:pPr>
      <w:rPr>
        <w:rFonts w:hint="default"/>
      </w:rPr>
    </w:lvl>
  </w:abstractNum>
  <w:abstractNum w:abstractNumId="11">
    <w:nsid w:val="1BBE84E0"/>
    <w:multiLevelType w:val="hybridMultilevel"/>
    <w:tmpl w:val="00000000"/>
    <w:lvl w:ilvl="0">
      <w:start w:val="1"/>
      <w:numFmt w:val="decimal"/>
      <w:lvlText w:val="（%1）"/>
      <w:lvlJc w:val="left"/>
      <w:pPr>
        <w:ind w:left="2194" w:hanging="901"/>
        <w:jc w:val="left"/>
      </w:pPr>
      <w:rPr>
        <w:rFonts w:ascii="宋体" w:eastAsia="宋体" w:hAnsi="宋体" w:cs="宋体" w:hint="default"/>
        <w:w w:val="89"/>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abstractNum w:abstractNumId="12">
    <w:nsid w:val="1FF3F476"/>
    <w:multiLevelType w:val="hybridMultilevel"/>
    <w:tmpl w:val="00000000"/>
    <w:lvl w:ilvl="0">
      <w:start w:val="1"/>
      <w:numFmt w:val="decimal"/>
      <w:lvlText w:val="（%1）"/>
      <w:lvlJc w:val="left"/>
      <w:pPr>
        <w:ind w:left="2194" w:hanging="901"/>
        <w:jc w:val="left"/>
      </w:pPr>
      <w:rPr>
        <w:rFonts w:ascii="宋体" w:eastAsia="宋体" w:hAnsi="宋体" w:cs="宋体" w:hint="default"/>
        <w:w w:val="89"/>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abstractNum w:abstractNumId="13">
    <w:nsid w:val="237CE1CC"/>
    <w:multiLevelType w:val="hybridMultilevel"/>
    <w:tmpl w:val="00000000"/>
    <w:lvl w:ilvl="0">
      <w:start w:val="1"/>
      <w:numFmt w:val="decimal"/>
      <w:lvlText w:val="（%1）"/>
      <w:lvlJc w:val="left"/>
      <w:pPr>
        <w:ind w:left="573" w:hanging="901"/>
        <w:jc w:val="left"/>
      </w:pPr>
      <w:rPr>
        <w:rFonts w:ascii="宋体" w:eastAsia="宋体" w:hAnsi="宋体" w:cs="宋体" w:hint="default"/>
        <w:w w:val="89"/>
        <w:sz w:val="34"/>
        <w:szCs w:val="34"/>
      </w:rPr>
    </w:lvl>
    <w:lvl w:ilvl="1">
      <w:start w:val="0"/>
      <w:numFmt w:val="bullet"/>
      <w:lvlText w:val="•"/>
      <w:lvlJc w:val="left"/>
      <w:pPr>
        <w:ind w:left="2109" w:hanging="901"/>
      </w:pPr>
      <w:rPr>
        <w:rFonts w:hint="default"/>
      </w:rPr>
    </w:lvl>
    <w:lvl w:ilvl="2">
      <w:start w:val="0"/>
      <w:numFmt w:val="bullet"/>
      <w:lvlText w:val="•"/>
      <w:lvlJc w:val="left"/>
      <w:pPr>
        <w:ind w:left="3639" w:hanging="901"/>
      </w:pPr>
      <w:rPr>
        <w:rFonts w:hint="default"/>
      </w:rPr>
    </w:lvl>
    <w:lvl w:ilvl="3">
      <w:start w:val="0"/>
      <w:numFmt w:val="bullet"/>
      <w:lvlText w:val="•"/>
      <w:lvlJc w:val="left"/>
      <w:pPr>
        <w:ind w:left="5169" w:hanging="901"/>
      </w:pPr>
      <w:rPr>
        <w:rFonts w:hint="default"/>
      </w:rPr>
    </w:lvl>
    <w:lvl w:ilvl="4">
      <w:start w:val="0"/>
      <w:numFmt w:val="bullet"/>
      <w:lvlText w:val="•"/>
      <w:lvlJc w:val="left"/>
      <w:pPr>
        <w:ind w:left="6699" w:hanging="901"/>
      </w:pPr>
      <w:rPr>
        <w:rFonts w:hint="default"/>
      </w:rPr>
    </w:lvl>
    <w:lvl w:ilvl="5">
      <w:start w:val="0"/>
      <w:numFmt w:val="bullet"/>
      <w:lvlText w:val="•"/>
      <w:lvlJc w:val="left"/>
      <w:pPr>
        <w:ind w:left="8229" w:hanging="901"/>
      </w:pPr>
      <w:rPr>
        <w:rFonts w:hint="default"/>
      </w:rPr>
    </w:lvl>
    <w:lvl w:ilvl="6">
      <w:start w:val="0"/>
      <w:numFmt w:val="bullet"/>
      <w:lvlText w:val="•"/>
      <w:lvlJc w:val="left"/>
      <w:pPr>
        <w:ind w:left="9759" w:hanging="901"/>
      </w:pPr>
      <w:rPr>
        <w:rFonts w:hint="default"/>
      </w:rPr>
    </w:lvl>
    <w:lvl w:ilvl="7">
      <w:start w:val="0"/>
      <w:numFmt w:val="bullet"/>
      <w:lvlText w:val="•"/>
      <w:lvlJc w:val="left"/>
      <w:pPr>
        <w:ind w:left="11289" w:hanging="901"/>
      </w:pPr>
      <w:rPr>
        <w:rFonts w:hint="default"/>
      </w:rPr>
    </w:lvl>
    <w:lvl w:ilvl="8">
      <w:start w:val="0"/>
      <w:numFmt w:val="bullet"/>
      <w:lvlText w:val="•"/>
      <w:lvlJc w:val="left"/>
      <w:pPr>
        <w:ind w:left="12819" w:hanging="901"/>
      </w:pPr>
      <w:rPr>
        <w:rFonts w:hint="default"/>
      </w:rPr>
    </w:lvl>
  </w:abstractNum>
  <w:abstractNum w:abstractNumId="14">
    <w:nsid w:val="2E6B480F"/>
    <w:multiLevelType w:val="hybridMultilevel"/>
    <w:tmpl w:val="00000000"/>
    <w:lvl w:ilvl="0">
      <w:start w:val="9"/>
      <w:numFmt w:val="decimal"/>
      <w:lvlText w:val="%1"/>
      <w:lvlJc w:val="left"/>
      <w:pPr>
        <w:ind w:left="846" w:hanging="274"/>
        <w:jc w:val="right"/>
      </w:pPr>
      <w:rPr>
        <w:rFonts w:hint="default"/>
        <w:b/>
        <w:bCs/>
        <w:w w:val="99"/>
      </w:rPr>
    </w:lvl>
    <w:lvl w:ilvl="1">
      <w:start w:val="1"/>
      <w:numFmt w:val="decimal"/>
      <w:lvlText w:val="（%2）"/>
      <w:lvlJc w:val="left"/>
      <w:pPr>
        <w:ind w:left="573" w:hanging="901"/>
        <w:jc w:val="left"/>
      </w:pPr>
      <w:rPr>
        <w:rFonts w:ascii="宋体" w:eastAsia="宋体" w:hAnsi="宋体" w:cs="宋体" w:hint="default"/>
        <w:w w:val="89"/>
        <w:sz w:val="34"/>
        <w:szCs w:val="34"/>
      </w:rPr>
    </w:lvl>
    <w:lvl w:ilvl="2">
      <w:start w:val="0"/>
      <w:numFmt w:val="bullet"/>
      <w:lvlText w:val="•"/>
      <w:lvlJc w:val="left"/>
      <w:pPr>
        <w:ind w:left="2511" w:hanging="901"/>
      </w:pPr>
      <w:rPr>
        <w:rFonts w:hint="default"/>
      </w:rPr>
    </w:lvl>
    <w:lvl w:ilvl="3">
      <w:start w:val="0"/>
      <w:numFmt w:val="bullet"/>
      <w:lvlText w:val="•"/>
      <w:lvlJc w:val="left"/>
      <w:pPr>
        <w:ind w:left="4182" w:hanging="901"/>
      </w:pPr>
      <w:rPr>
        <w:rFonts w:hint="default"/>
      </w:rPr>
    </w:lvl>
    <w:lvl w:ilvl="4">
      <w:start w:val="0"/>
      <w:numFmt w:val="bullet"/>
      <w:lvlText w:val="•"/>
      <w:lvlJc w:val="left"/>
      <w:pPr>
        <w:ind w:left="5853" w:hanging="901"/>
      </w:pPr>
      <w:rPr>
        <w:rFonts w:hint="default"/>
      </w:rPr>
    </w:lvl>
    <w:lvl w:ilvl="5">
      <w:start w:val="0"/>
      <w:numFmt w:val="bullet"/>
      <w:lvlText w:val="•"/>
      <w:lvlJc w:val="left"/>
      <w:pPr>
        <w:ind w:left="7524" w:hanging="901"/>
      </w:pPr>
      <w:rPr>
        <w:rFonts w:hint="default"/>
      </w:rPr>
    </w:lvl>
    <w:lvl w:ilvl="6">
      <w:start w:val="0"/>
      <w:numFmt w:val="bullet"/>
      <w:lvlText w:val="•"/>
      <w:lvlJc w:val="left"/>
      <w:pPr>
        <w:ind w:left="9195" w:hanging="901"/>
      </w:pPr>
      <w:rPr>
        <w:rFonts w:hint="default"/>
      </w:rPr>
    </w:lvl>
    <w:lvl w:ilvl="7">
      <w:start w:val="0"/>
      <w:numFmt w:val="bullet"/>
      <w:lvlText w:val="•"/>
      <w:lvlJc w:val="left"/>
      <w:pPr>
        <w:ind w:left="10866" w:hanging="901"/>
      </w:pPr>
      <w:rPr>
        <w:rFonts w:hint="default"/>
      </w:rPr>
    </w:lvl>
    <w:lvl w:ilvl="8">
      <w:start w:val="0"/>
      <w:numFmt w:val="bullet"/>
      <w:lvlText w:val="•"/>
      <w:lvlJc w:val="left"/>
      <w:pPr>
        <w:ind w:left="12537" w:hanging="901"/>
      </w:pPr>
      <w:rPr>
        <w:rFonts w:hint="default"/>
      </w:rPr>
    </w:lvl>
  </w:abstractNum>
  <w:abstractNum w:abstractNumId="15">
    <w:nsid w:val="395D1F44"/>
    <w:multiLevelType w:val="hybridMultilevel"/>
    <w:tmpl w:val="00000000"/>
    <w:lvl w:ilvl="0">
      <w:start w:val="1"/>
      <w:numFmt w:val="decimal"/>
      <w:lvlText w:val="（%1）"/>
      <w:lvlJc w:val="left"/>
      <w:pPr>
        <w:ind w:left="573" w:hanging="909"/>
        <w:jc w:val="left"/>
      </w:pPr>
      <w:rPr>
        <w:rFonts w:ascii="宋体" w:eastAsia="宋体" w:hAnsi="宋体" w:cs="宋体" w:hint="default"/>
        <w:spacing w:val="0"/>
        <w:w w:val="89"/>
        <w:sz w:val="34"/>
        <w:szCs w:val="34"/>
      </w:rPr>
    </w:lvl>
    <w:lvl w:ilvl="1">
      <w:start w:val="0"/>
      <w:numFmt w:val="bullet"/>
      <w:lvlText w:val="•"/>
      <w:lvlJc w:val="left"/>
      <w:pPr>
        <w:ind w:left="2109" w:hanging="909"/>
      </w:pPr>
      <w:rPr>
        <w:rFonts w:hint="default"/>
      </w:rPr>
    </w:lvl>
    <w:lvl w:ilvl="2">
      <w:start w:val="0"/>
      <w:numFmt w:val="bullet"/>
      <w:lvlText w:val="•"/>
      <w:lvlJc w:val="left"/>
      <w:pPr>
        <w:ind w:left="3639" w:hanging="909"/>
      </w:pPr>
      <w:rPr>
        <w:rFonts w:hint="default"/>
      </w:rPr>
    </w:lvl>
    <w:lvl w:ilvl="3">
      <w:start w:val="0"/>
      <w:numFmt w:val="bullet"/>
      <w:lvlText w:val="•"/>
      <w:lvlJc w:val="left"/>
      <w:pPr>
        <w:ind w:left="5169" w:hanging="909"/>
      </w:pPr>
      <w:rPr>
        <w:rFonts w:hint="default"/>
      </w:rPr>
    </w:lvl>
    <w:lvl w:ilvl="4">
      <w:start w:val="0"/>
      <w:numFmt w:val="bullet"/>
      <w:lvlText w:val="•"/>
      <w:lvlJc w:val="left"/>
      <w:pPr>
        <w:ind w:left="6699" w:hanging="909"/>
      </w:pPr>
      <w:rPr>
        <w:rFonts w:hint="default"/>
      </w:rPr>
    </w:lvl>
    <w:lvl w:ilvl="5">
      <w:start w:val="0"/>
      <w:numFmt w:val="bullet"/>
      <w:lvlText w:val="•"/>
      <w:lvlJc w:val="left"/>
      <w:pPr>
        <w:ind w:left="8229" w:hanging="909"/>
      </w:pPr>
      <w:rPr>
        <w:rFonts w:hint="default"/>
      </w:rPr>
    </w:lvl>
    <w:lvl w:ilvl="6">
      <w:start w:val="0"/>
      <w:numFmt w:val="bullet"/>
      <w:lvlText w:val="•"/>
      <w:lvlJc w:val="left"/>
      <w:pPr>
        <w:ind w:left="9759" w:hanging="909"/>
      </w:pPr>
      <w:rPr>
        <w:rFonts w:hint="default"/>
      </w:rPr>
    </w:lvl>
    <w:lvl w:ilvl="7">
      <w:start w:val="0"/>
      <w:numFmt w:val="bullet"/>
      <w:lvlText w:val="•"/>
      <w:lvlJc w:val="left"/>
      <w:pPr>
        <w:ind w:left="11289" w:hanging="909"/>
      </w:pPr>
      <w:rPr>
        <w:rFonts w:hint="default"/>
      </w:rPr>
    </w:lvl>
    <w:lvl w:ilvl="8">
      <w:start w:val="0"/>
      <w:numFmt w:val="bullet"/>
      <w:lvlText w:val="•"/>
      <w:lvlJc w:val="left"/>
      <w:pPr>
        <w:ind w:left="12819" w:hanging="909"/>
      </w:pPr>
      <w:rPr>
        <w:rFonts w:hint="default"/>
      </w:rPr>
    </w:lvl>
  </w:abstractNum>
  <w:abstractNum w:abstractNumId="16">
    <w:nsid w:val="3A6AFD48"/>
    <w:multiLevelType w:val="hybridMultilevel"/>
    <w:tmpl w:val="00000000"/>
    <w:lvl w:ilvl="0">
      <w:start w:val="1"/>
      <w:numFmt w:val="decimal"/>
      <w:lvlText w:val="%1）"/>
      <w:lvlJc w:val="left"/>
      <w:pPr>
        <w:ind w:left="1834" w:hanging="541"/>
        <w:jc w:val="left"/>
      </w:pPr>
      <w:rPr>
        <w:rFonts w:ascii="Arial" w:eastAsia="Arial" w:hAnsi="Arial" w:cs="Arial" w:hint="default"/>
        <w:spacing w:val="-180"/>
        <w:w w:val="89"/>
        <w:sz w:val="34"/>
        <w:szCs w:val="34"/>
      </w:rPr>
    </w:lvl>
    <w:lvl w:ilvl="1">
      <w:start w:val="0"/>
      <w:numFmt w:val="bullet"/>
      <w:lvlText w:val="•"/>
      <w:lvlJc w:val="left"/>
      <w:pPr>
        <w:ind w:left="3243" w:hanging="541"/>
      </w:pPr>
      <w:rPr>
        <w:rFonts w:hint="default"/>
      </w:rPr>
    </w:lvl>
    <w:lvl w:ilvl="2">
      <w:start w:val="0"/>
      <w:numFmt w:val="bullet"/>
      <w:lvlText w:val="•"/>
      <w:lvlJc w:val="left"/>
      <w:pPr>
        <w:ind w:left="4647" w:hanging="541"/>
      </w:pPr>
      <w:rPr>
        <w:rFonts w:hint="default"/>
      </w:rPr>
    </w:lvl>
    <w:lvl w:ilvl="3">
      <w:start w:val="0"/>
      <w:numFmt w:val="bullet"/>
      <w:lvlText w:val="•"/>
      <w:lvlJc w:val="left"/>
      <w:pPr>
        <w:ind w:left="6051" w:hanging="541"/>
      </w:pPr>
      <w:rPr>
        <w:rFonts w:hint="default"/>
      </w:rPr>
    </w:lvl>
    <w:lvl w:ilvl="4">
      <w:start w:val="0"/>
      <w:numFmt w:val="bullet"/>
      <w:lvlText w:val="•"/>
      <w:lvlJc w:val="left"/>
      <w:pPr>
        <w:ind w:left="7455" w:hanging="541"/>
      </w:pPr>
      <w:rPr>
        <w:rFonts w:hint="default"/>
      </w:rPr>
    </w:lvl>
    <w:lvl w:ilvl="5">
      <w:start w:val="0"/>
      <w:numFmt w:val="bullet"/>
      <w:lvlText w:val="•"/>
      <w:lvlJc w:val="left"/>
      <w:pPr>
        <w:ind w:left="8859" w:hanging="541"/>
      </w:pPr>
      <w:rPr>
        <w:rFonts w:hint="default"/>
      </w:rPr>
    </w:lvl>
    <w:lvl w:ilvl="6">
      <w:start w:val="0"/>
      <w:numFmt w:val="bullet"/>
      <w:lvlText w:val="•"/>
      <w:lvlJc w:val="left"/>
      <w:pPr>
        <w:ind w:left="10263" w:hanging="541"/>
      </w:pPr>
      <w:rPr>
        <w:rFonts w:hint="default"/>
      </w:rPr>
    </w:lvl>
    <w:lvl w:ilvl="7">
      <w:start w:val="0"/>
      <w:numFmt w:val="bullet"/>
      <w:lvlText w:val="•"/>
      <w:lvlJc w:val="left"/>
      <w:pPr>
        <w:ind w:left="11667" w:hanging="541"/>
      </w:pPr>
      <w:rPr>
        <w:rFonts w:hint="default"/>
      </w:rPr>
    </w:lvl>
    <w:lvl w:ilvl="8">
      <w:start w:val="0"/>
      <w:numFmt w:val="bullet"/>
      <w:lvlText w:val="•"/>
      <w:lvlJc w:val="left"/>
      <w:pPr>
        <w:ind w:left="13071" w:hanging="541"/>
      </w:pPr>
      <w:rPr>
        <w:rFonts w:hint="default"/>
      </w:rPr>
    </w:lvl>
  </w:abstractNum>
  <w:abstractNum w:abstractNumId="17">
    <w:nsid w:val="3A88BC48"/>
    <w:multiLevelType w:val="hybridMultilevel"/>
    <w:tmpl w:val="00000000"/>
    <w:lvl w:ilvl="0">
      <w:start w:val="1"/>
      <w:numFmt w:val="decimal"/>
      <w:lvlText w:val="（%1）"/>
      <w:lvlJc w:val="left"/>
      <w:pPr>
        <w:ind w:left="573" w:hanging="901"/>
        <w:jc w:val="left"/>
      </w:pPr>
      <w:rPr>
        <w:rFonts w:ascii="宋体" w:eastAsia="宋体" w:hAnsi="宋体" w:cs="宋体" w:hint="default"/>
        <w:w w:val="89"/>
        <w:sz w:val="34"/>
        <w:szCs w:val="34"/>
      </w:rPr>
    </w:lvl>
    <w:lvl w:ilvl="1">
      <w:start w:val="0"/>
      <w:numFmt w:val="bullet"/>
      <w:lvlText w:val="•"/>
      <w:lvlJc w:val="left"/>
      <w:pPr>
        <w:ind w:left="2109" w:hanging="901"/>
      </w:pPr>
      <w:rPr>
        <w:rFonts w:hint="default"/>
      </w:rPr>
    </w:lvl>
    <w:lvl w:ilvl="2">
      <w:start w:val="0"/>
      <w:numFmt w:val="bullet"/>
      <w:lvlText w:val="•"/>
      <w:lvlJc w:val="left"/>
      <w:pPr>
        <w:ind w:left="3639" w:hanging="901"/>
      </w:pPr>
      <w:rPr>
        <w:rFonts w:hint="default"/>
      </w:rPr>
    </w:lvl>
    <w:lvl w:ilvl="3">
      <w:start w:val="0"/>
      <w:numFmt w:val="bullet"/>
      <w:lvlText w:val="•"/>
      <w:lvlJc w:val="left"/>
      <w:pPr>
        <w:ind w:left="5169" w:hanging="901"/>
      </w:pPr>
      <w:rPr>
        <w:rFonts w:hint="default"/>
      </w:rPr>
    </w:lvl>
    <w:lvl w:ilvl="4">
      <w:start w:val="0"/>
      <w:numFmt w:val="bullet"/>
      <w:lvlText w:val="•"/>
      <w:lvlJc w:val="left"/>
      <w:pPr>
        <w:ind w:left="6699" w:hanging="901"/>
      </w:pPr>
      <w:rPr>
        <w:rFonts w:hint="default"/>
      </w:rPr>
    </w:lvl>
    <w:lvl w:ilvl="5">
      <w:start w:val="0"/>
      <w:numFmt w:val="bullet"/>
      <w:lvlText w:val="•"/>
      <w:lvlJc w:val="left"/>
      <w:pPr>
        <w:ind w:left="8229" w:hanging="901"/>
      </w:pPr>
      <w:rPr>
        <w:rFonts w:hint="default"/>
      </w:rPr>
    </w:lvl>
    <w:lvl w:ilvl="6">
      <w:start w:val="0"/>
      <w:numFmt w:val="bullet"/>
      <w:lvlText w:val="•"/>
      <w:lvlJc w:val="left"/>
      <w:pPr>
        <w:ind w:left="9759" w:hanging="901"/>
      </w:pPr>
      <w:rPr>
        <w:rFonts w:hint="default"/>
      </w:rPr>
    </w:lvl>
    <w:lvl w:ilvl="7">
      <w:start w:val="0"/>
      <w:numFmt w:val="bullet"/>
      <w:lvlText w:val="•"/>
      <w:lvlJc w:val="left"/>
      <w:pPr>
        <w:ind w:left="11289" w:hanging="901"/>
      </w:pPr>
      <w:rPr>
        <w:rFonts w:hint="default"/>
      </w:rPr>
    </w:lvl>
    <w:lvl w:ilvl="8">
      <w:start w:val="0"/>
      <w:numFmt w:val="bullet"/>
      <w:lvlText w:val="•"/>
      <w:lvlJc w:val="left"/>
      <w:pPr>
        <w:ind w:left="12819" w:hanging="901"/>
      </w:pPr>
      <w:rPr>
        <w:rFonts w:hint="default"/>
      </w:rPr>
    </w:lvl>
  </w:abstractNum>
  <w:abstractNum w:abstractNumId="18">
    <w:nsid w:val="3D1F12ED"/>
    <w:multiLevelType w:val="hybridMultilevel"/>
    <w:tmpl w:val="00000000"/>
    <w:lvl w:ilvl="0">
      <w:start w:val="1"/>
      <w:numFmt w:val="decimal"/>
      <w:lvlText w:val="%1）"/>
      <w:lvlJc w:val="left"/>
      <w:pPr>
        <w:ind w:left="1834" w:hanging="541"/>
        <w:jc w:val="left"/>
      </w:pPr>
      <w:rPr>
        <w:rFonts w:ascii="Arial" w:eastAsia="Arial" w:hAnsi="Arial" w:cs="Arial" w:hint="default"/>
        <w:spacing w:val="-180"/>
        <w:w w:val="89"/>
        <w:sz w:val="34"/>
        <w:szCs w:val="34"/>
      </w:rPr>
    </w:lvl>
    <w:lvl w:ilvl="1">
      <w:start w:val="0"/>
      <w:numFmt w:val="bullet"/>
      <w:lvlText w:val="•"/>
      <w:lvlJc w:val="left"/>
      <w:pPr>
        <w:ind w:left="3243" w:hanging="541"/>
      </w:pPr>
      <w:rPr>
        <w:rFonts w:hint="default"/>
      </w:rPr>
    </w:lvl>
    <w:lvl w:ilvl="2">
      <w:start w:val="0"/>
      <w:numFmt w:val="bullet"/>
      <w:lvlText w:val="•"/>
      <w:lvlJc w:val="left"/>
      <w:pPr>
        <w:ind w:left="4647" w:hanging="541"/>
      </w:pPr>
      <w:rPr>
        <w:rFonts w:hint="default"/>
      </w:rPr>
    </w:lvl>
    <w:lvl w:ilvl="3">
      <w:start w:val="0"/>
      <w:numFmt w:val="bullet"/>
      <w:lvlText w:val="•"/>
      <w:lvlJc w:val="left"/>
      <w:pPr>
        <w:ind w:left="6051" w:hanging="541"/>
      </w:pPr>
      <w:rPr>
        <w:rFonts w:hint="default"/>
      </w:rPr>
    </w:lvl>
    <w:lvl w:ilvl="4">
      <w:start w:val="0"/>
      <w:numFmt w:val="bullet"/>
      <w:lvlText w:val="•"/>
      <w:lvlJc w:val="left"/>
      <w:pPr>
        <w:ind w:left="7455" w:hanging="541"/>
      </w:pPr>
      <w:rPr>
        <w:rFonts w:hint="default"/>
      </w:rPr>
    </w:lvl>
    <w:lvl w:ilvl="5">
      <w:start w:val="0"/>
      <w:numFmt w:val="bullet"/>
      <w:lvlText w:val="•"/>
      <w:lvlJc w:val="left"/>
      <w:pPr>
        <w:ind w:left="8859" w:hanging="541"/>
      </w:pPr>
      <w:rPr>
        <w:rFonts w:hint="default"/>
      </w:rPr>
    </w:lvl>
    <w:lvl w:ilvl="6">
      <w:start w:val="0"/>
      <w:numFmt w:val="bullet"/>
      <w:lvlText w:val="•"/>
      <w:lvlJc w:val="left"/>
      <w:pPr>
        <w:ind w:left="10263" w:hanging="541"/>
      </w:pPr>
      <w:rPr>
        <w:rFonts w:hint="default"/>
      </w:rPr>
    </w:lvl>
    <w:lvl w:ilvl="7">
      <w:start w:val="0"/>
      <w:numFmt w:val="bullet"/>
      <w:lvlText w:val="•"/>
      <w:lvlJc w:val="left"/>
      <w:pPr>
        <w:ind w:left="11667" w:hanging="541"/>
      </w:pPr>
      <w:rPr>
        <w:rFonts w:hint="default"/>
      </w:rPr>
    </w:lvl>
    <w:lvl w:ilvl="8">
      <w:start w:val="0"/>
      <w:numFmt w:val="bullet"/>
      <w:lvlText w:val="•"/>
      <w:lvlJc w:val="left"/>
      <w:pPr>
        <w:ind w:left="13071" w:hanging="541"/>
      </w:pPr>
      <w:rPr>
        <w:rFonts w:hint="default"/>
      </w:rPr>
    </w:lvl>
  </w:abstractNum>
  <w:abstractNum w:abstractNumId="19">
    <w:nsid w:val="4ACC6049"/>
    <w:multiLevelType w:val="hybridMultilevel"/>
    <w:tmpl w:val="00000000"/>
    <w:lvl w:ilvl="0">
      <w:start w:val="1"/>
      <w:numFmt w:val="decimal"/>
      <w:lvlText w:val="%1）"/>
      <w:lvlJc w:val="left"/>
      <w:pPr>
        <w:ind w:left="1834" w:hanging="541"/>
        <w:jc w:val="left"/>
      </w:pPr>
      <w:rPr>
        <w:rFonts w:ascii="Arial" w:eastAsia="Arial" w:hAnsi="Arial" w:cs="Arial" w:hint="default"/>
        <w:spacing w:val="-180"/>
        <w:w w:val="89"/>
        <w:sz w:val="34"/>
        <w:szCs w:val="34"/>
      </w:rPr>
    </w:lvl>
    <w:lvl w:ilvl="1">
      <w:start w:val="0"/>
      <w:numFmt w:val="bullet"/>
      <w:lvlText w:val="•"/>
      <w:lvlJc w:val="left"/>
      <w:pPr>
        <w:ind w:left="3243" w:hanging="541"/>
      </w:pPr>
      <w:rPr>
        <w:rFonts w:hint="default"/>
      </w:rPr>
    </w:lvl>
    <w:lvl w:ilvl="2">
      <w:start w:val="0"/>
      <w:numFmt w:val="bullet"/>
      <w:lvlText w:val="•"/>
      <w:lvlJc w:val="left"/>
      <w:pPr>
        <w:ind w:left="4647" w:hanging="541"/>
      </w:pPr>
      <w:rPr>
        <w:rFonts w:hint="default"/>
      </w:rPr>
    </w:lvl>
    <w:lvl w:ilvl="3">
      <w:start w:val="0"/>
      <w:numFmt w:val="bullet"/>
      <w:lvlText w:val="•"/>
      <w:lvlJc w:val="left"/>
      <w:pPr>
        <w:ind w:left="6051" w:hanging="541"/>
      </w:pPr>
      <w:rPr>
        <w:rFonts w:hint="default"/>
      </w:rPr>
    </w:lvl>
    <w:lvl w:ilvl="4">
      <w:start w:val="0"/>
      <w:numFmt w:val="bullet"/>
      <w:lvlText w:val="•"/>
      <w:lvlJc w:val="left"/>
      <w:pPr>
        <w:ind w:left="7455" w:hanging="541"/>
      </w:pPr>
      <w:rPr>
        <w:rFonts w:hint="default"/>
      </w:rPr>
    </w:lvl>
    <w:lvl w:ilvl="5">
      <w:start w:val="0"/>
      <w:numFmt w:val="bullet"/>
      <w:lvlText w:val="•"/>
      <w:lvlJc w:val="left"/>
      <w:pPr>
        <w:ind w:left="8859" w:hanging="541"/>
      </w:pPr>
      <w:rPr>
        <w:rFonts w:hint="default"/>
      </w:rPr>
    </w:lvl>
    <w:lvl w:ilvl="6">
      <w:start w:val="0"/>
      <w:numFmt w:val="bullet"/>
      <w:lvlText w:val="•"/>
      <w:lvlJc w:val="left"/>
      <w:pPr>
        <w:ind w:left="10263" w:hanging="541"/>
      </w:pPr>
      <w:rPr>
        <w:rFonts w:hint="default"/>
      </w:rPr>
    </w:lvl>
    <w:lvl w:ilvl="7">
      <w:start w:val="0"/>
      <w:numFmt w:val="bullet"/>
      <w:lvlText w:val="•"/>
      <w:lvlJc w:val="left"/>
      <w:pPr>
        <w:ind w:left="11667" w:hanging="541"/>
      </w:pPr>
      <w:rPr>
        <w:rFonts w:hint="default"/>
      </w:rPr>
    </w:lvl>
    <w:lvl w:ilvl="8">
      <w:start w:val="0"/>
      <w:numFmt w:val="bullet"/>
      <w:lvlText w:val="•"/>
      <w:lvlJc w:val="left"/>
      <w:pPr>
        <w:ind w:left="13071" w:hanging="541"/>
      </w:pPr>
      <w:rPr>
        <w:rFonts w:hint="default"/>
      </w:rPr>
    </w:lvl>
  </w:abstractNum>
  <w:abstractNum w:abstractNumId="20">
    <w:nsid w:val="4BF49627"/>
    <w:multiLevelType w:val="hybridMultilevel"/>
    <w:tmpl w:val="00000000"/>
    <w:lvl w:ilvl="0">
      <w:start w:val="11"/>
      <w:numFmt w:val="decimal"/>
      <w:lvlText w:val="%1."/>
      <w:lvlJc w:val="left"/>
      <w:pPr>
        <w:ind w:left="1337" w:hanging="765"/>
        <w:jc w:val="left"/>
      </w:pPr>
      <w:rPr>
        <w:rFonts w:ascii="Microsoft JhengHei" w:eastAsia="Microsoft JhengHei" w:hAnsi="Microsoft JhengHei" w:cs="Microsoft JhengHei" w:hint="default"/>
        <w:b/>
        <w:bCs/>
        <w:spacing w:val="-1"/>
        <w:w w:val="93"/>
        <w:sz w:val="34"/>
        <w:szCs w:val="34"/>
      </w:rPr>
    </w:lvl>
    <w:lvl w:ilvl="1">
      <w:start w:val="1"/>
      <w:numFmt w:val="decimal"/>
      <w:lvlText w:val="（%2）"/>
      <w:lvlJc w:val="left"/>
      <w:pPr>
        <w:ind w:left="2194" w:hanging="901"/>
        <w:jc w:val="left"/>
      </w:pPr>
      <w:rPr>
        <w:rFonts w:ascii="宋体" w:eastAsia="宋体" w:hAnsi="宋体" w:cs="宋体" w:hint="default"/>
        <w:w w:val="89"/>
        <w:sz w:val="34"/>
        <w:szCs w:val="34"/>
      </w:rPr>
    </w:lvl>
    <w:lvl w:ilvl="2">
      <w:start w:val="0"/>
      <w:numFmt w:val="bullet"/>
      <w:lvlText w:val="•"/>
      <w:lvlJc w:val="left"/>
      <w:pPr>
        <w:ind w:left="3719" w:hanging="901"/>
      </w:pPr>
      <w:rPr>
        <w:rFonts w:hint="default"/>
      </w:rPr>
    </w:lvl>
    <w:lvl w:ilvl="3">
      <w:start w:val="0"/>
      <w:numFmt w:val="bullet"/>
      <w:lvlText w:val="•"/>
      <w:lvlJc w:val="left"/>
      <w:pPr>
        <w:ind w:left="5239" w:hanging="901"/>
      </w:pPr>
      <w:rPr>
        <w:rFonts w:hint="default"/>
      </w:rPr>
    </w:lvl>
    <w:lvl w:ilvl="4">
      <w:start w:val="0"/>
      <w:numFmt w:val="bullet"/>
      <w:lvlText w:val="•"/>
      <w:lvlJc w:val="left"/>
      <w:pPr>
        <w:ind w:left="6759" w:hanging="901"/>
      </w:pPr>
      <w:rPr>
        <w:rFonts w:hint="default"/>
      </w:rPr>
    </w:lvl>
    <w:lvl w:ilvl="5">
      <w:start w:val="0"/>
      <w:numFmt w:val="bullet"/>
      <w:lvlText w:val="•"/>
      <w:lvlJc w:val="left"/>
      <w:pPr>
        <w:ind w:left="8279" w:hanging="901"/>
      </w:pPr>
      <w:rPr>
        <w:rFonts w:hint="default"/>
      </w:rPr>
    </w:lvl>
    <w:lvl w:ilvl="6">
      <w:start w:val="0"/>
      <w:numFmt w:val="bullet"/>
      <w:lvlText w:val="•"/>
      <w:lvlJc w:val="left"/>
      <w:pPr>
        <w:ind w:left="9799" w:hanging="901"/>
      </w:pPr>
      <w:rPr>
        <w:rFonts w:hint="default"/>
      </w:rPr>
    </w:lvl>
    <w:lvl w:ilvl="7">
      <w:start w:val="0"/>
      <w:numFmt w:val="bullet"/>
      <w:lvlText w:val="•"/>
      <w:lvlJc w:val="left"/>
      <w:pPr>
        <w:ind w:left="11319" w:hanging="901"/>
      </w:pPr>
      <w:rPr>
        <w:rFonts w:hint="default"/>
      </w:rPr>
    </w:lvl>
    <w:lvl w:ilvl="8">
      <w:start w:val="0"/>
      <w:numFmt w:val="bullet"/>
      <w:lvlText w:val="•"/>
      <w:lvlJc w:val="left"/>
      <w:pPr>
        <w:ind w:left="12839" w:hanging="901"/>
      </w:pPr>
      <w:rPr>
        <w:rFonts w:hint="default"/>
      </w:rPr>
    </w:lvl>
  </w:abstractNum>
  <w:abstractNum w:abstractNumId="21">
    <w:nsid w:val="4C9A202B"/>
    <w:multiLevelType w:val="hybridMultilevel"/>
    <w:tmpl w:val="00000000"/>
    <w:lvl w:ilvl="0">
      <w:start w:val="3"/>
      <w:numFmt w:val="decimal"/>
      <w:lvlText w:val="（%1）"/>
      <w:lvlJc w:val="left"/>
      <w:pPr>
        <w:ind w:left="2194" w:hanging="901"/>
        <w:jc w:val="left"/>
      </w:pPr>
      <w:rPr>
        <w:rFonts w:ascii="宋体" w:eastAsia="宋体" w:hAnsi="宋体" w:cs="宋体" w:hint="default"/>
        <w:w w:val="89"/>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abstractNum w:abstractNumId="22">
    <w:nsid w:val="504B22B4"/>
    <w:multiLevelType w:val="hybridMultilevel"/>
    <w:tmpl w:val="00000000"/>
    <w:lvl w:ilvl="0">
      <w:start w:val="1"/>
      <w:numFmt w:val="decimal"/>
      <w:lvlText w:val="（%1）"/>
      <w:lvlJc w:val="left"/>
      <w:pPr>
        <w:ind w:left="573" w:hanging="908"/>
        <w:jc w:val="left"/>
      </w:pPr>
      <w:rPr>
        <w:rFonts w:ascii="宋体" w:eastAsia="宋体" w:hAnsi="宋体" w:cs="宋体" w:hint="default"/>
        <w:spacing w:val="0"/>
        <w:w w:val="89"/>
        <w:sz w:val="34"/>
        <w:szCs w:val="34"/>
      </w:rPr>
    </w:lvl>
    <w:lvl w:ilvl="1">
      <w:start w:val="0"/>
      <w:numFmt w:val="bullet"/>
      <w:lvlText w:val="•"/>
      <w:lvlJc w:val="left"/>
      <w:pPr>
        <w:ind w:left="2109" w:hanging="908"/>
      </w:pPr>
      <w:rPr>
        <w:rFonts w:hint="default"/>
      </w:rPr>
    </w:lvl>
    <w:lvl w:ilvl="2">
      <w:start w:val="0"/>
      <w:numFmt w:val="bullet"/>
      <w:lvlText w:val="•"/>
      <w:lvlJc w:val="left"/>
      <w:pPr>
        <w:ind w:left="3639" w:hanging="908"/>
      </w:pPr>
      <w:rPr>
        <w:rFonts w:hint="default"/>
      </w:rPr>
    </w:lvl>
    <w:lvl w:ilvl="3">
      <w:start w:val="0"/>
      <w:numFmt w:val="bullet"/>
      <w:lvlText w:val="•"/>
      <w:lvlJc w:val="left"/>
      <w:pPr>
        <w:ind w:left="5169" w:hanging="908"/>
      </w:pPr>
      <w:rPr>
        <w:rFonts w:hint="default"/>
      </w:rPr>
    </w:lvl>
    <w:lvl w:ilvl="4">
      <w:start w:val="0"/>
      <w:numFmt w:val="bullet"/>
      <w:lvlText w:val="•"/>
      <w:lvlJc w:val="left"/>
      <w:pPr>
        <w:ind w:left="6699" w:hanging="908"/>
      </w:pPr>
      <w:rPr>
        <w:rFonts w:hint="default"/>
      </w:rPr>
    </w:lvl>
    <w:lvl w:ilvl="5">
      <w:start w:val="0"/>
      <w:numFmt w:val="bullet"/>
      <w:lvlText w:val="•"/>
      <w:lvlJc w:val="left"/>
      <w:pPr>
        <w:ind w:left="8229" w:hanging="908"/>
      </w:pPr>
      <w:rPr>
        <w:rFonts w:hint="default"/>
      </w:rPr>
    </w:lvl>
    <w:lvl w:ilvl="6">
      <w:start w:val="0"/>
      <w:numFmt w:val="bullet"/>
      <w:lvlText w:val="•"/>
      <w:lvlJc w:val="left"/>
      <w:pPr>
        <w:ind w:left="9759" w:hanging="908"/>
      </w:pPr>
      <w:rPr>
        <w:rFonts w:hint="default"/>
      </w:rPr>
    </w:lvl>
    <w:lvl w:ilvl="7">
      <w:start w:val="0"/>
      <w:numFmt w:val="bullet"/>
      <w:lvlText w:val="•"/>
      <w:lvlJc w:val="left"/>
      <w:pPr>
        <w:ind w:left="11289" w:hanging="908"/>
      </w:pPr>
      <w:rPr>
        <w:rFonts w:hint="default"/>
      </w:rPr>
    </w:lvl>
    <w:lvl w:ilvl="8">
      <w:start w:val="0"/>
      <w:numFmt w:val="bullet"/>
      <w:lvlText w:val="•"/>
      <w:lvlJc w:val="left"/>
      <w:pPr>
        <w:ind w:left="12819" w:hanging="908"/>
      </w:pPr>
      <w:rPr>
        <w:rFonts w:hint="default"/>
      </w:rPr>
    </w:lvl>
  </w:abstractNum>
  <w:abstractNum w:abstractNumId="23">
    <w:nsid w:val="548437F5"/>
    <w:multiLevelType w:val="hybridMultilevel"/>
    <w:tmpl w:val="00000000"/>
    <w:lvl w:ilvl="0">
      <w:start w:val="1"/>
      <w:numFmt w:val="decimal"/>
      <w:lvlText w:val="%1）"/>
      <w:lvlJc w:val="left"/>
      <w:pPr>
        <w:ind w:left="1834" w:hanging="541"/>
        <w:jc w:val="left"/>
      </w:pPr>
      <w:rPr>
        <w:rFonts w:ascii="Arial" w:eastAsia="Arial" w:hAnsi="Arial" w:cs="Arial" w:hint="default"/>
        <w:spacing w:val="-180"/>
        <w:w w:val="89"/>
        <w:sz w:val="34"/>
        <w:szCs w:val="34"/>
      </w:rPr>
    </w:lvl>
    <w:lvl w:ilvl="1">
      <w:start w:val="0"/>
      <w:numFmt w:val="bullet"/>
      <w:lvlText w:val="•"/>
      <w:lvlJc w:val="left"/>
      <w:pPr>
        <w:ind w:left="3243" w:hanging="541"/>
      </w:pPr>
      <w:rPr>
        <w:rFonts w:hint="default"/>
      </w:rPr>
    </w:lvl>
    <w:lvl w:ilvl="2">
      <w:start w:val="0"/>
      <w:numFmt w:val="bullet"/>
      <w:lvlText w:val="•"/>
      <w:lvlJc w:val="left"/>
      <w:pPr>
        <w:ind w:left="4647" w:hanging="541"/>
      </w:pPr>
      <w:rPr>
        <w:rFonts w:hint="default"/>
      </w:rPr>
    </w:lvl>
    <w:lvl w:ilvl="3">
      <w:start w:val="0"/>
      <w:numFmt w:val="bullet"/>
      <w:lvlText w:val="•"/>
      <w:lvlJc w:val="left"/>
      <w:pPr>
        <w:ind w:left="6051" w:hanging="541"/>
      </w:pPr>
      <w:rPr>
        <w:rFonts w:hint="default"/>
      </w:rPr>
    </w:lvl>
    <w:lvl w:ilvl="4">
      <w:start w:val="0"/>
      <w:numFmt w:val="bullet"/>
      <w:lvlText w:val="•"/>
      <w:lvlJc w:val="left"/>
      <w:pPr>
        <w:ind w:left="7455" w:hanging="541"/>
      </w:pPr>
      <w:rPr>
        <w:rFonts w:hint="default"/>
      </w:rPr>
    </w:lvl>
    <w:lvl w:ilvl="5">
      <w:start w:val="0"/>
      <w:numFmt w:val="bullet"/>
      <w:lvlText w:val="•"/>
      <w:lvlJc w:val="left"/>
      <w:pPr>
        <w:ind w:left="8859" w:hanging="541"/>
      </w:pPr>
      <w:rPr>
        <w:rFonts w:hint="default"/>
      </w:rPr>
    </w:lvl>
    <w:lvl w:ilvl="6">
      <w:start w:val="0"/>
      <w:numFmt w:val="bullet"/>
      <w:lvlText w:val="•"/>
      <w:lvlJc w:val="left"/>
      <w:pPr>
        <w:ind w:left="10263" w:hanging="541"/>
      </w:pPr>
      <w:rPr>
        <w:rFonts w:hint="default"/>
      </w:rPr>
    </w:lvl>
    <w:lvl w:ilvl="7">
      <w:start w:val="0"/>
      <w:numFmt w:val="bullet"/>
      <w:lvlText w:val="•"/>
      <w:lvlJc w:val="left"/>
      <w:pPr>
        <w:ind w:left="11667" w:hanging="541"/>
      </w:pPr>
      <w:rPr>
        <w:rFonts w:hint="default"/>
      </w:rPr>
    </w:lvl>
    <w:lvl w:ilvl="8">
      <w:start w:val="0"/>
      <w:numFmt w:val="bullet"/>
      <w:lvlText w:val="•"/>
      <w:lvlJc w:val="left"/>
      <w:pPr>
        <w:ind w:left="13071" w:hanging="541"/>
      </w:pPr>
      <w:rPr>
        <w:rFonts w:hint="default"/>
      </w:rPr>
    </w:lvl>
  </w:abstractNum>
  <w:abstractNum w:abstractNumId="24">
    <w:nsid w:val="5F329F84"/>
    <w:multiLevelType w:val="hybridMultilevel"/>
    <w:tmpl w:val="00000000"/>
    <w:lvl w:ilvl="0">
      <w:start w:val="1"/>
      <w:numFmt w:val="decimal"/>
      <w:lvlText w:val="（%1）"/>
      <w:lvlJc w:val="left"/>
      <w:pPr>
        <w:ind w:left="573" w:hanging="901"/>
        <w:jc w:val="left"/>
      </w:pPr>
      <w:rPr>
        <w:rFonts w:ascii="宋体" w:eastAsia="宋体" w:hAnsi="宋体" w:cs="宋体" w:hint="default"/>
        <w:spacing w:val="-47"/>
        <w:w w:val="89"/>
        <w:sz w:val="34"/>
        <w:szCs w:val="34"/>
      </w:rPr>
    </w:lvl>
    <w:lvl w:ilvl="1">
      <w:start w:val="0"/>
      <w:numFmt w:val="bullet"/>
      <w:lvlText w:val="•"/>
      <w:lvlJc w:val="left"/>
      <w:pPr>
        <w:ind w:left="2109" w:hanging="901"/>
      </w:pPr>
      <w:rPr>
        <w:rFonts w:hint="default"/>
      </w:rPr>
    </w:lvl>
    <w:lvl w:ilvl="2">
      <w:start w:val="0"/>
      <w:numFmt w:val="bullet"/>
      <w:lvlText w:val="•"/>
      <w:lvlJc w:val="left"/>
      <w:pPr>
        <w:ind w:left="3639" w:hanging="901"/>
      </w:pPr>
      <w:rPr>
        <w:rFonts w:hint="default"/>
      </w:rPr>
    </w:lvl>
    <w:lvl w:ilvl="3">
      <w:start w:val="0"/>
      <w:numFmt w:val="bullet"/>
      <w:lvlText w:val="•"/>
      <w:lvlJc w:val="left"/>
      <w:pPr>
        <w:ind w:left="5169" w:hanging="901"/>
      </w:pPr>
      <w:rPr>
        <w:rFonts w:hint="default"/>
      </w:rPr>
    </w:lvl>
    <w:lvl w:ilvl="4">
      <w:start w:val="0"/>
      <w:numFmt w:val="bullet"/>
      <w:lvlText w:val="•"/>
      <w:lvlJc w:val="left"/>
      <w:pPr>
        <w:ind w:left="6699" w:hanging="901"/>
      </w:pPr>
      <w:rPr>
        <w:rFonts w:hint="default"/>
      </w:rPr>
    </w:lvl>
    <w:lvl w:ilvl="5">
      <w:start w:val="0"/>
      <w:numFmt w:val="bullet"/>
      <w:lvlText w:val="•"/>
      <w:lvlJc w:val="left"/>
      <w:pPr>
        <w:ind w:left="8229" w:hanging="901"/>
      </w:pPr>
      <w:rPr>
        <w:rFonts w:hint="default"/>
      </w:rPr>
    </w:lvl>
    <w:lvl w:ilvl="6">
      <w:start w:val="0"/>
      <w:numFmt w:val="bullet"/>
      <w:lvlText w:val="•"/>
      <w:lvlJc w:val="left"/>
      <w:pPr>
        <w:ind w:left="9759" w:hanging="901"/>
      </w:pPr>
      <w:rPr>
        <w:rFonts w:hint="default"/>
      </w:rPr>
    </w:lvl>
    <w:lvl w:ilvl="7">
      <w:start w:val="0"/>
      <w:numFmt w:val="bullet"/>
      <w:lvlText w:val="•"/>
      <w:lvlJc w:val="left"/>
      <w:pPr>
        <w:ind w:left="11289" w:hanging="901"/>
      </w:pPr>
      <w:rPr>
        <w:rFonts w:hint="default"/>
      </w:rPr>
    </w:lvl>
    <w:lvl w:ilvl="8">
      <w:start w:val="0"/>
      <w:numFmt w:val="bullet"/>
      <w:lvlText w:val="•"/>
      <w:lvlJc w:val="left"/>
      <w:pPr>
        <w:ind w:left="12819" w:hanging="901"/>
      </w:pPr>
      <w:rPr>
        <w:rFonts w:hint="default"/>
      </w:rPr>
    </w:lvl>
  </w:abstractNum>
  <w:abstractNum w:abstractNumId="25">
    <w:nsid w:val="6361FECB"/>
    <w:multiLevelType w:val="hybridMultilevel"/>
    <w:tmpl w:val="00000000"/>
    <w:lvl w:ilvl="0">
      <w:start w:val="1"/>
      <w:numFmt w:val="decimal"/>
      <w:lvlText w:val="%1）"/>
      <w:lvlJc w:val="left"/>
      <w:pPr>
        <w:ind w:left="573" w:hanging="541"/>
        <w:jc w:val="left"/>
      </w:pPr>
      <w:rPr>
        <w:rFonts w:ascii="Arial" w:eastAsia="Arial" w:hAnsi="Arial" w:cs="Arial" w:hint="default"/>
        <w:spacing w:val="-180"/>
        <w:w w:val="89"/>
        <w:sz w:val="34"/>
        <w:szCs w:val="34"/>
      </w:rPr>
    </w:lvl>
    <w:lvl w:ilvl="1">
      <w:start w:val="0"/>
      <w:numFmt w:val="bullet"/>
      <w:lvlText w:val="•"/>
      <w:lvlJc w:val="left"/>
      <w:pPr>
        <w:ind w:left="2109" w:hanging="541"/>
      </w:pPr>
      <w:rPr>
        <w:rFonts w:hint="default"/>
      </w:rPr>
    </w:lvl>
    <w:lvl w:ilvl="2">
      <w:start w:val="0"/>
      <w:numFmt w:val="bullet"/>
      <w:lvlText w:val="•"/>
      <w:lvlJc w:val="left"/>
      <w:pPr>
        <w:ind w:left="3639" w:hanging="541"/>
      </w:pPr>
      <w:rPr>
        <w:rFonts w:hint="default"/>
      </w:rPr>
    </w:lvl>
    <w:lvl w:ilvl="3">
      <w:start w:val="0"/>
      <w:numFmt w:val="bullet"/>
      <w:lvlText w:val="•"/>
      <w:lvlJc w:val="left"/>
      <w:pPr>
        <w:ind w:left="5169" w:hanging="541"/>
      </w:pPr>
      <w:rPr>
        <w:rFonts w:hint="default"/>
      </w:rPr>
    </w:lvl>
    <w:lvl w:ilvl="4">
      <w:start w:val="0"/>
      <w:numFmt w:val="bullet"/>
      <w:lvlText w:val="•"/>
      <w:lvlJc w:val="left"/>
      <w:pPr>
        <w:ind w:left="6699" w:hanging="541"/>
      </w:pPr>
      <w:rPr>
        <w:rFonts w:hint="default"/>
      </w:rPr>
    </w:lvl>
    <w:lvl w:ilvl="5">
      <w:start w:val="0"/>
      <w:numFmt w:val="bullet"/>
      <w:lvlText w:val="•"/>
      <w:lvlJc w:val="left"/>
      <w:pPr>
        <w:ind w:left="8229" w:hanging="541"/>
      </w:pPr>
      <w:rPr>
        <w:rFonts w:hint="default"/>
      </w:rPr>
    </w:lvl>
    <w:lvl w:ilvl="6">
      <w:start w:val="0"/>
      <w:numFmt w:val="bullet"/>
      <w:lvlText w:val="•"/>
      <w:lvlJc w:val="left"/>
      <w:pPr>
        <w:ind w:left="9759" w:hanging="541"/>
      </w:pPr>
      <w:rPr>
        <w:rFonts w:hint="default"/>
      </w:rPr>
    </w:lvl>
    <w:lvl w:ilvl="7">
      <w:start w:val="0"/>
      <w:numFmt w:val="bullet"/>
      <w:lvlText w:val="•"/>
      <w:lvlJc w:val="left"/>
      <w:pPr>
        <w:ind w:left="11289" w:hanging="541"/>
      </w:pPr>
      <w:rPr>
        <w:rFonts w:hint="default"/>
      </w:rPr>
    </w:lvl>
    <w:lvl w:ilvl="8">
      <w:start w:val="0"/>
      <w:numFmt w:val="bullet"/>
      <w:lvlText w:val="•"/>
      <w:lvlJc w:val="left"/>
      <w:pPr>
        <w:ind w:left="12819" w:hanging="541"/>
      </w:pPr>
      <w:rPr>
        <w:rFonts w:hint="default"/>
      </w:rPr>
    </w:lvl>
  </w:abstractNum>
  <w:abstractNum w:abstractNumId="26">
    <w:nsid w:val="728798C2"/>
    <w:multiLevelType w:val="hybridMultilevel"/>
    <w:tmpl w:val="00000000"/>
    <w:lvl w:ilvl="0">
      <w:start w:val="1"/>
      <w:numFmt w:val="decimal"/>
      <w:lvlText w:val="（%1）"/>
      <w:lvlJc w:val="left"/>
      <w:pPr>
        <w:ind w:left="2194" w:hanging="901"/>
        <w:jc w:val="left"/>
      </w:pPr>
      <w:rPr>
        <w:rFonts w:ascii="宋体" w:eastAsia="宋体" w:hAnsi="宋体" w:cs="宋体" w:hint="default"/>
        <w:w w:val="100"/>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abstractNum w:abstractNumId="27">
    <w:nsid w:val="77470262"/>
    <w:multiLevelType w:val="hybridMultilevel"/>
    <w:tmpl w:val="00000000"/>
    <w:lvl w:ilvl="0">
      <w:start w:val="1"/>
      <w:numFmt w:val="decimal"/>
      <w:lvlText w:val="（%1）"/>
      <w:lvlJc w:val="left"/>
      <w:pPr>
        <w:ind w:left="1474" w:hanging="901"/>
        <w:jc w:val="left"/>
      </w:pPr>
      <w:rPr>
        <w:rFonts w:ascii="宋体" w:eastAsia="宋体" w:hAnsi="宋体" w:cs="宋体" w:hint="default"/>
        <w:spacing w:val="-1"/>
        <w:w w:val="100"/>
        <w:sz w:val="34"/>
        <w:szCs w:val="34"/>
      </w:rPr>
    </w:lvl>
    <w:lvl w:ilvl="1">
      <w:start w:val="0"/>
      <w:numFmt w:val="bullet"/>
      <w:lvlText w:val="•"/>
      <w:lvlJc w:val="left"/>
      <w:pPr>
        <w:ind w:left="2919" w:hanging="901"/>
      </w:pPr>
      <w:rPr>
        <w:rFonts w:hint="default"/>
      </w:rPr>
    </w:lvl>
    <w:lvl w:ilvl="2">
      <w:start w:val="0"/>
      <w:numFmt w:val="bullet"/>
      <w:lvlText w:val="•"/>
      <w:lvlJc w:val="left"/>
      <w:pPr>
        <w:ind w:left="4359" w:hanging="901"/>
      </w:pPr>
      <w:rPr>
        <w:rFonts w:hint="default"/>
      </w:rPr>
    </w:lvl>
    <w:lvl w:ilvl="3">
      <w:start w:val="0"/>
      <w:numFmt w:val="bullet"/>
      <w:lvlText w:val="•"/>
      <w:lvlJc w:val="left"/>
      <w:pPr>
        <w:ind w:left="5799" w:hanging="901"/>
      </w:pPr>
      <w:rPr>
        <w:rFonts w:hint="default"/>
      </w:rPr>
    </w:lvl>
    <w:lvl w:ilvl="4">
      <w:start w:val="0"/>
      <w:numFmt w:val="bullet"/>
      <w:lvlText w:val="•"/>
      <w:lvlJc w:val="left"/>
      <w:pPr>
        <w:ind w:left="7239" w:hanging="901"/>
      </w:pPr>
      <w:rPr>
        <w:rFonts w:hint="default"/>
      </w:rPr>
    </w:lvl>
    <w:lvl w:ilvl="5">
      <w:start w:val="0"/>
      <w:numFmt w:val="bullet"/>
      <w:lvlText w:val="•"/>
      <w:lvlJc w:val="left"/>
      <w:pPr>
        <w:ind w:left="8679" w:hanging="901"/>
      </w:pPr>
      <w:rPr>
        <w:rFonts w:hint="default"/>
      </w:rPr>
    </w:lvl>
    <w:lvl w:ilvl="6">
      <w:start w:val="0"/>
      <w:numFmt w:val="bullet"/>
      <w:lvlText w:val="•"/>
      <w:lvlJc w:val="left"/>
      <w:pPr>
        <w:ind w:left="10119" w:hanging="901"/>
      </w:pPr>
      <w:rPr>
        <w:rFonts w:hint="default"/>
      </w:rPr>
    </w:lvl>
    <w:lvl w:ilvl="7">
      <w:start w:val="0"/>
      <w:numFmt w:val="bullet"/>
      <w:lvlText w:val="•"/>
      <w:lvlJc w:val="left"/>
      <w:pPr>
        <w:ind w:left="11559" w:hanging="901"/>
      </w:pPr>
      <w:rPr>
        <w:rFonts w:hint="default"/>
      </w:rPr>
    </w:lvl>
    <w:lvl w:ilvl="8">
      <w:start w:val="0"/>
      <w:numFmt w:val="bullet"/>
      <w:lvlText w:val="•"/>
      <w:lvlJc w:val="left"/>
      <w:pPr>
        <w:ind w:left="12999" w:hanging="901"/>
      </w:pPr>
      <w:rPr>
        <w:rFonts w:hint="default"/>
      </w:rPr>
    </w:lvl>
  </w:abstractNum>
  <w:abstractNum w:abstractNumId="28">
    <w:nsid w:val="7E69A41F"/>
    <w:multiLevelType w:val="hybridMultilevel"/>
    <w:tmpl w:val="00000000"/>
    <w:lvl w:ilvl="0">
      <w:start w:val="1"/>
      <w:numFmt w:val="decimal"/>
      <w:lvlText w:val="（%1）"/>
      <w:lvlJc w:val="left"/>
      <w:pPr>
        <w:ind w:left="2194" w:hanging="901"/>
        <w:jc w:val="left"/>
      </w:pPr>
      <w:rPr>
        <w:rFonts w:ascii="宋体" w:eastAsia="宋体" w:hAnsi="宋体" w:cs="宋体" w:hint="default"/>
        <w:w w:val="89"/>
        <w:sz w:val="34"/>
        <w:szCs w:val="34"/>
      </w:rPr>
    </w:lvl>
    <w:lvl w:ilvl="1">
      <w:start w:val="0"/>
      <w:numFmt w:val="bullet"/>
      <w:lvlText w:val="•"/>
      <w:lvlJc w:val="left"/>
      <w:pPr>
        <w:ind w:left="3567" w:hanging="901"/>
      </w:pPr>
      <w:rPr>
        <w:rFonts w:hint="default"/>
      </w:rPr>
    </w:lvl>
    <w:lvl w:ilvl="2">
      <w:start w:val="0"/>
      <w:numFmt w:val="bullet"/>
      <w:lvlText w:val="•"/>
      <w:lvlJc w:val="left"/>
      <w:pPr>
        <w:ind w:left="4935" w:hanging="901"/>
      </w:pPr>
      <w:rPr>
        <w:rFonts w:hint="default"/>
      </w:rPr>
    </w:lvl>
    <w:lvl w:ilvl="3">
      <w:start w:val="0"/>
      <w:numFmt w:val="bullet"/>
      <w:lvlText w:val="•"/>
      <w:lvlJc w:val="left"/>
      <w:pPr>
        <w:ind w:left="6303" w:hanging="901"/>
      </w:pPr>
      <w:rPr>
        <w:rFonts w:hint="default"/>
      </w:rPr>
    </w:lvl>
    <w:lvl w:ilvl="4">
      <w:start w:val="0"/>
      <w:numFmt w:val="bullet"/>
      <w:lvlText w:val="•"/>
      <w:lvlJc w:val="left"/>
      <w:pPr>
        <w:ind w:left="7671" w:hanging="901"/>
      </w:pPr>
      <w:rPr>
        <w:rFonts w:hint="default"/>
      </w:rPr>
    </w:lvl>
    <w:lvl w:ilvl="5">
      <w:start w:val="0"/>
      <w:numFmt w:val="bullet"/>
      <w:lvlText w:val="•"/>
      <w:lvlJc w:val="left"/>
      <w:pPr>
        <w:ind w:left="9039" w:hanging="901"/>
      </w:pPr>
      <w:rPr>
        <w:rFonts w:hint="default"/>
      </w:rPr>
    </w:lvl>
    <w:lvl w:ilvl="6">
      <w:start w:val="0"/>
      <w:numFmt w:val="bullet"/>
      <w:lvlText w:val="•"/>
      <w:lvlJc w:val="left"/>
      <w:pPr>
        <w:ind w:left="1040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43" w:hanging="901"/>
      </w:pPr>
      <w:rPr>
        <w:rFonts w:hint="default"/>
      </w:rPr>
    </w:lvl>
  </w:abstractNum>
  <w:num w:numId="1">
    <w:abstractNumId w:val="2"/>
  </w:num>
  <w:num w:numId="2">
    <w:abstractNumId w:val="27"/>
  </w:num>
  <w:num w:numId="3">
    <w:abstractNumId w:val="22"/>
  </w:num>
  <w:num w:numId="4">
    <w:abstractNumId w:val="8"/>
  </w:num>
  <w:num w:numId="5">
    <w:abstractNumId w:val="15"/>
  </w:num>
  <w:num w:numId="6">
    <w:abstractNumId w:val="1"/>
  </w:num>
  <w:num w:numId="7">
    <w:abstractNumId w:val="18"/>
  </w:num>
  <w:num w:numId="8">
    <w:abstractNumId w:val="25"/>
  </w:num>
  <w:num w:numId="9">
    <w:abstractNumId w:val="23"/>
  </w:num>
  <w:num w:numId="10">
    <w:abstractNumId w:val="6"/>
  </w:num>
  <w:num w:numId="11">
    <w:abstractNumId w:val="16"/>
  </w:num>
  <w:num w:numId="12">
    <w:abstractNumId w:val="19"/>
  </w:num>
  <w:num w:numId="13">
    <w:abstractNumId w:val="7"/>
  </w:num>
  <w:num w:numId="14">
    <w:abstractNumId w:val="24"/>
  </w:num>
  <w:num w:numId="15">
    <w:abstractNumId w:val="20"/>
  </w:num>
  <w:num w:numId="16">
    <w:abstractNumId w:val="14"/>
  </w:num>
  <w:num w:numId="17">
    <w:abstractNumId w:val="26"/>
  </w:num>
  <w:num w:numId="18">
    <w:abstractNumId w:val="5"/>
  </w:num>
  <w:num w:numId="19">
    <w:abstractNumId w:val="4"/>
  </w:num>
  <w:num w:numId="20">
    <w:abstractNumId w:val="0"/>
  </w:num>
  <w:num w:numId="21">
    <w:abstractNumId w:val="3"/>
  </w:num>
  <w:num w:numId="22">
    <w:abstractNumId w:val="9"/>
  </w:num>
  <w:num w:numId="23">
    <w:abstractNumId w:val="17"/>
  </w:num>
  <w:num w:numId="24">
    <w:abstractNumId w:val="13"/>
  </w:num>
  <w:num w:numId="25">
    <w:abstractNumId w:val="28"/>
  </w:num>
  <w:num w:numId="26">
    <w:abstractNumId w:val="12"/>
  </w:num>
  <w:num w:numId="27">
    <w:abstractNumId w:val="10"/>
  </w:num>
  <w:num w:numId="28">
    <w:abstractNumId w:val="21"/>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573"/>
      <w:outlineLvl w:val="0"/>
    </w:pPr>
    <w:rPr>
      <w:rFonts w:ascii="宋体" w:eastAsia="宋体" w:hAnsi="宋体" w:cs="宋体"/>
      <w:b/>
      <w:bCs/>
      <w:sz w:val="42"/>
      <w:szCs w:val="42"/>
    </w:rPr>
  </w:style>
  <w:style w:type="paragraph" w:styleId="Heading2">
    <w:name w:val="heading 2"/>
    <w:basedOn w:val="Normal"/>
    <w:uiPriority w:val="1"/>
    <w:qFormat/>
    <w:pPr>
      <w:ind w:left="573"/>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ind w:left="630" w:right="2214"/>
      <w:jc w:val="center"/>
    </w:pPr>
    <w:rPr>
      <w:rFonts w:ascii="华文行楷" w:eastAsia="华文行楷" w:hAnsi="华文行楷" w:cs="华文行楷"/>
      <w:b/>
      <w:bCs/>
      <w:sz w:val="108"/>
      <w:szCs w:val="108"/>
    </w:rPr>
  </w:style>
  <w:style w:type="paragraph" w:styleId="ListParagraph">
    <w:name w:val="List Paragraph"/>
    <w:basedOn w:val="Normal"/>
    <w:uiPriority w:val="1"/>
    <w:qFormat/>
    <w:pPr>
      <w:spacing w:before="241"/>
      <w:ind w:left="573" w:hanging="901"/>
    </w:pPr>
    <w:rPr>
      <w:rFonts w:ascii="宋体" w:eastAsia="宋体" w:hAnsi="宋体" w:cs="宋体"/>
    </w:rPr>
  </w:style>
  <w:style w:type="paragraph" w:customStyle="1" w:styleId="TableParagraph">
    <w:name w:val="Table Paragraph"/>
    <w:basedOn w:val="Normal"/>
    <w:uiPriority w:val="1"/>
    <w:qFormat/>
    <w:rPr>
      <w:rFonts w:ascii="Arial" w:eastAsia="Arial" w:hAnsi="Arial" w:cs="Arial"/>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yperlink" Target="https://d.book118.com/736144123201010052" TargetMode="External" /><Relationship Id="rId26" Type="http://schemas.openxmlformats.org/officeDocument/2006/relationships/header" Target="header10.xml" /><Relationship Id="rId27" Type="http://schemas.openxmlformats.org/officeDocument/2006/relationships/footer" Target="footer10.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2024-01-29T09:08:01Z</dcterms:created>
  <dcterms:modified xsi:type="dcterms:W3CDTF">2024-01-29T09:08:01Z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2022-11-22T00:00:00Z</vt:filetime>
  </property>
  <property fmtid="{D5CDD505-2E9C-101B-9397-08002B2CF9AE}" pid="3" name="LastSaved">
    <vt:filetime>2024-01-29T00:00:00Z</vt:filetime>
  </property>
</Properties>
</file>