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高纯砷及氧化砷项目计划设计方案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27" w:history="1">
        <w:r>
          <w:rPr>
            <w:rFonts w:ascii="仿宋" w:eastAsia="仿宋" w:hAnsi="仿宋" w:cs="仿宋" w:hint="eastAsia"/>
            <w:lang w:eastAsia="zh-CN"/>
          </w:rPr>
          <w:t>前言</w:t>
        </w:r>
        <w:r>
          <w:tab/>
        </w:r>
        <w:r>
          <w:fldChar w:fldCharType="begin"/>
        </w:r>
        <w:r>
          <w:instrText xml:space="preserve"> PAGEREF _Toc21927 \h </w:instrText>
        </w:r>
        <w:r>
          <w:fldChar w:fldCharType="separate"/>
        </w:r>
        <w:r>
          <w:t>3</w:t>
        </w:r>
        <w:r>
          <w:fldChar w:fldCharType="end"/>
        </w:r>
      </w:hyperlink>
    </w:p>
    <w:p>
      <w:pPr>
        <w:pStyle w:val="TOC1"/>
        <w:tabs>
          <w:tab w:val="right" w:leader="dot" w:pos="8306"/>
        </w:tabs>
      </w:pPr>
      <w:hyperlink w:anchor="_Toc13369" w:history="1">
        <w:r>
          <w:rPr>
            <w:rFonts w:ascii="仿宋" w:eastAsia="仿宋" w:hAnsi="仿宋" w:cs="仿宋" w:hint="eastAsia"/>
            <w:lang w:eastAsia="zh-CN"/>
          </w:rPr>
          <w:t>一、高纯砷及氧化砷项目选址可行性分析</w:t>
        </w:r>
        <w:r>
          <w:tab/>
        </w:r>
        <w:r>
          <w:fldChar w:fldCharType="begin"/>
        </w:r>
        <w:r>
          <w:instrText xml:space="preserve"> PAGEREF _Toc13369 \h </w:instrText>
        </w:r>
        <w:r>
          <w:fldChar w:fldCharType="separate"/>
        </w:r>
        <w:r>
          <w:t>3</w:t>
        </w:r>
        <w:r>
          <w:fldChar w:fldCharType="end"/>
        </w:r>
      </w:hyperlink>
    </w:p>
    <w:p>
      <w:pPr>
        <w:pStyle w:val="TOC2"/>
        <w:tabs>
          <w:tab w:val="right" w:leader="dot" w:pos="8306"/>
        </w:tabs>
      </w:pPr>
      <w:hyperlink w:anchor="_Toc3414" w:history="1">
        <w:r>
          <w:rPr>
            <w:rFonts w:ascii="仿宋" w:eastAsia="仿宋" w:hAnsi="仿宋" w:cs="仿宋" w:hint="eastAsia"/>
            <w:lang w:eastAsia="zh-CN"/>
          </w:rPr>
          <w:t>(一)、高纯砷及氧化砷项目选址</w:t>
        </w:r>
        <w:r>
          <w:tab/>
        </w:r>
        <w:r>
          <w:fldChar w:fldCharType="begin"/>
        </w:r>
        <w:r>
          <w:instrText xml:space="preserve"> PAGEREF _Toc3414 \h </w:instrText>
        </w:r>
        <w:r>
          <w:fldChar w:fldCharType="separate"/>
        </w:r>
        <w:r>
          <w:t>3</w:t>
        </w:r>
        <w:r>
          <w:fldChar w:fldCharType="end"/>
        </w:r>
      </w:hyperlink>
    </w:p>
    <w:p>
      <w:pPr>
        <w:pStyle w:val="TOC2"/>
        <w:tabs>
          <w:tab w:val="right" w:leader="dot" w:pos="8306"/>
        </w:tabs>
      </w:pPr>
      <w:hyperlink w:anchor="_Toc25527" w:history="1">
        <w:r>
          <w:rPr>
            <w:rFonts w:ascii="仿宋" w:eastAsia="仿宋" w:hAnsi="仿宋" w:cs="仿宋" w:hint="eastAsia"/>
            <w:lang w:eastAsia="zh-CN"/>
          </w:rPr>
          <w:t>(二)、用地控制指标</w:t>
        </w:r>
        <w:r>
          <w:tab/>
        </w:r>
        <w:r>
          <w:fldChar w:fldCharType="begin"/>
        </w:r>
        <w:r>
          <w:instrText xml:space="preserve"> PAGEREF _Toc25527 \h </w:instrText>
        </w:r>
        <w:r>
          <w:fldChar w:fldCharType="separate"/>
        </w:r>
        <w:r>
          <w:t>3</w:t>
        </w:r>
        <w:r>
          <w:fldChar w:fldCharType="end"/>
        </w:r>
      </w:hyperlink>
    </w:p>
    <w:p>
      <w:pPr>
        <w:pStyle w:val="TOC2"/>
        <w:tabs>
          <w:tab w:val="right" w:leader="dot" w:pos="8306"/>
        </w:tabs>
      </w:pPr>
      <w:hyperlink w:anchor="_Toc15066" w:history="1">
        <w:r>
          <w:rPr>
            <w:rFonts w:ascii="仿宋" w:eastAsia="仿宋" w:hAnsi="仿宋" w:cs="仿宋" w:hint="eastAsia"/>
            <w:lang w:eastAsia="zh-CN"/>
          </w:rPr>
          <w:t>(三)、节约用地措施</w:t>
        </w:r>
        <w:r>
          <w:tab/>
        </w:r>
        <w:r>
          <w:fldChar w:fldCharType="begin"/>
        </w:r>
        <w:r>
          <w:instrText xml:space="preserve"> PAGEREF _Toc15066 \h </w:instrText>
        </w:r>
        <w:r>
          <w:fldChar w:fldCharType="separate"/>
        </w:r>
        <w:r>
          <w:t>5</w:t>
        </w:r>
        <w:r>
          <w:fldChar w:fldCharType="end"/>
        </w:r>
      </w:hyperlink>
    </w:p>
    <w:p>
      <w:pPr>
        <w:pStyle w:val="TOC2"/>
        <w:tabs>
          <w:tab w:val="right" w:leader="dot" w:pos="8306"/>
        </w:tabs>
      </w:pPr>
      <w:hyperlink w:anchor="_Toc26707" w:history="1">
        <w:r>
          <w:rPr>
            <w:rFonts w:ascii="仿宋" w:eastAsia="仿宋" w:hAnsi="仿宋" w:cs="仿宋" w:hint="eastAsia"/>
            <w:lang w:eastAsia="zh-CN"/>
          </w:rPr>
          <w:t>(四)、总图布置方案</w:t>
        </w:r>
        <w:r>
          <w:tab/>
        </w:r>
        <w:r>
          <w:fldChar w:fldCharType="begin"/>
        </w:r>
        <w:r>
          <w:instrText xml:space="preserve"> PAGEREF _Toc26707 \h </w:instrText>
        </w:r>
        <w:r>
          <w:fldChar w:fldCharType="separate"/>
        </w:r>
        <w:r>
          <w:t>6</w:t>
        </w:r>
        <w:r>
          <w:fldChar w:fldCharType="end"/>
        </w:r>
      </w:hyperlink>
    </w:p>
    <w:p>
      <w:pPr>
        <w:pStyle w:val="TOC2"/>
        <w:tabs>
          <w:tab w:val="right" w:leader="dot" w:pos="8306"/>
        </w:tabs>
      </w:pPr>
      <w:hyperlink w:anchor="_Toc16945" w:history="1">
        <w:r>
          <w:rPr>
            <w:rFonts w:ascii="仿宋" w:eastAsia="仿宋" w:hAnsi="仿宋" w:cs="仿宋" w:hint="eastAsia"/>
            <w:lang w:eastAsia="zh-CN"/>
          </w:rPr>
          <w:t>(五)、选址综合评价</w:t>
        </w:r>
        <w:r>
          <w:tab/>
        </w:r>
        <w:r>
          <w:fldChar w:fldCharType="begin"/>
        </w:r>
        <w:r>
          <w:instrText xml:space="preserve"> PAGEREF _Toc16945 \h </w:instrText>
        </w:r>
        <w:r>
          <w:fldChar w:fldCharType="separate"/>
        </w:r>
        <w:r>
          <w:t>7</w:t>
        </w:r>
        <w:r>
          <w:fldChar w:fldCharType="end"/>
        </w:r>
      </w:hyperlink>
    </w:p>
    <w:p>
      <w:pPr>
        <w:pStyle w:val="TOC1"/>
        <w:tabs>
          <w:tab w:val="right" w:leader="dot" w:pos="8306"/>
        </w:tabs>
      </w:pPr>
      <w:hyperlink w:anchor="_Toc23783" w:history="1">
        <w:r>
          <w:rPr>
            <w:rFonts w:ascii="仿宋" w:eastAsia="仿宋" w:hAnsi="仿宋" w:cs="仿宋" w:hint="eastAsia"/>
            <w:lang w:eastAsia="zh-CN"/>
          </w:rPr>
          <w:t>二、高纯砷及氧化砷项目绩效评估</w:t>
        </w:r>
        <w:r>
          <w:tab/>
        </w:r>
        <w:r>
          <w:fldChar w:fldCharType="begin"/>
        </w:r>
        <w:r>
          <w:instrText xml:space="preserve"> PAGEREF _Toc23783 \h </w:instrText>
        </w:r>
        <w:r>
          <w:fldChar w:fldCharType="separate"/>
        </w:r>
        <w:r>
          <w:t>8</w:t>
        </w:r>
        <w:r>
          <w:fldChar w:fldCharType="end"/>
        </w:r>
      </w:hyperlink>
    </w:p>
    <w:p>
      <w:pPr>
        <w:pStyle w:val="TOC2"/>
        <w:tabs>
          <w:tab w:val="right" w:leader="dot" w:pos="8306"/>
        </w:tabs>
      </w:pPr>
      <w:hyperlink w:anchor="_Toc26177" w:history="1">
        <w:r>
          <w:rPr>
            <w:rFonts w:ascii="仿宋" w:eastAsia="仿宋" w:hAnsi="仿宋" w:cs="仿宋" w:hint="eastAsia"/>
            <w:lang w:eastAsia="zh-CN"/>
          </w:rPr>
          <w:t>(一)、绩效评估指标</w:t>
        </w:r>
        <w:r>
          <w:tab/>
        </w:r>
        <w:r>
          <w:fldChar w:fldCharType="begin"/>
        </w:r>
        <w:r>
          <w:instrText xml:space="preserve"> PAGEREF _Toc26177 \h </w:instrText>
        </w:r>
        <w:r>
          <w:fldChar w:fldCharType="separate"/>
        </w:r>
        <w:r>
          <w:t>8</w:t>
        </w:r>
        <w:r>
          <w:fldChar w:fldCharType="end"/>
        </w:r>
      </w:hyperlink>
    </w:p>
    <w:p>
      <w:pPr>
        <w:pStyle w:val="TOC2"/>
        <w:tabs>
          <w:tab w:val="right" w:leader="dot" w:pos="8306"/>
        </w:tabs>
      </w:pPr>
      <w:hyperlink w:anchor="_Toc1651" w:history="1">
        <w:r>
          <w:rPr>
            <w:rFonts w:ascii="仿宋" w:eastAsia="仿宋" w:hAnsi="仿宋" w:cs="仿宋" w:hint="eastAsia"/>
            <w:lang w:eastAsia="zh-CN"/>
          </w:rPr>
          <w:t>(二)、绩效评估方法</w:t>
        </w:r>
        <w:r>
          <w:tab/>
        </w:r>
        <w:r>
          <w:fldChar w:fldCharType="begin"/>
        </w:r>
        <w:r>
          <w:instrText xml:space="preserve"> PAGEREF _Toc1651 \h </w:instrText>
        </w:r>
        <w:r>
          <w:fldChar w:fldCharType="separate"/>
        </w:r>
        <w:r>
          <w:t>10</w:t>
        </w:r>
        <w:r>
          <w:fldChar w:fldCharType="end"/>
        </w:r>
      </w:hyperlink>
    </w:p>
    <w:p>
      <w:pPr>
        <w:pStyle w:val="TOC2"/>
        <w:tabs>
          <w:tab w:val="right" w:leader="dot" w:pos="8306"/>
        </w:tabs>
      </w:pPr>
      <w:hyperlink w:anchor="_Toc22283" w:history="1">
        <w:r>
          <w:rPr>
            <w:rFonts w:ascii="仿宋" w:eastAsia="仿宋" w:hAnsi="仿宋" w:cs="仿宋" w:hint="eastAsia"/>
            <w:lang w:eastAsia="zh-CN"/>
          </w:rPr>
          <w:t>(三)、绩效评估周期</w:t>
        </w:r>
        <w:r>
          <w:tab/>
        </w:r>
        <w:r>
          <w:fldChar w:fldCharType="begin"/>
        </w:r>
        <w:r>
          <w:instrText xml:space="preserve"> PAGEREF _Toc22283 \h </w:instrText>
        </w:r>
        <w:r>
          <w:fldChar w:fldCharType="separate"/>
        </w:r>
        <w:r>
          <w:t>11</w:t>
        </w:r>
        <w:r>
          <w:fldChar w:fldCharType="end"/>
        </w:r>
      </w:hyperlink>
    </w:p>
    <w:p>
      <w:pPr>
        <w:pStyle w:val="TOC1"/>
        <w:tabs>
          <w:tab w:val="right" w:leader="dot" w:pos="8306"/>
        </w:tabs>
      </w:pPr>
      <w:hyperlink w:anchor="_Toc24554" w:history="1">
        <w:r>
          <w:rPr>
            <w:rFonts w:ascii="仿宋" w:eastAsia="仿宋" w:hAnsi="仿宋" w:cs="仿宋" w:hint="eastAsia"/>
            <w:lang w:eastAsia="zh-CN"/>
          </w:rPr>
          <w:t>三、高纯砷及氧化砷项目建设背景及必要性分析</w:t>
        </w:r>
        <w:r>
          <w:tab/>
        </w:r>
        <w:r>
          <w:fldChar w:fldCharType="begin"/>
        </w:r>
        <w:r>
          <w:instrText xml:space="preserve"> PAGEREF _Toc24554 \h </w:instrText>
        </w:r>
        <w:r>
          <w:fldChar w:fldCharType="separate"/>
        </w:r>
        <w:r>
          <w:t>12</w:t>
        </w:r>
        <w:r>
          <w:fldChar w:fldCharType="end"/>
        </w:r>
      </w:hyperlink>
    </w:p>
    <w:p>
      <w:pPr>
        <w:pStyle w:val="TOC2"/>
        <w:tabs>
          <w:tab w:val="right" w:leader="dot" w:pos="8306"/>
        </w:tabs>
      </w:pPr>
      <w:hyperlink w:anchor="_Toc27337" w:history="1">
        <w:r>
          <w:rPr>
            <w:rFonts w:ascii="仿宋" w:eastAsia="仿宋" w:hAnsi="仿宋" w:cs="仿宋" w:hint="eastAsia"/>
            <w:lang w:eastAsia="zh-CN"/>
          </w:rPr>
          <w:t>(一)、高纯砷及氧化砷项目背景分析</w:t>
        </w:r>
        <w:r>
          <w:tab/>
        </w:r>
        <w:r>
          <w:fldChar w:fldCharType="begin"/>
        </w:r>
        <w:r>
          <w:instrText xml:space="preserve"> PAGEREF _Toc27337 \h </w:instrText>
        </w:r>
        <w:r>
          <w:fldChar w:fldCharType="separate"/>
        </w:r>
        <w:r>
          <w:t>12</w:t>
        </w:r>
        <w:r>
          <w:fldChar w:fldCharType="end"/>
        </w:r>
      </w:hyperlink>
    </w:p>
    <w:p>
      <w:pPr>
        <w:pStyle w:val="TOC2"/>
        <w:tabs>
          <w:tab w:val="right" w:leader="dot" w:pos="8306"/>
        </w:tabs>
      </w:pPr>
      <w:hyperlink w:anchor="_Toc22887" w:history="1">
        <w:r>
          <w:rPr>
            <w:rFonts w:ascii="仿宋" w:eastAsia="仿宋" w:hAnsi="仿宋" w:cs="仿宋" w:hint="eastAsia"/>
            <w:lang w:eastAsia="zh-CN"/>
          </w:rPr>
          <w:t>(二)、高纯砷及氧化砷项目建设必要性分析</w:t>
        </w:r>
        <w:r>
          <w:tab/>
        </w:r>
        <w:r>
          <w:fldChar w:fldCharType="begin"/>
        </w:r>
        <w:r>
          <w:instrText xml:space="preserve"> PAGEREF _Toc22887 \h </w:instrText>
        </w:r>
        <w:r>
          <w:fldChar w:fldCharType="separate"/>
        </w:r>
        <w:r>
          <w:t>13</w:t>
        </w:r>
        <w:r>
          <w:fldChar w:fldCharType="end"/>
        </w:r>
      </w:hyperlink>
    </w:p>
    <w:p>
      <w:pPr>
        <w:pStyle w:val="TOC1"/>
        <w:tabs>
          <w:tab w:val="right" w:leader="dot" w:pos="8306"/>
        </w:tabs>
      </w:pPr>
      <w:hyperlink w:anchor="_Toc8395" w:history="1">
        <w:r>
          <w:rPr>
            <w:rFonts w:ascii="仿宋" w:eastAsia="仿宋" w:hAnsi="仿宋" w:cs="仿宋" w:hint="eastAsia"/>
            <w:lang w:eastAsia="zh-CN"/>
          </w:rPr>
          <w:t>四、高纯砷及氧化砷项目土建工程</w:t>
        </w:r>
        <w:r>
          <w:tab/>
        </w:r>
        <w:r>
          <w:fldChar w:fldCharType="begin"/>
        </w:r>
        <w:r>
          <w:instrText xml:space="preserve"> PAGEREF _Toc8395 \h </w:instrText>
        </w:r>
        <w:r>
          <w:fldChar w:fldCharType="separate"/>
        </w:r>
        <w:r>
          <w:t>15</w:t>
        </w:r>
        <w:r>
          <w:fldChar w:fldCharType="end"/>
        </w:r>
      </w:hyperlink>
    </w:p>
    <w:p>
      <w:pPr>
        <w:pStyle w:val="TOC2"/>
        <w:tabs>
          <w:tab w:val="right" w:leader="dot" w:pos="8306"/>
        </w:tabs>
      </w:pPr>
      <w:hyperlink w:anchor="_Toc3606" w:history="1">
        <w:r>
          <w:rPr>
            <w:rFonts w:ascii="仿宋" w:eastAsia="仿宋" w:hAnsi="仿宋" w:cs="仿宋" w:hint="eastAsia"/>
            <w:lang w:eastAsia="zh-CN"/>
          </w:rPr>
          <w:t>(一)、建筑工程设计原则</w:t>
        </w:r>
        <w:r>
          <w:tab/>
        </w:r>
        <w:r>
          <w:fldChar w:fldCharType="begin"/>
        </w:r>
        <w:r>
          <w:instrText xml:space="preserve"> PAGEREF _Toc3606 \h </w:instrText>
        </w:r>
        <w:r>
          <w:fldChar w:fldCharType="separate"/>
        </w:r>
        <w:r>
          <w:t>15</w:t>
        </w:r>
        <w:r>
          <w:fldChar w:fldCharType="end"/>
        </w:r>
      </w:hyperlink>
    </w:p>
    <w:p>
      <w:pPr>
        <w:pStyle w:val="TOC2"/>
        <w:tabs>
          <w:tab w:val="right" w:leader="dot" w:pos="8306"/>
        </w:tabs>
      </w:pPr>
      <w:hyperlink w:anchor="_Toc17473" w:history="1">
        <w:r>
          <w:rPr>
            <w:rFonts w:ascii="仿宋" w:eastAsia="仿宋" w:hAnsi="仿宋" w:cs="仿宋" w:hint="eastAsia"/>
            <w:lang w:eastAsia="zh-CN"/>
          </w:rPr>
          <w:t>(二)、土建工程设计年限及安全等级</w:t>
        </w:r>
        <w:r>
          <w:tab/>
        </w:r>
        <w:r>
          <w:fldChar w:fldCharType="begin"/>
        </w:r>
        <w:r>
          <w:instrText xml:space="preserve"> PAGEREF _Toc17473 \h </w:instrText>
        </w:r>
        <w:r>
          <w:fldChar w:fldCharType="separate"/>
        </w:r>
        <w:r>
          <w:t>16</w:t>
        </w:r>
        <w:r>
          <w:fldChar w:fldCharType="end"/>
        </w:r>
      </w:hyperlink>
    </w:p>
    <w:p>
      <w:pPr>
        <w:pStyle w:val="TOC2"/>
        <w:tabs>
          <w:tab w:val="right" w:leader="dot" w:pos="8306"/>
        </w:tabs>
      </w:pPr>
      <w:hyperlink w:anchor="_Toc3665" w:history="1">
        <w:r>
          <w:rPr>
            <w:rFonts w:ascii="仿宋" w:eastAsia="仿宋" w:hAnsi="仿宋" w:cs="仿宋" w:hint="eastAsia"/>
            <w:lang w:eastAsia="zh-CN"/>
          </w:rPr>
          <w:t>(三)、建筑工程设计总体要求</w:t>
        </w:r>
        <w:r>
          <w:tab/>
        </w:r>
        <w:r>
          <w:fldChar w:fldCharType="begin"/>
        </w:r>
        <w:r>
          <w:instrText xml:space="preserve"> PAGEREF _Toc3665 \h </w:instrText>
        </w:r>
        <w:r>
          <w:fldChar w:fldCharType="separate"/>
        </w:r>
        <w:r>
          <w:t>17</w:t>
        </w:r>
        <w:r>
          <w:fldChar w:fldCharType="end"/>
        </w:r>
      </w:hyperlink>
    </w:p>
    <w:p>
      <w:pPr>
        <w:pStyle w:val="TOC2"/>
        <w:tabs>
          <w:tab w:val="right" w:leader="dot" w:pos="8306"/>
        </w:tabs>
      </w:pPr>
      <w:hyperlink w:anchor="_Toc30296" w:history="1">
        <w:r>
          <w:rPr>
            <w:rFonts w:ascii="仿宋" w:eastAsia="仿宋" w:hAnsi="仿宋" w:cs="仿宋" w:hint="eastAsia"/>
            <w:lang w:eastAsia="zh-CN"/>
          </w:rPr>
          <w:t>(四)、土建工程建设指标</w:t>
        </w:r>
        <w:r>
          <w:tab/>
        </w:r>
        <w:r>
          <w:fldChar w:fldCharType="begin"/>
        </w:r>
        <w:r>
          <w:instrText xml:space="preserve"> PAGEREF _Toc30296 \h </w:instrText>
        </w:r>
        <w:r>
          <w:fldChar w:fldCharType="separate"/>
        </w:r>
        <w:r>
          <w:t>18</w:t>
        </w:r>
        <w:r>
          <w:fldChar w:fldCharType="end"/>
        </w:r>
      </w:hyperlink>
    </w:p>
    <w:p>
      <w:pPr>
        <w:pStyle w:val="TOC1"/>
        <w:tabs>
          <w:tab w:val="right" w:leader="dot" w:pos="8306"/>
        </w:tabs>
      </w:pPr>
      <w:hyperlink w:anchor="_Toc1992" w:history="1">
        <w:r>
          <w:rPr>
            <w:rFonts w:ascii="仿宋" w:eastAsia="仿宋" w:hAnsi="仿宋" w:cs="仿宋" w:hint="eastAsia"/>
            <w:lang w:eastAsia="zh-CN"/>
          </w:rPr>
          <w:t>五、产品规划分析</w:t>
        </w:r>
        <w:r>
          <w:tab/>
        </w:r>
        <w:r>
          <w:fldChar w:fldCharType="begin"/>
        </w:r>
        <w:r>
          <w:instrText xml:space="preserve"> PAGEREF _Toc1992 \h </w:instrText>
        </w:r>
        <w:r>
          <w:fldChar w:fldCharType="separate"/>
        </w:r>
        <w:r>
          <w:t>18</w:t>
        </w:r>
        <w:r>
          <w:fldChar w:fldCharType="end"/>
        </w:r>
      </w:hyperlink>
    </w:p>
    <w:p>
      <w:pPr>
        <w:pStyle w:val="TOC2"/>
        <w:tabs>
          <w:tab w:val="right" w:leader="dot" w:pos="8306"/>
        </w:tabs>
      </w:pPr>
      <w:hyperlink w:anchor="_Toc25182" w:history="1">
        <w:r>
          <w:rPr>
            <w:rFonts w:ascii="仿宋" w:eastAsia="仿宋" w:hAnsi="仿宋" w:cs="仿宋" w:hint="eastAsia"/>
            <w:lang w:eastAsia="zh-CN"/>
          </w:rPr>
          <w:t>(一)、产品规划</w:t>
        </w:r>
        <w:r>
          <w:tab/>
        </w:r>
        <w:r>
          <w:fldChar w:fldCharType="begin"/>
        </w:r>
        <w:r>
          <w:instrText xml:space="preserve"> PAGEREF _Toc25182 \h </w:instrText>
        </w:r>
        <w:r>
          <w:fldChar w:fldCharType="separate"/>
        </w:r>
        <w:r>
          <w:t>18</w:t>
        </w:r>
        <w:r>
          <w:fldChar w:fldCharType="end"/>
        </w:r>
      </w:hyperlink>
    </w:p>
    <w:p>
      <w:pPr>
        <w:pStyle w:val="TOC2"/>
        <w:tabs>
          <w:tab w:val="right" w:leader="dot" w:pos="8306"/>
        </w:tabs>
      </w:pPr>
      <w:hyperlink w:anchor="_Toc9120" w:history="1">
        <w:r>
          <w:rPr>
            <w:rFonts w:ascii="仿宋" w:eastAsia="仿宋" w:hAnsi="仿宋" w:cs="仿宋" w:hint="eastAsia"/>
            <w:lang w:eastAsia="zh-CN"/>
          </w:rPr>
          <w:t>(二)、建设规模</w:t>
        </w:r>
        <w:r>
          <w:tab/>
        </w:r>
        <w:r>
          <w:fldChar w:fldCharType="begin"/>
        </w:r>
        <w:r>
          <w:instrText xml:space="preserve"> PAGEREF _Toc9120 \h </w:instrText>
        </w:r>
        <w:r>
          <w:fldChar w:fldCharType="separate"/>
        </w:r>
        <w:r>
          <w:t>19</w:t>
        </w:r>
        <w:r>
          <w:fldChar w:fldCharType="end"/>
        </w:r>
      </w:hyperlink>
    </w:p>
    <w:p>
      <w:pPr>
        <w:pStyle w:val="TOC1"/>
        <w:tabs>
          <w:tab w:val="right" w:leader="dot" w:pos="8306"/>
        </w:tabs>
      </w:pPr>
      <w:hyperlink w:anchor="_Toc13242" w:history="1">
        <w:r>
          <w:rPr>
            <w:rFonts w:ascii="仿宋" w:eastAsia="仿宋" w:hAnsi="仿宋" w:cs="仿宋" w:hint="eastAsia"/>
            <w:lang w:eastAsia="zh-CN"/>
          </w:rPr>
          <w:t>六、工艺说明</w:t>
        </w:r>
        <w:r>
          <w:tab/>
        </w:r>
        <w:r>
          <w:fldChar w:fldCharType="begin"/>
        </w:r>
        <w:r>
          <w:instrText xml:space="preserve"> PAGEREF _Toc13242 \h </w:instrText>
        </w:r>
        <w:r>
          <w:fldChar w:fldCharType="separate"/>
        </w:r>
        <w:r>
          <w:t>20</w:t>
        </w:r>
        <w:r>
          <w:fldChar w:fldCharType="end"/>
        </w:r>
      </w:hyperlink>
    </w:p>
    <w:p>
      <w:pPr>
        <w:pStyle w:val="TOC2"/>
        <w:tabs>
          <w:tab w:val="right" w:leader="dot" w:pos="8306"/>
        </w:tabs>
      </w:pPr>
      <w:hyperlink w:anchor="_Toc29434" w:history="1">
        <w:r>
          <w:rPr>
            <w:rFonts w:ascii="仿宋" w:eastAsia="仿宋" w:hAnsi="仿宋" w:cs="仿宋" w:hint="eastAsia"/>
            <w:lang w:eastAsia="zh-CN"/>
          </w:rPr>
          <w:t>(一)、技术管理特点</w:t>
        </w:r>
        <w:r>
          <w:tab/>
        </w:r>
        <w:r>
          <w:fldChar w:fldCharType="begin"/>
        </w:r>
        <w:r>
          <w:instrText xml:space="preserve"> PAGEREF _Toc29434 \h </w:instrText>
        </w:r>
        <w:r>
          <w:fldChar w:fldCharType="separate"/>
        </w:r>
        <w:r>
          <w:t>20</w:t>
        </w:r>
        <w:r>
          <w:fldChar w:fldCharType="end"/>
        </w:r>
      </w:hyperlink>
    </w:p>
    <w:p>
      <w:pPr>
        <w:pStyle w:val="TOC2"/>
        <w:tabs>
          <w:tab w:val="right" w:leader="dot" w:pos="8306"/>
        </w:tabs>
      </w:pPr>
      <w:hyperlink w:anchor="_Toc25858" w:history="1">
        <w:r>
          <w:rPr>
            <w:rFonts w:ascii="仿宋" w:eastAsia="仿宋" w:hAnsi="仿宋" w:cs="仿宋" w:hint="eastAsia"/>
            <w:lang w:eastAsia="zh-CN"/>
          </w:rPr>
          <w:t>(二)、高纯砷及氧化砷项目工艺技术设计方案</w:t>
        </w:r>
        <w:r>
          <w:tab/>
        </w:r>
        <w:r>
          <w:fldChar w:fldCharType="begin"/>
        </w:r>
        <w:r>
          <w:instrText xml:space="preserve"> PAGEREF _Toc25858 \h </w:instrText>
        </w:r>
        <w:r>
          <w:fldChar w:fldCharType="separate"/>
        </w:r>
        <w:r>
          <w:t>21</w:t>
        </w:r>
        <w:r>
          <w:fldChar w:fldCharType="end"/>
        </w:r>
      </w:hyperlink>
    </w:p>
    <w:p>
      <w:pPr>
        <w:pStyle w:val="TOC2"/>
        <w:tabs>
          <w:tab w:val="right" w:leader="dot" w:pos="8306"/>
        </w:tabs>
      </w:pPr>
      <w:hyperlink w:anchor="_Toc17471" w:history="1">
        <w:r>
          <w:rPr>
            <w:rFonts w:ascii="仿宋" w:eastAsia="仿宋" w:hAnsi="仿宋" w:cs="仿宋" w:hint="eastAsia"/>
            <w:lang w:eastAsia="zh-CN"/>
          </w:rPr>
          <w:t>(三)、设备选型方案</w:t>
        </w:r>
        <w:r>
          <w:tab/>
        </w:r>
        <w:r>
          <w:fldChar w:fldCharType="begin"/>
        </w:r>
        <w:r>
          <w:instrText xml:space="preserve"> PAGEREF _Toc17471 \h </w:instrText>
        </w:r>
        <w:r>
          <w:fldChar w:fldCharType="separate"/>
        </w:r>
        <w:r>
          <w:t>22</w:t>
        </w:r>
        <w:r>
          <w:fldChar w:fldCharType="end"/>
        </w:r>
      </w:hyperlink>
    </w:p>
    <w:p>
      <w:pPr>
        <w:pStyle w:val="TOC1"/>
        <w:tabs>
          <w:tab w:val="right" w:leader="dot" w:pos="8306"/>
        </w:tabs>
      </w:pPr>
      <w:hyperlink w:anchor="_Toc30844" w:history="1">
        <w:r>
          <w:rPr>
            <w:rFonts w:ascii="仿宋" w:eastAsia="仿宋" w:hAnsi="仿宋" w:cs="仿宋" w:hint="eastAsia"/>
            <w:lang w:eastAsia="zh-CN"/>
          </w:rPr>
          <w:t>七、高纯砷及氧化砷项目投资规划</w:t>
        </w:r>
        <w:r>
          <w:tab/>
        </w:r>
        <w:r>
          <w:fldChar w:fldCharType="begin"/>
        </w:r>
        <w:r>
          <w:instrText xml:space="preserve"> PAGEREF _Toc30844 \h </w:instrText>
        </w:r>
        <w:r>
          <w:fldChar w:fldCharType="separate"/>
        </w:r>
        <w:r>
          <w:t>24</w:t>
        </w:r>
        <w:r>
          <w:fldChar w:fldCharType="end"/>
        </w:r>
      </w:hyperlink>
    </w:p>
    <w:p>
      <w:pPr>
        <w:pStyle w:val="TOC2"/>
        <w:tabs>
          <w:tab w:val="right" w:leader="dot" w:pos="8306"/>
        </w:tabs>
      </w:pPr>
      <w:hyperlink w:anchor="_Toc20504" w:history="1">
        <w:r>
          <w:rPr>
            <w:rFonts w:ascii="仿宋" w:eastAsia="仿宋" w:hAnsi="仿宋" w:cs="仿宋" w:hint="eastAsia"/>
            <w:lang w:eastAsia="zh-CN"/>
          </w:rPr>
          <w:t>(一)、高纯砷及氧化砷项目总投资估算</w:t>
        </w:r>
        <w:r>
          <w:tab/>
        </w:r>
        <w:r>
          <w:fldChar w:fldCharType="begin"/>
        </w:r>
        <w:r>
          <w:instrText xml:space="preserve"> PAGEREF _Toc20504 \h </w:instrText>
        </w:r>
        <w:r>
          <w:fldChar w:fldCharType="separate"/>
        </w:r>
        <w:r>
          <w:t>24</w:t>
        </w:r>
        <w:r>
          <w:fldChar w:fldCharType="end"/>
        </w:r>
      </w:hyperlink>
    </w:p>
    <w:p>
      <w:pPr>
        <w:pStyle w:val="TOC2"/>
        <w:tabs>
          <w:tab w:val="right" w:leader="dot" w:pos="8306"/>
        </w:tabs>
      </w:pPr>
      <w:hyperlink w:anchor="_Toc28093" w:history="1">
        <w:r>
          <w:rPr>
            <w:rFonts w:ascii="仿宋" w:eastAsia="仿宋" w:hAnsi="仿宋" w:cs="仿宋" w:hint="eastAsia"/>
            <w:lang w:eastAsia="zh-CN"/>
          </w:rPr>
          <w:t>(二)、资金筹措</w:t>
        </w:r>
        <w:r>
          <w:tab/>
        </w:r>
        <w:r>
          <w:fldChar w:fldCharType="begin"/>
        </w:r>
        <w:r>
          <w:instrText xml:space="preserve"> PAGEREF _Toc28093 \h </w:instrText>
        </w:r>
        <w:r>
          <w:fldChar w:fldCharType="separate"/>
        </w:r>
        <w:r>
          <w:t>25</w:t>
        </w:r>
        <w:r>
          <w:fldChar w:fldCharType="end"/>
        </w:r>
      </w:hyperlink>
    </w:p>
    <w:p>
      <w:pPr>
        <w:pStyle w:val="TOC1"/>
        <w:tabs>
          <w:tab w:val="right" w:leader="dot" w:pos="8306"/>
        </w:tabs>
      </w:pPr>
      <w:hyperlink w:anchor="_Toc25356" w:history="1">
        <w:r>
          <w:rPr>
            <w:rFonts w:ascii="仿宋" w:eastAsia="仿宋" w:hAnsi="仿宋" w:cs="仿宋" w:hint="eastAsia"/>
            <w:lang w:eastAsia="zh-CN"/>
          </w:rPr>
          <w:t>八、高纯砷及氧化砷项目社会影响</w:t>
        </w:r>
        <w:r>
          <w:tab/>
        </w:r>
        <w:r>
          <w:fldChar w:fldCharType="begin"/>
        </w:r>
        <w:r>
          <w:instrText xml:space="preserve"> PAGEREF _Toc25356 \h </w:instrText>
        </w:r>
        <w:r>
          <w:fldChar w:fldCharType="separate"/>
        </w:r>
        <w:r>
          <w:t>26</w:t>
        </w:r>
        <w:r>
          <w:fldChar w:fldCharType="end"/>
        </w:r>
      </w:hyperlink>
    </w:p>
    <w:p>
      <w:pPr>
        <w:pStyle w:val="TOC2"/>
        <w:tabs>
          <w:tab w:val="right" w:leader="dot" w:pos="8306"/>
        </w:tabs>
      </w:pPr>
      <w:hyperlink w:anchor="_Toc9556" w:history="1">
        <w:r>
          <w:rPr>
            <w:rFonts w:ascii="仿宋" w:eastAsia="仿宋" w:hAnsi="仿宋" w:cs="仿宋" w:hint="eastAsia"/>
            <w:lang w:eastAsia="zh-CN"/>
          </w:rPr>
          <w:t>(一)、社会责任与义务</w:t>
        </w:r>
        <w:r>
          <w:tab/>
        </w:r>
        <w:r>
          <w:fldChar w:fldCharType="begin"/>
        </w:r>
        <w:r>
          <w:instrText xml:space="preserve"> PAGEREF _Toc9556 \h </w:instrText>
        </w:r>
        <w:r>
          <w:fldChar w:fldCharType="separate"/>
        </w:r>
        <w:r>
          <w:t>26</w:t>
        </w:r>
        <w:r>
          <w:fldChar w:fldCharType="end"/>
        </w:r>
      </w:hyperlink>
    </w:p>
    <w:p>
      <w:pPr>
        <w:pStyle w:val="TOC2"/>
        <w:tabs>
          <w:tab w:val="right" w:leader="dot" w:pos="8306"/>
        </w:tabs>
      </w:pPr>
      <w:hyperlink w:anchor="_Toc4368" w:history="1">
        <w:r>
          <w:rPr>
            <w:rFonts w:ascii="仿宋" w:eastAsia="仿宋" w:hAnsi="仿宋" w:cs="仿宋" w:hint="eastAsia"/>
            <w:lang w:eastAsia="zh-CN"/>
          </w:rPr>
          <w:t>(二)、社会参与与沟通</w:t>
        </w:r>
        <w:r>
          <w:tab/>
        </w:r>
        <w:r>
          <w:fldChar w:fldCharType="begin"/>
        </w:r>
        <w:r>
          <w:instrText xml:space="preserve"> PAGEREF _Toc4368 \h </w:instrText>
        </w:r>
        <w:r>
          <w:fldChar w:fldCharType="separate"/>
        </w:r>
        <w:r>
          <w:t>27</w:t>
        </w:r>
        <w:r>
          <w:fldChar w:fldCharType="end"/>
        </w:r>
      </w:hyperlink>
    </w:p>
    <w:p>
      <w:pPr>
        <w:pStyle w:val="TOC1"/>
        <w:tabs>
          <w:tab w:val="right" w:leader="dot" w:pos="8306"/>
        </w:tabs>
      </w:pPr>
      <w:hyperlink w:anchor="_Toc10901" w:history="1">
        <w:r>
          <w:rPr>
            <w:rFonts w:ascii="仿宋" w:eastAsia="仿宋" w:hAnsi="仿宋" w:cs="仿宋" w:hint="eastAsia"/>
            <w:lang w:eastAsia="zh-CN"/>
          </w:rPr>
          <w:t>九、高纯砷及氧化砷项目经营效益</w:t>
        </w:r>
        <w:r>
          <w:tab/>
        </w:r>
        <w:r>
          <w:fldChar w:fldCharType="begin"/>
        </w:r>
        <w:r>
          <w:instrText xml:space="preserve"> PAGEREF _Toc10901 \h </w:instrText>
        </w:r>
        <w:r>
          <w:fldChar w:fldCharType="separate"/>
        </w:r>
        <w:r>
          <w:t>27</w:t>
        </w:r>
        <w:r>
          <w:fldChar w:fldCharType="end"/>
        </w:r>
      </w:hyperlink>
    </w:p>
    <w:p>
      <w:pPr>
        <w:pStyle w:val="TOC2"/>
        <w:tabs>
          <w:tab w:val="right" w:leader="dot" w:pos="8306"/>
        </w:tabs>
      </w:pPr>
      <w:hyperlink w:anchor="_Toc10892" w:history="1">
        <w:r>
          <w:rPr>
            <w:rFonts w:ascii="仿宋" w:eastAsia="仿宋" w:hAnsi="仿宋" w:cs="仿宋" w:hint="eastAsia"/>
            <w:lang w:eastAsia="zh-CN"/>
          </w:rPr>
          <w:t>(一)、经济评价财务测算</w:t>
        </w:r>
        <w:r>
          <w:tab/>
        </w:r>
        <w:r>
          <w:fldChar w:fldCharType="begin"/>
        </w:r>
        <w:r>
          <w:instrText xml:space="preserve"> PAGEREF _Toc10892 \h </w:instrText>
        </w:r>
        <w:r>
          <w:fldChar w:fldCharType="separate"/>
        </w:r>
        <w:r>
          <w:t>27</w:t>
        </w:r>
        <w:r>
          <w:fldChar w:fldCharType="end"/>
        </w:r>
      </w:hyperlink>
    </w:p>
    <w:p>
      <w:pPr>
        <w:pStyle w:val="TOC2"/>
        <w:tabs>
          <w:tab w:val="right" w:leader="dot" w:pos="8306"/>
        </w:tabs>
      </w:pPr>
      <w:hyperlink w:anchor="_Toc23814" w:history="1">
        <w:r>
          <w:rPr>
            <w:rFonts w:ascii="仿宋" w:eastAsia="仿宋" w:hAnsi="仿宋" w:cs="仿宋" w:hint="eastAsia"/>
            <w:lang w:eastAsia="zh-CN"/>
          </w:rPr>
          <w:t>(二)、高纯砷及氧化砷项目盈利能力分析</w:t>
        </w:r>
        <w:r>
          <w:tab/>
        </w:r>
        <w:r>
          <w:fldChar w:fldCharType="begin"/>
        </w:r>
        <w:r>
          <w:instrText xml:space="preserve"> PAGEREF _Toc23814 \h </w:instrText>
        </w:r>
        <w:r>
          <w:fldChar w:fldCharType="separate"/>
        </w:r>
        <w:r>
          <w:t>29</w:t>
        </w:r>
        <w:r>
          <w:fldChar w:fldCharType="end"/>
        </w:r>
      </w:hyperlink>
    </w:p>
    <w:p>
      <w:pPr>
        <w:pStyle w:val="TOC1"/>
        <w:tabs>
          <w:tab w:val="right" w:leader="dot" w:pos="8306"/>
        </w:tabs>
      </w:pPr>
      <w:hyperlink w:anchor="_Toc9897" w:history="1">
        <w:r>
          <w:rPr>
            <w:rFonts w:ascii="仿宋" w:eastAsia="仿宋" w:hAnsi="仿宋" w:cs="仿宋" w:hint="eastAsia"/>
            <w:lang w:eastAsia="zh-CN"/>
          </w:rPr>
          <w:t>十、生产安全保护</w:t>
        </w:r>
        <w:r>
          <w:tab/>
        </w:r>
        <w:r>
          <w:fldChar w:fldCharType="begin"/>
        </w:r>
        <w:r>
          <w:instrText xml:space="preserve"> PAGEREF _Toc9897 \h </w:instrText>
        </w:r>
        <w:r>
          <w:fldChar w:fldCharType="separate"/>
        </w:r>
        <w:r>
          <w:t>30</w:t>
        </w:r>
        <w:r>
          <w:fldChar w:fldCharType="end"/>
        </w:r>
      </w:hyperlink>
    </w:p>
    <w:p>
      <w:pPr>
        <w:pStyle w:val="TOC2"/>
        <w:tabs>
          <w:tab w:val="right" w:leader="dot" w:pos="8306"/>
        </w:tabs>
      </w:pPr>
      <w:hyperlink w:anchor="_Toc32258" w:history="1">
        <w:r>
          <w:rPr>
            <w:rFonts w:ascii="仿宋" w:eastAsia="仿宋" w:hAnsi="仿宋" w:cs="仿宋" w:hint="eastAsia"/>
            <w:lang w:eastAsia="zh-CN"/>
          </w:rPr>
          <w:t>(一)、消防安全</w:t>
        </w:r>
        <w:r>
          <w:tab/>
        </w:r>
        <w:r>
          <w:fldChar w:fldCharType="begin"/>
        </w:r>
        <w:r>
          <w:instrText xml:space="preserve"> PAGEREF _Toc32258 \h </w:instrText>
        </w:r>
        <w:r>
          <w:fldChar w:fldCharType="separate"/>
        </w:r>
        <w:r>
          <w:t>30</w:t>
        </w:r>
        <w:r>
          <w:fldChar w:fldCharType="end"/>
        </w:r>
      </w:hyperlink>
    </w:p>
    <w:p>
      <w:pPr>
        <w:pStyle w:val="TOC2"/>
        <w:tabs>
          <w:tab w:val="right" w:leader="dot" w:pos="8306"/>
        </w:tabs>
      </w:pPr>
      <w:hyperlink w:anchor="_Toc5341" w:history="1">
        <w:r>
          <w:rPr>
            <w:rFonts w:ascii="仿宋" w:eastAsia="仿宋" w:hAnsi="仿宋" w:cs="仿宋" w:hint="eastAsia"/>
            <w:lang w:eastAsia="zh-CN"/>
          </w:rPr>
          <w:t>(二)、防火防爆总图布置措施</w:t>
        </w:r>
        <w:r>
          <w:tab/>
        </w:r>
        <w:r>
          <w:fldChar w:fldCharType="begin"/>
        </w:r>
        <w:r>
          <w:instrText xml:space="preserve"> PAGEREF _Toc5341 \h </w:instrText>
        </w:r>
        <w:r>
          <w:fldChar w:fldCharType="separate"/>
        </w:r>
        <w:r>
          <w:t>31</w:t>
        </w:r>
        <w:r>
          <w:fldChar w:fldCharType="end"/>
        </w:r>
      </w:hyperlink>
    </w:p>
    <w:p>
      <w:pPr>
        <w:pStyle w:val="TOC2"/>
        <w:tabs>
          <w:tab w:val="right" w:leader="dot" w:pos="8306"/>
        </w:tabs>
      </w:pPr>
      <w:hyperlink w:anchor="_Toc3205" w:history="1">
        <w:r>
          <w:rPr>
            <w:rFonts w:ascii="仿宋" w:eastAsia="仿宋" w:hAnsi="仿宋" w:cs="仿宋" w:hint="eastAsia"/>
            <w:lang w:eastAsia="zh-CN"/>
          </w:rPr>
          <w:t>(三)、自然灾害防范措施</w:t>
        </w:r>
        <w:r>
          <w:tab/>
        </w:r>
        <w:r>
          <w:fldChar w:fldCharType="begin"/>
        </w:r>
        <w:r>
          <w:instrText xml:space="preserve"> PAGEREF _Toc3205 \h </w:instrText>
        </w:r>
        <w:r>
          <w:fldChar w:fldCharType="separate"/>
        </w:r>
        <w:r>
          <w:t>32</w:t>
        </w:r>
        <w:r>
          <w:fldChar w:fldCharType="end"/>
        </w:r>
      </w:hyperlink>
    </w:p>
    <w:p>
      <w:pPr>
        <w:pStyle w:val="TOC2"/>
        <w:tabs>
          <w:tab w:val="right" w:leader="dot" w:pos="8306"/>
        </w:tabs>
      </w:pPr>
      <w:hyperlink w:anchor="_Toc30741" w:history="1">
        <w:r>
          <w:rPr>
            <w:rFonts w:ascii="仿宋" w:eastAsia="仿宋" w:hAnsi="仿宋" w:cs="仿宋" w:hint="eastAsia"/>
            <w:lang w:eastAsia="zh-CN"/>
          </w:rPr>
          <w:t>(四)、安全色及安全标志使用要求</w:t>
        </w:r>
        <w:r>
          <w:tab/>
        </w:r>
        <w:r>
          <w:fldChar w:fldCharType="begin"/>
        </w:r>
        <w:r>
          <w:instrText xml:space="preserve"> PAGEREF _Toc30741 \h </w:instrText>
        </w:r>
        <w:r>
          <w:fldChar w:fldCharType="separate"/>
        </w:r>
        <w:r>
          <w:t>33</w:t>
        </w:r>
        <w:r>
          <w:fldChar w:fldCharType="end"/>
        </w:r>
      </w:hyperlink>
    </w:p>
    <w:p>
      <w:pPr>
        <w:pStyle w:val="TOC2"/>
        <w:tabs>
          <w:tab w:val="right" w:leader="dot" w:pos="8306"/>
        </w:tabs>
      </w:pPr>
      <w:hyperlink w:anchor="_Toc26685" w:history="1">
        <w:r>
          <w:rPr>
            <w:rFonts w:ascii="仿宋" w:eastAsia="仿宋" w:hAnsi="仿宋" w:cs="仿宋" w:hint="eastAsia"/>
            <w:lang w:eastAsia="zh-CN"/>
          </w:rPr>
          <w:t>(五)、防尘防毒措施</w:t>
        </w:r>
        <w:r>
          <w:tab/>
        </w:r>
        <w:r>
          <w:fldChar w:fldCharType="begin"/>
        </w:r>
        <w:r>
          <w:instrText xml:space="preserve"> PAGEREF _Toc26685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64" w:history="1">
        <w:r>
          <w:rPr>
            <w:rFonts w:ascii="仿宋" w:eastAsia="仿宋" w:hAnsi="仿宋" w:cs="仿宋" w:hint="eastAsia"/>
            <w:lang w:eastAsia="zh-CN"/>
          </w:rPr>
          <w:t>(六)、防静电、触电防护及防雷措施</w:t>
        </w:r>
        <w:r>
          <w:tab/>
        </w:r>
        <w:r>
          <w:fldChar w:fldCharType="begin"/>
        </w:r>
        <w:r>
          <w:instrText xml:space="preserve"> PAGEREF _Toc16364 \h </w:instrText>
        </w:r>
        <w:r>
          <w:fldChar w:fldCharType="separate"/>
        </w:r>
        <w:r>
          <w:t>35</w:t>
        </w:r>
        <w:r>
          <w:fldChar w:fldCharType="end"/>
        </w:r>
      </w:hyperlink>
    </w:p>
    <w:p>
      <w:pPr>
        <w:pStyle w:val="TOC2"/>
        <w:tabs>
          <w:tab w:val="right" w:leader="dot" w:pos="8306"/>
        </w:tabs>
      </w:pPr>
      <w:hyperlink w:anchor="_Toc15963" w:history="1">
        <w:r>
          <w:rPr>
            <w:rFonts w:ascii="仿宋" w:eastAsia="仿宋" w:hAnsi="仿宋" w:cs="仿宋" w:hint="eastAsia"/>
            <w:lang w:eastAsia="zh-CN"/>
          </w:rPr>
          <w:t>(七)、机械设备安全保障措施</w:t>
        </w:r>
        <w:r>
          <w:tab/>
        </w:r>
        <w:r>
          <w:fldChar w:fldCharType="begin"/>
        </w:r>
        <w:r>
          <w:instrText xml:space="preserve"> PAGEREF _Toc15963 \h </w:instrText>
        </w:r>
        <w:r>
          <w:fldChar w:fldCharType="separate"/>
        </w:r>
        <w:r>
          <w:t>36</w:t>
        </w:r>
        <w:r>
          <w:fldChar w:fldCharType="end"/>
        </w:r>
      </w:hyperlink>
    </w:p>
    <w:p>
      <w:pPr>
        <w:pStyle w:val="TOC1"/>
        <w:tabs>
          <w:tab w:val="right" w:leader="dot" w:pos="8306"/>
        </w:tabs>
      </w:pPr>
      <w:hyperlink w:anchor="_Toc30921" w:history="1">
        <w:r>
          <w:rPr>
            <w:rFonts w:ascii="仿宋" w:eastAsia="仿宋" w:hAnsi="仿宋" w:cs="仿宋" w:hint="eastAsia"/>
            <w:lang w:eastAsia="zh-CN"/>
          </w:rPr>
          <w:t>十一、高纯砷及氧化砷项目技术管理</w:t>
        </w:r>
        <w:r>
          <w:tab/>
        </w:r>
        <w:r>
          <w:fldChar w:fldCharType="begin"/>
        </w:r>
        <w:r>
          <w:instrText xml:space="preserve"> PAGEREF _Toc30921 \h </w:instrText>
        </w:r>
        <w:r>
          <w:fldChar w:fldCharType="separate"/>
        </w:r>
        <w:r>
          <w:t>38</w:t>
        </w:r>
        <w:r>
          <w:fldChar w:fldCharType="end"/>
        </w:r>
      </w:hyperlink>
    </w:p>
    <w:p>
      <w:pPr>
        <w:pStyle w:val="TOC2"/>
        <w:tabs>
          <w:tab w:val="right" w:leader="dot" w:pos="8306"/>
        </w:tabs>
      </w:pPr>
      <w:hyperlink w:anchor="_Toc5562" w:history="1">
        <w:r>
          <w:rPr>
            <w:rFonts w:ascii="仿宋" w:eastAsia="仿宋" w:hAnsi="仿宋" w:cs="仿宋" w:hint="eastAsia"/>
            <w:lang w:eastAsia="zh-CN"/>
          </w:rPr>
          <w:t>(一)、技术方案选用方向</w:t>
        </w:r>
        <w:r>
          <w:tab/>
        </w:r>
        <w:r>
          <w:fldChar w:fldCharType="begin"/>
        </w:r>
        <w:r>
          <w:instrText xml:space="preserve"> PAGEREF _Toc5562 \h </w:instrText>
        </w:r>
        <w:r>
          <w:fldChar w:fldCharType="separate"/>
        </w:r>
        <w:r>
          <w:t>38</w:t>
        </w:r>
        <w:r>
          <w:fldChar w:fldCharType="end"/>
        </w:r>
      </w:hyperlink>
    </w:p>
    <w:p>
      <w:pPr>
        <w:pStyle w:val="TOC2"/>
        <w:tabs>
          <w:tab w:val="right" w:leader="dot" w:pos="8306"/>
        </w:tabs>
      </w:pPr>
      <w:hyperlink w:anchor="_Toc20968" w:history="1">
        <w:r>
          <w:rPr>
            <w:rFonts w:ascii="仿宋" w:eastAsia="仿宋" w:hAnsi="仿宋" w:cs="仿宋" w:hint="eastAsia"/>
            <w:lang w:eastAsia="zh-CN"/>
          </w:rPr>
          <w:t>(二)、工艺技术方案选用原则</w:t>
        </w:r>
        <w:r>
          <w:tab/>
        </w:r>
        <w:r>
          <w:fldChar w:fldCharType="begin"/>
        </w:r>
        <w:r>
          <w:instrText xml:space="preserve"> PAGEREF _Toc20968 \h </w:instrText>
        </w:r>
        <w:r>
          <w:fldChar w:fldCharType="separate"/>
        </w:r>
        <w:r>
          <w:t>40</w:t>
        </w:r>
        <w:r>
          <w:fldChar w:fldCharType="end"/>
        </w:r>
      </w:hyperlink>
    </w:p>
    <w:p>
      <w:pPr>
        <w:pStyle w:val="TOC2"/>
        <w:tabs>
          <w:tab w:val="right" w:leader="dot" w:pos="8306"/>
        </w:tabs>
      </w:pPr>
      <w:hyperlink w:anchor="_Toc15692" w:history="1">
        <w:r>
          <w:rPr>
            <w:rFonts w:ascii="仿宋" w:eastAsia="仿宋" w:hAnsi="仿宋" w:cs="仿宋" w:hint="eastAsia"/>
            <w:lang w:eastAsia="zh-CN"/>
          </w:rPr>
          <w:t>(三)、工艺技术方案要求</w:t>
        </w:r>
        <w:r>
          <w:tab/>
        </w:r>
        <w:r>
          <w:fldChar w:fldCharType="begin"/>
        </w:r>
        <w:r>
          <w:instrText xml:space="preserve"> PAGEREF _Toc15692 \h </w:instrText>
        </w:r>
        <w:r>
          <w:fldChar w:fldCharType="separate"/>
        </w:r>
        <w:r>
          <w:t>42</w:t>
        </w:r>
        <w:r>
          <w:fldChar w:fldCharType="end"/>
        </w:r>
      </w:hyperlink>
    </w:p>
    <w:p>
      <w:pPr>
        <w:pStyle w:val="TOC1"/>
        <w:tabs>
          <w:tab w:val="right" w:leader="dot" w:pos="8306"/>
        </w:tabs>
      </w:pPr>
      <w:hyperlink w:anchor="_Toc20620" w:history="1">
        <w:r>
          <w:rPr>
            <w:rFonts w:ascii="仿宋" w:eastAsia="仿宋" w:hAnsi="仿宋" w:cs="仿宋" w:hint="eastAsia"/>
            <w:lang w:eastAsia="zh-CN"/>
          </w:rPr>
          <w:t>十二、高纯砷及氧化砷项目创新与研发</w:t>
        </w:r>
        <w:r>
          <w:tab/>
        </w:r>
        <w:r>
          <w:fldChar w:fldCharType="begin"/>
        </w:r>
        <w:r>
          <w:instrText xml:space="preserve"> PAGEREF _Toc20620 \h </w:instrText>
        </w:r>
        <w:r>
          <w:fldChar w:fldCharType="separate"/>
        </w:r>
        <w:r>
          <w:t>44</w:t>
        </w:r>
        <w:r>
          <w:fldChar w:fldCharType="end"/>
        </w:r>
      </w:hyperlink>
    </w:p>
    <w:p>
      <w:pPr>
        <w:pStyle w:val="TOC2"/>
        <w:tabs>
          <w:tab w:val="right" w:leader="dot" w:pos="8306"/>
        </w:tabs>
      </w:pPr>
      <w:hyperlink w:anchor="_Toc14067" w:history="1">
        <w:r>
          <w:rPr>
            <w:rFonts w:ascii="仿宋" w:eastAsia="仿宋" w:hAnsi="仿宋" w:cs="仿宋" w:hint="eastAsia"/>
            <w:lang w:eastAsia="zh-CN"/>
          </w:rPr>
          <w:t>(一)、创新策略与方向</w:t>
        </w:r>
        <w:r>
          <w:tab/>
        </w:r>
        <w:r>
          <w:fldChar w:fldCharType="begin"/>
        </w:r>
        <w:r>
          <w:instrText xml:space="preserve"> PAGEREF _Toc14067 \h </w:instrText>
        </w:r>
        <w:r>
          <w:fldChar w:fldCharType="separate"/>
        </w:r>
        <w:r>
          <w:t>44</w:t>
        </w:r>
        <w:r>
          <w:fldChar w:fldCharType="end"/>
        </w:r>
      </w:hyperlink>
    </w:p>
    <w:p>
      <w:pPr>
        <w:pStyle w:val="TOC2"/>
        <w:tabs>
          <w:tab w:val="right" w:leader="dot" w:pos="8306"/>
        </w:tabs>
      </w:pPr>
      <w:hyperlink w:anchor="_Toc502" w:history="1">
        <w:r>
          <w:rPr>
            <w:rFonts w:ascii="仿宋" w:eastAsia="仿宋" w:hAnsi="仿宋" w:cs="仿宋" w:hint="eastAsia"/>
            <w:lang w:eastAsia="zh-CN"/>
          </w:rPr>
          <w:t>(二)、研发规划与投入</w:t>
        </w:r>
        <w:r>
          <w:tab/>
        </w:r>
        <w:r>
          <w:fldChar w:fldCharType="begin"/>
        </w:r>
        <w:r>
          <w:instrText xml:space="preserve"> PAGEREF _Toc502 \h </w:instrText>
        </w:r>
        <w:r>
          <w:fldChar w:fldCharType="separate"/>
        </w:r>
        <w:r>
          <w:t>46</w:t>
        </w:r>
        <w:r>
          <w:fldChar w:fldCharType="end"/>
        </w:r>
      </w:hyperlink>
    </w:p>
    <w:p>
      <w:pPr>
        <w:pStyle w:val="TOC1"/>
        <w:tabs>
          <w:tab w:val="right" w:leader="dot" w:pos="8306"/>
        </w:tabs>
      </w:pPr>
      <w:hyperlink w:anchor="_Toc18998" w:history="1">
        <w:r>
          <w:rPr>
            <w:rFonts w:ascii="仿宋" w:eastAsia="仿宋" w:hAnsi="仿宋" w:cs="仿宋" w:hint="eastAsia"/>
            <w:lang w:eastAsia="zh-CN"/>
          </w:rPr>
          <w:t>十三、高纯砷及氧化砷项目工程方案分析</w:t>
        </w:r>
        <w:r>
          <w:tab/>
        </w:r>
        <w:r>
          <w:fldChar w:fldCharType="begin"/>
        </w:r>
        <w:r>
          <w:instrText xml:space="preserve"> PAGEREF _Toc18998 \h </w:instrText>
        </w:r>
        <w:r>
          <w:fldChar w:fldCharType="separate"/>
        </w:r>
        <w:r>
          <w:t>47</w:t>
        </w:r>
        <w:r>
          <w:fldChar w:fldCharType="end"/>
        </w:r>
      </w:hyperlink>
    </w:p>
    <w:p>
      <w:pPr>
        <w:pStyle w:val="TOC2"/>
        <w:tabs>
          <w:tab w:val="right" w:leader="dot" w:pos="8306"/>
        </w:tabs>
      </w:pPr>
      <w:hyperlink w:anchor="_Toc18894" w:history="1">
        <w:r>
          <w:rPr>
            <w:rFonts w:ascii="仿宋" w:eastAsia="仿宋" w:hAnsi="仿宋" w:cs="仿宋" w:hint="eastAsia"/>
            <w:lang w:eastAsia="zh-CN"/>
          </w:rPr>
          <w:t>(一)、建筑工程设计原则</w:t>
        </w:r>
        <w:r>
          <w:tab/>
        </w:r>
        <w:r>
          <w:fldChar w:fldCharType="begin"/>
        </w:r>
        <w:r>
          <w:instrText xml:space="preserve"> PAGEREF _Toc18894 \h </w:instrText>
        </w:r>
        <w:r>
          <w:fldChar w:fldCharType="separate"/>
        </w:r>
        <w:r>
          <w:t>47</w:t>
        </w:r>
        <w:r>
          <w:fldChar w:fldCharType="end"/>
        </w:r>
      </w:hyperlink>
    </w:p>
    <w:p>
      <w:pPr>
        <w:pStyle w:val="TOC2"/>
        <w:tabs>
          <w:tab w:val="right" w:leader="dot" w:pos="8306"/>
        </w:tabs>
      </w:pPr>
      <w:hyperlink w:anchor="_Toc1384" w:history="1">
        <w:r>
          <w:rPr>
            <w:rFonts w:ascii="仿宋" w:eastAsia="仿宋" w:hAnsi="仿宋" w:cs="仿宋" w:hint="eastAsia"/>
            <w:lang w:eastAsia="zh-CN"/>
          </w:rPr>
          <w:t>(二)、土建工程建设指标</w:t>
        </w:r>
        <w:r>
          <w:tab/>
        </w:r>
        <w:r>
          <w:fldChar w:fldCharType="begin"/>
        </w:r>
        <w:r>
          <w:instrText xml:space="preserve"> PAGEREF _Toc1384 \h </w:instrText>
        </w:r>
        <w:r>
          <w:fldChar w:fldCharType="separate"/>
        </w:r>
        <w:r>
          <w:t>51</w:t>
        </w:r>
        <w:r>
          <w:fldChar w:fldCharType="end"/>
        </w:r>
      </w:hyperlink>
    </w:p>
    <w:p>
      <w:pPr>
        <w:pStyle w:val="TOC1"/>
        <w:tabs>
          <w:tab w:val="right" w:leader="dot" w:pos="8306"/>
        </w:tabs>
      </w:pPr>
      <w:hyperlink w:anchor="_Toc6438" w:history="1">
        <w:r>
          <w:rPr>
            <w:rFonts w:ascii="仿宋" w:eastAsia="仿宋" w:hAnsi="仿宋" w:cs="仿宋" w:hint="eastAsia"/>
            <w:lang w:eastAsia="zh-CN"/>
          </w:rPr>
          <w:t>十四、利益相关者分析与沟通计划</w:t>
        </w:r>
        <w:r>
          <w:tab/>
        </w:r>
        <w:r>
          <w:fldChar w:fldCharType="begin"/>
        </w:r>
        <w:r>
          <w:instrText xml:space="preserve"> PAGEREF _Toc6438 \h </w:instrText>
        </w:r>
        <w:r>
          <w:fldChar w:fldCharType="separate"/>
        </w:r>
        <w:r>
          <w:t>52</w:t>
        </w:r>
        <w:r>
          <w:fldChar w:fldCharType="end"/>
        </w:r>
      </w:hyperlink>
    </w:p>
    <w:p>
      <w:pPr>
        <w:pStyle w:val="TOC2"/>
        <w:tabs>
          <w:tab w:val="right" w:leader="dot" w:pos="8306"/>
        </w:tabs>
      </w:pPr>
      <w:hyperlink w:anchor="_Toc26940" w:history="1">
        <w:r>
          <w:rPr>
            <w:rFonts w:ascii="仿宋" w:eastAsia="仿宋" w:hAnsi="仿宋" w:cs="仿宋" w:hint="eastAsia"/>
            <w:lang w:eastAsia="zh-CN"/>
          </w:rPr>
          <w:t>(一)、利益相关者分析</w:t>
        </w:r>
        <w:r>
          <w:tab/>
        </w:r>
        <w:r>
          <w:fldChar w:fldCharType="begin"/>
        </w:r>
        <w:r>
          <w:instrText xml:space="preserve"> PAGEREF _Toc26940 \h </w:instrText>
        </w:r>
        <w:r>
          <w:fldChar w:fldCharType="separate"/>
        </w:r>
        <w:r>
          <w:t>52</w:t>
        </w:r>
        <w:r>
          <w:fldChar w:fldCharType="end"/>
        </w:r>
      </w:hyperlink>
    </w:p>
    <w:p>
      <w:pPr>
        <w:pStyle w:val="TOC2"/>
        <w:tabs>
          <w:tab w:val="right" w:leader="dot" w:pos="8306"/>
        </w:tabs>
      </w:pPr>
      <w:hyperlink w:anchor="_Toc31292" w:history="1">
        <w:r>
          <w:rPr>
            <w:rFonts w:ascii="仿宋" w:eastAsia="仿宋" w:hAnsi="仿宋" w:cs="仿宋" w:hint="eastAsia"/>
            <w:lang w:eastAsia="zh-CN"/>
          </w:rPr>
          <w:t>(二)、沟通计划</w:t>
        </w:r>
        <w:r>
          <w:tab/>
        </w:r>
        <w:r>
          <w:fldChar w:fldCharType="begin"/>
        </w:r>
        <w:r>
          <w:instrText xml:space="preserve"> PAGEREF _Toc31292 \h </w:instrText>
        </w:r>
        <w:r>
          <w:fldChar w:fldCharType="separate"/>
        </w:r>
        <w:r>
          <w:t>53</w:t>
        </w:r>
        <w:r>
          <w:fldChar w:fldCharType="end"/>
        </w:r>
      </w:hyperlink>
    </w:p>
    <w:p>
      <w:pPr>
        <w:pStyle w:val="TOC1"/>
        <w:tabs>
          <w:tab w:val="right" w:leader="dot" w:pos="8306"/>
        </w:tabs>
      </w:pPr>
      <w:hyperlink w:anchor="_Toc6628" w:history="1">
        <w:r>
          <w:rPr>
            <w:rFonts w:ascii="仿宋" w:eastAsia="仿宋" w:hAnsi="仿宋" w:cs="仿宋" w:hint="eastAsia"/>
            <w:lang w:eastAsia="zh-CN"/>
          </w:rPr>
          <w:t>十五、高纯砷及氧化砷项目实施保障措施</w:t>
        </w:r>
        <w:r>
          <w:tab/>
        </w:r>
        <w:r>
          <w:fldChar w:fldCharType="begin"/>
        </w:r>
        <w:r>
          <w:instrText xml:space="preserve"> PAGEREF _Toc6628 \h </w:instrText>
        </w:r>
        <w:r>
          <w:fldChar w:fldCharType="separate"/>
        </w:r>
        <w:r>
          <w:t>55</w:t>
        </w:r>
        <w:r>
          <w:fldChar w:fldCharType="end"/>
        </w:r>
      </w:hyperlink>
    </w:p>
    <w:p>
      <w:pPr>
        <w:pStyle w:val="TOC2"/>
        <w:tabs>
          <w:tab w:val="right" w:leader="dot" w:pos="8306"/>
        </w:tabs>
      </w:pPr>
      <w:hyperlink w:anchor="_Toc32677" w:history="1">
        <w:r>
          <w:rPr>
            <w:rFonts w:ascii="仿宋" w:eastAsia="仿宋" w:hAnsi="仿宋" w:cs="仿宋" w:hint="eastAsia"/>
            <w:lang w:eastAsia="zh-CN"/>
          </w:rPr>
          <w:t>(一)、高纯砷及氧化砷项目实施保障机制</w:t>
        </w:r>
        <w:r>
          <w:tab/>
        </w:r>
        <w:r>
          <w:fldChar w:fldCharType="begin"/>
        </w:r>
        <w:r>
          <w:instrText xml:space="preserve"> PAGEREF _Toc32677 \h </w:instrText>
        </w:r>
        <w:r>
          <w:fldChar w:fldCharType="separate"/>
        </w:r>
        <w:r>
          <w:t>55</w:t>
        </w:r>
        <w:r>
          <w:fldChar w:fldCharType="end"/>
        </w:r>
      </w:hyperlink>
    </w:p>
    <w:p>
      <w:pPr>
        <w:pStyle w:val="TOC2"/>
        <w:tabs>
          <w:tab w:val="right" w:leader="dot" w:pos="8306"/>
        </w:tabs>
      </w:pPr>
      <w:hyperlink w:anchor="_Toc2595" w:history="1">
        <w:r>
          <w:rPr>
            <w:rFonts w:ascii="仿宋" w:eastAsia="仿宋" w:hAnsi="仿宋" w:cs="仿宋" w:hint="eastAsia"/>
            <w:lang w:eastAsia="zh-CN"/>
          </w:rPr>
          <w:t>(二)、高纯砷及氧化砷项目法律合规要求</w:t>
        </w:r>
        <w:r>
          <w:tab/>
        </w:r>
        <w:r>
          <w:fldChar w:fldCharType="begin"/>
        </w:r>
        <w:r>
          <w:instrText xml:space="preserve"> PAGEREF _Toc2595 \h </w:instrText>
        </w:r>
        <w:r>
          <w:fldChar w:fldCharType="separate"/>
        </w:r>
        <w:r>
          <w:t>58</w:t>
        </w:r>
        <w:r>
          <w:fldChar w:fldCharType="end"/>
        </w:r>
      </w:hyperlink>
    </w:p>
    <w:p>
      <w:pPr>
        <w:pStyle w:val="TOC2"/>
        <w:tabs>
          <w:tab w:val="right" w:leader="dot" w:pos="8306"/>
        </w:tabs>
      </w:pPr>
      <w:hyperlink w:anchor="_Toc22929" w:history="1">
        <w:r>
          <w:rPr>
            <w:rFonts w:ascii="仿宋" w:eastAsia="仿宋" w:hAnsi="仿宋" w:cs="仿宋" w:hint="eastAsia"/>
            <w:lang w:eastAsia="zh-CN"/>
          </w:rPr>
          <w:t>(三)、高纯砷及氧化砷项目合同管理与法律事务</w:t>
        </w:r>
        <w:r>
          <w:tab/>
        </w:r>
        <w:r>
          <w:fldChar w:fldCharType="begin"/>
        </w:r>
        <w:r>
          <w:instrText xml:space="preserve"> PAGEREF _Toc22929 \h </w:instrText>
        </w:r>
        <w:r>
          <w:fldChar w:fldCharType="separate"/>
        </w:r>
        <w:r>
          <w:t>63</w:t>
        </w:r>
        <w:r>
          <w:fldChar w:fldCharType="end"/>
        </w:r>
      </w:hyperlink>
    </w:p>
    <w:p>
      <w:pPr>
        <w:pStyle w:val="TOC2"/>
        <w:tabs>
          <w:tab w:val="right" w:leader="dot" w:pos="8306"/>
        </w:tabs>
      </w:pPr>
      <w:hyperlink w:anchor="_Toc30721" w:history="1">
        <w:r>
          <w:rPr>
            <w:rFonts w:ascii="仿宋" w:eastAsia="仿宋" w:hAnsi="仿宋" w:cs="仿宋" w:hint="eastAsia"/>
            <w:lang w:eastAsia="zh-CN"/>
          </w:rPr>
          <w:t>(四)、高纯砷及氧化砷项目知识产权保护策略</w:t>
        </w:r>
        <w:r>
          <w:tab/>
        </w:r>
        <w:r>
          <w:fldChar w:fldCharType="begin"/>
        </w:r>
        <w:r>
          <w:instrText xml:space="preserve"> PAGEREF _Toc30721 \h </w:instrText>
        </w:r>
        <w:r>
          <w:fldChar w:fldCharType="separate"/>
        </w:r>
        <w:r>
          <w:t>69</w:t>
        </w:r>
        <w:r>
          <w:fldChar w:fldCharType="end"/>
        </w:r>
      </w:hyperlink>
    </w:p>
    <w:p>
      <w:pPr>
        <w:pStyle w:val="TOC1"/>
        <w:tabs>
          <w:tab w:val="right" w:leader="dot" w:pos="8306"/>
        </w:tabs>
      </w:pPr>
      <w:hyperlink w:anchor="_Toc10805" w:history="1">
        <w:r>
          <w:rPr>
            <w:rFonts w:ascii="仿宋" w:eastAsia="仿宋" w:hAnsi="仿宋" w:cs="仿宋" w:hint="eastAsia"/>
            <w:lang w:eastAsia="zh-CN"/>
          </w:rPr>
          <w:t>十六、高纯砷及氧化砷项目实施时间节点</w:t>
        </w:r>
        <w:r>
          <w:tab/>
        </w:r>
        <w:r>
          <w:fldChar w:fldCharType="begin"/>
        </w:r>
        <w:r>
          <w:instrText xml:space="preserve"> PAGEREF _Toc10805 \h </w:instrText>
        </w:r>
        <w:r>
          <w:fldChar w:fldCharType="separate"/>
        </w:r>
        <w:r>
          <w:t>72</w:t>
        </w:r>
        <w:r>
          <w:fldChar w:fldCharType="end"/>
        </w:r>
      </w:hyperlink>
    </w:p>
    <w:p>
      <w:pPr>
        <w:pStyle w:val="TOC2"/>
        <w:tabs>
          <w:tab w:val="right" w:leader="dot" w:pos="8306"/>
        </w:tabs>
      </w:pPr>
      <w:hyperlink w:anchor="_Toc4092" w:history="1">
        <w:r>
          <w:rPr>
            <w:rFonts w:ascii="仿宋" w:eastAsia="仿宋" w:hAnsi="仿宋" w:cs="仿宋" w:hint="eastAsia"/>
            <w:lang w:eastAsia="zh-CN"/>
          </w:rPr>
          <w:t>(一)、高纯砷及氧化砷项目启动阶段时间节点</w:t>
        </w:r>
        <w:r>
          <w:tab/>
        </w:r>
        <w:r>
          <w:fldChar w:fldCharType="begin"/>
        </w:r>
        <w:r>
          <w:instrText xml:space="preserve"> PAGEREF _Toc4092 \h </w:instrText>
        </w:r>
        <w:r>
          <w:fldChar w:fldCharType="separate"/>
        </w:r>
        <w:r>
          <w:t>72</w:t>
        </w:r>
        <w:r>
          <w:fldChar w:fldCharType="end"/>
        </w:r>
      </w:hyperlink>
    </w:p>
    <w:p>
      <w:pPr>
        <w:pStyle w:val="TOC2"/>
        <w:tabs>
          <w:tab w:val="right" w:leader="dot" w:pos="8306"/>
        </w:tabs>
      </w:pPr>
      <w:hyperlink w:anchor="_Toc15023" w:history="1">
        <w:r>
          <w:rPr>
            <w:rFonts w:ascii="仿宋" w:eastAsia="仿宋" w:hAnsi="仿宋" w:cs="仿宋" w:hint="eastAsia"/>
            <w:lang w:eastAsia="zh-CN"/>
          </w:rPr>
          <w:t>(二)、高纯砷及氧化砷项目执行阶段时间节点</w:t>
        </w:r>
        <w:r>
          <w:tab/>
        </w:r>
        <w:r>
          <w:fldChar w:fldCharType="begin"/>
        </w:r>
        <w:r>
          <w:instrText xml:space="preserve"> PAGEREF _Toc15023 \h </w:instrText>
        </w:r>
        <w:r>
          <w:fldChar w:fldCharType="separate"/>
        </w:r>
        <w:r>
          <w:t>73</w:t>
        </w:r>
        <w:r>
          <w:fldChar w:fldCharType="end"/>
        </w:r>
      </w:hyperlink>
    </w:p>
    <w:p>
      <w:pPr>
        <w:pStyle w:val="TOC2"/>
        <w:tabs>
          <w:tab w:val="right" w:leader="dot" w:pos="8306"/>
        </w:tabs>
      </w:pPr>
      <w:hyperlink w:anchor="_Toc29422" w:history="1">
        <w:r>
          <w:rPr>
            <w:rFonts w:ascii="仿宋" w:eastAsia="仿宋" w:hAnsi="仿宋" w:cs="仿宋" w:hint="eastAsia"/>
            <w:lang w:eastAsia="zh-CN"/>
          </w:rPr>
          <w:t>(三)、高纯砷及氧化砷项目完成阶段时间节点</w:t>
        </w:r>
        <w:r>
          <w:tab/>
        </w:r>
        <w:r>
          <w:fldChar w:fldCharType="begin"/>
        </w:r>
        <w:r>
          <w:instrText xml:space="preserve"> PAGEREF _Toc29422 \h </w:instrText>
        </w:r>
        <w:r>
          <w:fldChar w:fldCharType="separate"/>
        </w:r>
        <w:r>
          <w:t>74</w:t>
        </w:r>
        <w:r>
          <w:fldChar w:fldCharType="end"/>
        </w:r>
      </w:hyperlink>
    </w:p>
    <w:p>
      <w:pPr>
        <w:pStyle w:val="TOC1"/>
        <w:tabs>
          <w:tab w:val="right" w:leader="dot" w:pos="8306"/>
        </w:tabs>
      </w:pPr>
      <w:hyperlink w:anchor="_Toc31707" w:history="1">
        <w:r>
          <w:rPr>
            <w:rFonts w:ascii="仿宋" w:eastAsia="仿宋" w:hAnsi="仿宋" w:cs="仿宋" w:hint="eastAsia"/>
            <w:lang w:eastAsia="zh-CN"/>
          </w:rPr>
          <w:t>十七、质量管理体系</w:t>
        </w:r>
        <w:r>
          <w:tab/>
        </w:r>
        <w:r>
          <w:fldChar w:fldCharType="begin"/>
        </w:r>
        <w:r>
          <w:instrText xml:space="preserve"> PAGEREF _Toc31707 \h </w:instrText>
        </w:r>
        <w:r>
          <w:fldChar w:fldCharType="separate"/>
        </w:r>
        <w:r>
          <w:t>75</w:t>
        </w:r>
        <w:r>
          <w:fldChar w:fldCharType="end"/>
        </w:r>
      </w:hyperlink>
    </w:p>
    <w:p>
      <w:pPr>
        <w:pStyle w:val="TOC2"/>
        <w:tabs>
          <w:tab w:val="right" w:leader="dot" w:pos="8306"/>
        </w:tabs>
      </w:pPr>
      <w:hyperlink w:anchor="_Toc31748" w:history="1">
        <w:r>
          <w:rPr>
            <w:rFonts w:ascii="仿宋" w:eastAsia="仿宋" w:hAnsi="仿宋" w:cs="仿宋" w:hint="eastAsia"/>
            <w:lang w:eastAsia="zh-CN"/>
          </w:rPr>
          <w:t>(一)、质量目标与方针</w:t>
        </w:r>
        <w:r>
          <w:tab/>
        </w:r>
        <w:r>
          <w:fldChar w:fldCharType="begin"/>
        </w:r>
        <w:r>
          <w:instrText xml:space="preserve"> PAGEREF _Toc31748 \h </w:instrText>
        </w:r>
        <w:r>
          <w:fldChar w:fldCharType="separate"/>
        </w:r>
        <w:r>
          <w:t>75</w:t>
        </w:r>
        <w:r>
          <w:fldChar w:fldCharType="end"/>
        </w:r>
      </w:hyperlink>
    </w:p>
    <w:p>
      <w:pPr>
        <w:pStyle w:val="TOC2"/>
        <w:tabs>
          <w:tab w:val="right" w:leader="dot" w:pos="8306"/>
        </w:tabs>
      </w:pPr>
      <w:hyperlink w:anchor="_Toc23278" w:history="1">
        <w:r>
          <w:rPr>
            <w:rFonts w:ascii="仿宋" w:eastAsia="仿宋" w:hAnsi="仿宋" w:cs="仿宋" w:hint="eastAsia"/>
            <w:lang w:eastAsia="zh-CN"/>
          </w:rPr>
          <w:t>(二)、质量管理责任</w:t>
        </w:r>
        <w:r>
          <w:tab/>
        </w:r>
        <w:r>
          <w:fldChar w:fldCharType="begin"/>
        </w:r>
        <w:r>
          <w:instrText xml:space="preserve"> PAGEREF _Toc23278 \h </w:instrText>
        </w:r>
        <w:r>
          <w:fldChar w:fldCharType="separate"/>
        </w:r>
        <w:r>
          <w:t>76</w:t>
        </w:r>
        <w:r>
          <w:fldChar w:fldCharType="end"/>
        </w:r>
      </w:hyperlink>
    </w:p>
    <w:p>
      <w:pPr>
        <w:pStyle w:val="TOC2"/>
        <w:tabs>
          <w:tab w:val="right" w:leader="dot" w:pos="8306"/>
        </w:tabs>
      </w:pPr>
      <w:hyperlink w:anchor="_Toc20336" w:history="1">
        <w:r>
          <w:rPr>
            <w:rFonts w:ascii="仿宋" w:eastAsia="仿宋" w:hAnsi="仿宋" w:cs="仿宋" w:hint="eastAsia"/>
            <w:lang w:eastAsia="zh-CN"/>
          </w:rPr>
          <w:t>(三)、质量管理体系文件</w:t>
        </w:r>
        <w:r>
          <w:tab/>
        </w:r>
        <w:r>
          <w:fldChar w:fldCharType="begin"/>
        </w:r>
        <w:r>
          <w:instrText xml:space="preserve"> PAGEREF _Toc20336 \h </w:instrText>
        </w:r>
        <w:r>
          <w:fldChar w:fldCharType="separate"/>
        </w:r>
        <w:r>
          <w:t>78</w:t>
        </w:r>
        <w:r>
          <w:fldChar w:fldCharType="end"/>
        </w:r>
      </w:hyperlink>
    </w:p>
    <w:p>
      <w:pPr>
        <w:pStyle w:val="TOC2"/>
        <w:tabs>
          <w:tab w:val="right" w:leader="dot" w:pos="8306"/>
        </w:tabs>
      </w:pPr>
      <w:hyperlink w:anchor="_Toc28631" w:history="1">
        <w:r>
          <w:rPr>
            <w:rFonts w:ascii="仿宋" w:eastAsia="仿宋" w:hAnsi="仿宋" w:cs="仿宋" w:hint="eastAsia"/>
            <w:lang w:eastAsia="zh-CN"/>
          </w:rPr>
          <w:t>(四)、质量培训与教育</w:t>
        </w:r>
        <w:r>
          <w:tab/>
        </w:r>
        <w:r>
          <w:fldChar w:fldCharType="begin"/>
        </w:r>
        <w:r>
          <w:instrText xml:space="preserve"> PAGEREF _Toc28631 \h </w:instrText>
        </w:r>
        <w:r>
          <w:fldChar w:fldCharType="separate"/>
        </w:r>
        <w:r>
          <w:t>80</w:t>
        </w:r>
        <w:r>
          <w:fldChar w:fldCharType="end"/>
        </w:r>
      </w:hyperlink>
    </w:p>
    <w:p>
      <w:pPr>
        <w:pStyle w:val="TOC2"/>
        <w:tabs>
          <w:tab w:val="right" w:leader="dot" w:pos="8306"/>
        </w:tabs>
      </w:pPr>
      <w:hyperlink w:anchor="_Toc16328" w:history="1">
        <w:r>
          <w:rPr>
            <w:rFonts w:ascii="仿宋" w:eastAsia="仿宋" w:hAnsi="仿宋" w:cs="仿宋" w:hint="eastAsia"/>
            <w:lang w:eastAsia="zh-CN"/>
          </w:rPr>
          <w:t>(五)、质量审核与评价</w:t>
        </w:r>
        <w:r>
          <w:tab/>
        </w:r>
        <w:r>
          <w:fldChar w:fldCharType="begin"/>
        </w:r>
        <w:r>
          <w:instrText xml:space="preserve"> PAGEREF _Toc16328 \h </w:instrText>
        </w:r>
        <w:r>
          <w:fldChar w:fldCharType="separate"/>
        </w:r>
        <w:r>
          <w:t>81</w:t>
        </w:r>
        <w:r>
          <w:fldChar w:fldCharType="end"/>
        </w:r>
      </w:hyperlink>
    </w:p>
    <w:p>
      <w:pPr>
        <w:pStyle w:val="TOC2"/>
        <w:tabs>
          <w:tab w:val="right" w:leader="dot" w:pos="8306"/>
        </w:tabs>
      </w:pPr>
      <w:hyperlink w:anchor="_Toc31668" w:history="1">
        <w:r>
          <w:rPr>
            <w:rFonts w:ascii="仿宋" w:eastAsia="仿宋" w:hAnsi="仿宋" w:cs="仿宋" w:hint="eastAsia"/>
            <w:lang w:eastAsia="zh-CN"/>
          </w:rPr>
          <w:t>(六)、不符合与纠正措施</w:t>
        </w:r>
        <w:r>
          <w:tab/>
        </w:r>
        <w:r>
          <w:fldChar w:fldCharType="begin"/>
        </w:r>
        <w:r>
          <w:instrText xml:space="preserve"> PAGEREF _Toc31668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369"/>
      <w:r>
        <w:rPr>
          <w:rFonts w:ascii="仿宋" w:eastAsia="仿宋" w:hAnsi="仿宋" w:cs="仿宋" w:hint="eastAsia"/>
          <w:sz w:val="28"/>
          <w:lang w:eastAsia="zh-CN"/>
        </w:rPr>
        <w:t>一、高纯砷及氧化砷项目选址可行性分析</w:t>
      </w:r>
      <w:bookmarkEnd w:id="2"/>
    </w:p>
    <w:p>
      <w:pPr>
        <w:pStyle w:val="Heading2"/>
        <w:rPr>
          <w:rFonts w:ascii="仿宋" w:eastAsia="仿宋" w:hAnsi="仿宋" w:cs="仿宋" w:hint="eastAsia"/>
          <w:lang w:eastAsia="zh-CN"/>
        </w:rPr>
      </w:pPr>
      <w:bookmarkStart w:id="3" w:name="_Toc3414"/>
      <w:r>
        <w:rPr>
          <w:rFonts w:ascii="仿宋" w:eastAsia="仿宋" w:hAnsi="仿宋" w:cs="仿宋" w:hint="eastAsia"/>
          <w:lang w:eastAsia="zh-CN"/>
        </w:rPr>
        <w:t>(一)、高纯砷及氧化砷项目选址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该高纯砷及氧化砷项目选址位于XX省XX市XX区XXX街道</w:t>
      </w:r>
    </w:p>
    <w:p>
      <w:pPr>
        <w:pStyle w:val="Heading2"/>
        <w:ind w:firstLine="560" w:firstLineChars="200"/>
        <w:rPr>
          <w:rFonts w:ascii="仿宋" w:eastAsia="仿宋" w:hAnsi="仿宋" w:cs="仿宋" w:hint="eastAsia"/>
          <w:sz w:val="28"/>
          <w:lang w:eastAsia="zh-CN"/>
        </w:rPr>
      </w:pPr>
      <w:bookmarkStart w:id="4" w:name="_Toc2552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高纯砷及氧化砷项目的征地面积将根据高纯砷及氧化砷项目的实际规模和需求进行精确规划。具体面积XXX平方米，旨在确保高纯砷及氧化砷项目不仅能够满足当前的发展需求，还能够预留空间以适应未来的扩展。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净用地面积是在征地面积基础上去除不可利用面积后的实际可开发用地。具体面积XXX平方米，考虑到环保、交通、安全等多方面因素，以确保高纯砷及氧化砷项目在整体利用效率上达到最优。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高纯砷及氧化砷项目计划建设的建筑总规模具体面积XXX平方米。这一规模的确定综合考虑了高纯砷及氧化砷项目的性质、规模，以及城市规划的相关要求，确保建筑布局与周边环境协调一致。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绿地率是高纯砷及氧化砷项目用地中被规划为绿地的比例。具体面积XXX平方米，旨在通过合理规划绿地，改善高纯砷及氧化砷项目周边环境，提升居民生活质量，并符合城市整体绿化规划。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容积率是用地上可以建设的建筑总体积与用地面积之比。具体面积XXX，通过合理的容积率规划，确保高纯砷及氧化砷项目建筑规模与周边环境和谐共生。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纯砷及氧化砷项目选址与当地城市规划相一致，具体面积XXX平方米。通过与城市规划部门深入沟通，确保高纯砷及氧化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纯砷及氧化砷项目选址符合当地产业政策，具体面积XXX平方米。这包括高纯砷及氧化砷项目对当地经济的促进作用，以及对相关产业的带动效应，确保高纯砷及氧化砷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用地总体要求必须符合环保和可持续发展的原则，具体面积XXX平方米。通过采用绿色建筑设计、节能减排等措施，确保高纯砷及氧化砷项目在建设和运营过程中对环境的影响最小化，达到可持续发展的要求。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确保高纯砷及氧化砷项目选址具备必要的公共设施配套，具体面积XXX平方米。这包括交通便利性、教育、医疗等基础设施，以提高居民生活品质，使得高纯砷及氧化砷项目选址更具吸引力。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考虑用地总体要求对当地社会稳定性的影响，具体面积XXX平方米。通过深入了解当地社区反馈，确保高纯砷及氧化砷项目的选址和建设过程对当地社会和谐稳定产生积极作用。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纯砷及氧化砷项目选址不仅符合法规和规划，还在实际操作中具有可行性。这一全面规划将为高纯砷及氧化砷项目的成功实施提供坚实的基础，确保高纯砷及氧化砷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06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砷及氧化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纯砷及氧化砷项目的设备规划和空间设计中，我们将采取灵活设备布局的措施。设备布局将根据实际需求进行灵活设计，避免不必要的浪费。通过合理规划设备摆放位置，我们将提高设备的利用率，减少设备间距，以确保高纯砷及氧化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纯砷及氧化砷项目内部引入共享设施的概念，例如共享会议室、办公区等。通过这种方式，我们可以减少对资源的重复建设，提高资源共享效率，从而减小高纯砷及氧化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70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纯砷及氧化砷项目的总图布置中，我们将不同功能区域进行明确的规划，以最大程度满足高纯砷及氧化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94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纯砷及氧化砷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纯砷及氧化砷项目对环境的影响是综合评价的重要因素之一。我们将详细考虑选址周边的自然环境、生态保护区、水源地等情况，确保高纯砷及氧化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对选址的评价还需充分考虑当地政府的产业政策和法规。我们将详细了解高纯砷及氧化砷项目所在地的相关政策，确保高纯砷及氧化砷项目的规划和运营与当地法规相符，降低不必要的法律风险。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考虑到社会稳定性对企业运营的重要性，我们将评估选址地区的社会安全情况、劳工关系、社区反馈等方面，以确保高纯砷及氧化砷项目的建设和运营不会受到社会稳定性的负面影响。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最后，我们将综合考虑用地成本，包括土地购置费用、土地开发成本等。通过对用地成本的详细评估，我们能够做出更为精确的经济效益分析，为高纯砷及氧化砷项目的投资决策提供有力支持。</w:t>
      </w:r>
    </w:p>
    <w:p>
      <w:pPr>
        <w:pStyle w:val="Heading1"/>
        <w:ind w:firstLine="560" w:firstLineChars="200"/>
        <w:rPr>
          <w:rFonts w:ascii="仿宋" w:eastAsia="仿宋" w:hAnsi="仿宋" w:cs="仿宋" w:hint="eastAsia"/>
          <w:sz w:val="28"/>
          <w:lang w:eastAsia="zh-CN"/>
        </w:rPr>
      </w:pPr>
      <w:bookmarkStart w:id="8" w:name="_Toc23783"/>
      <w:r>
        <w:rPr>
          <w:rFonts w:ascii="仿宋" w:eastAsia="仿宋" w:hAnsi="仿宋" w:cs="仿宋" w:hint="eastAsia"/>
          <w:sz w:val="28"/>
          <w:lang w:eastAsia="zh-CN"/>
        </w:rPr>
        <w:t>二、高纯砷及氧化砷项目绩效评估</w:t>
      </w:r>
      <w:bookmarkEnd w:id="8"/>
    </w:p>
    <w:p>
      <w:pPr>
        <w:pStyle w:val="Heading2"/>
        <w:rPr>
          <w:rFonts w:ascii="仿宋" w:eastAsia="仿宋" w:hAnsi="仿宋" w:cs="仿宋" w:hint="eastAsia"/>
          <w:lang w:eastAsia="zh-CN"/>
        </w:rPr>
      </w:pPr>
      <w:bookmarkStart w:id="9" w:name="_Toc2617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砷及氧化砷项目中，我们设计了一套全面的绩效评估指标，以确保高纯砷及氧化砷项目的可控和成功交付。这些指标跨足高纯砷及氧化砷项目目标、成本、进度和质量等多个维度，为我们提供了全面洞察高纯砷及氧化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目标达成率是我们关注的首要指标。我们设定了明确的目标，并通过定期监测和评估，迅速发现并应对潜在的目标偏差。这为高纯砷及氧化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成本绩效是另一个核心关注点。通过实际成本与预算成本的对比分析，我们深入了解成本差异的原因，及时调整资源分配，保持高纯砷及氧化砷项目在经济效益方面的合理水平。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进度作为关键的绩效指标之一，得到了精心的关注。我们制定了详细的高纯砷及氧化砷项目进度计划，并设立了进度符合度指标，确保实际进度与计划进度保持一致。这使我们能够快速发现和解决潜在的进度问题，保持高纯砷及氧化砷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高纯砷及氧化砷项目绩效的不可或缺的一环。我们引入了一系列的质量标准和客户满意度指标，以确保高纯砷及氧化砷项目交付的成果在质量上达到或超越预期水平。通过持续监测这些指标，我们努力提升高纯砷及氧化砷项目整体质量水平，为高纯砷及氧化砷项目的成功交付提供有力保障。通过这些科学且全面的绩效评估，我们能够更好地引导高纯砷及氧化砷项目的持续改进，确保高纯砷及氧化砷项目目标的顺利达成。</w:t>
      </w:r>
    </w:p>
    <w:p>
      <w:pPr>
        <w:pStyle w:val="Heading2"/>
        <w:ind w:firstLine="560" w:firstLineChars="200"/>
        <w:rPr>
          <w:rFonts w:ascii="仿宋" w:eastAsia="仿宋" w:hAnsi="仿宋" w:cs="仿宋" w:hint="eastAsia"/>
          <w:sz w:val="28"/>
          <w:lang w:eastAsia="zh-CN"/>
        </w:rPr>
      </w:pPr>
      <w:bookmarkStart w:id="10" w:name="_Toc165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绩效评估是高纯砷及氧化砷项目中的关键环节，为确保高纯砷及氧化砷项目达到预期目标，我们采用了多层次、多维度的绩效评估方法。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纯砷及氧化砷项目的战略目标对齐，确保每个决策和行动都与高纯砷及氧化砷项目整体目标保持一致。团队会定期召开战略对齐会议，审视当前工作与高纯砷及氧化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纯砷及氧化砷项目进度、质量、成本和风险等方面。这些指标通过数据收集和分析，为高纯砷及氧化砷项目管理团队提供了客观的评估依据。例如，我们通过高纯砷及氧化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纯砷及氧化砷项目内部，还考虑了高纯砷及氧化砷项目对外部环境的影响。我们定期进行干系人满意度调查，以了解各利益相关方对高纯砷及氧化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这种多层次、多角度的绩效评估方法，使得我们能够全面了解高纯砷及氧化砷项目的运行状态，及时做出调整，确保高纯砷及氧化砷项目在不断变化的环境中保持稳健前行。</w:t>
      </w:r>
    </w:p>
    <w:p>
      <w:pPr>
        <w:pStyle w:val="Heading2"/>
        <w:ind w:firstLine="560" w:firstLineChars="200"/>
        <w:rPr>
          <w:rFonts w:ascii="仿宋" w:eastAsia="仿宋" w:hAnsi="仿宋" w:cs="仿宋" w:hint="eastAsia"/>
          <w:sz w:val="28"/>
          <w:lang w:eastAsia="zh-CN"/>
        </w:rPr>
      </w:pPr>
      <w:bookmarkStart w:id="11" w:name="_Toc2228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为了确保高纯砷及氧化砷项目的有效管理和不断优化，我们采用了精心设计的绩效评估周期。这个周期旨在实现灵活、实时和全面的评估，以适应高纯砷及氧化砷项目执行中的各种挑战。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纯砷及氧化砷项目的不同需求，分为短期、中期和长期。短期评估关注每个迭代或工作周期，以及时发现和解决当前任务中的问题。中期评估涵盖几个迭代，深入了解整体高纯砷及氧化砷项目的趋势和性能。长期评估则着眼于整个高纯砷及氧化砷项目阶段，确保高纯砷及氧化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纯砷及氧化砷项目管理工具和协作平台，团队成员能够随时更新和分享高纯砷及氧化砷项目数据。这种实时性的反馈机制使我们能够及时察觉潜在问题，快速调整，保持高纯砷及氧化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高纯砷及氧化砷项目的决策制定密不可分。每个周期的高纯砷及氧化砷项目回顾会议成为集体总结经验、识别问题深层次原因并找到创新解决方案的平台。这种定期的反思与调整机制使高纯砷及氧化砷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4554"/>
      <w:r>
        <w:rPr>
          <w:rFonts w:ascii="仿宋" w:eastAsia="仿宋" w:hAnsi="仿宋" w:cs="仿宋" w:hint="eastAsia"/>
          <w:sz w:val="28"/>
          <w:lang w:eastAsia="zh-CN"/>
        </w:rPr>
        <w:t>三、高纯砷及氧化砷项目建设背景及必要性分析</w:t>
      </w:r>
      <w:bookmarkEnd w:id="12"/>
    </w:p>
    <w:p>
      <w:pPr>
        <w:pStyle w:val="Heading2"/>
        <w:rPr>
          <w:rFonts w:ascii="仿宋" w:eastAsia="仿宋" w:hAnsi="仿宋" w:cs="仿宋" w:hint="eastAsia"/>
          <w:lang w:eastAsia="zh-CN"/>
        </w:rPr>
      </w:pPr>
      <w:bookmarkStart w:id="13" w:name="_Toc27337"/>
      <w:r>
        <w:rPr>
          <w:rFonts w:ascii="仿宋" w:eastAsia="仿宋" w:hAnsi="仿宋" w:cs="仿宋" w:hint="eastAsia"/>
          <w:lang w:eastAsia="zh-CN"/>
        </w:rPr>
        <w:t>(一)、高纯砷及氧化砷项目背景分析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纯砷及氧化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纯砷及氧化砷项目在这个潮流中的定位。同时，我们将关注行业内涌现的新兴机遇，以便高纯砷及氧化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纯砷及氧化砷项目提供了强大的发展动力。我们将聚焦于行业内最新的技术发展趋势，包括但不限于人工智能、大数据分析、物联网等领域。通过深度的技术研究，我们将确保高纯砷及氧化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纯砷及氧化砷项目发展的源泉。我们将投入更多的精力对市场需求进行深入剖析，超越表面的需求，深入挖掘潜在的市场痛点和机遇。通过对市场需求的细致了解，高纯砷及氧化砷项目将更有针对性地设计解决方案，满足市场的多样化需求，从而更好地促进高纯砷及氧化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纯砷及氧化砷项目战略至关重要。我们将对竞争态势进行更为深入的分析，包括但不限于市场份额、产品特点、客户满意度等多个维度。通过深度的竞争分析，高纯砷及氧化砷项目将能够更准确地把握市场脉搏，制定具有竞争力的高纯砷及氧化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纯砷及氧化砷项目的发展具有直接的影响。我们将进行更为全面的法规和政策分析，了解行业发展中的潜在法律风险和合规挑战。通过充分了解和遵守相关法规，高纯砷及氧化砷项目将确保在法律框架内合法合规运营，为高纯砷及氧化砷项目的稳健发展提供有力支持。</w:t>
      </w:r>
    </w:p>
    <w:p>
      <w:pPr>
        <w:pStyle w:val="Heading2"/>
        <w:ind w:firstLine="560" w:firstLineChars="200"/>
        <w:rPr>
          <w:rFonts w:ascii="仿宋" w:eastAsia="仿宋" w:hAnsi="仿宋" w:cs="仿宋" w:hint="eastAsia"/>
          <w:sz w:val="28"/>
          <w:lang w:eastAsia="zh-CN"/>
        </w:rPr>
      </w:pPr>
      <w:bookmarkStart w:id="14" w:name="_Toc22887"/>
      <w:r>
        <w:rPr>
          <w:rFonts w:ascii="仿宋" w:eastAsia="仿宋" w:hAnsi="仿宋" w:cs="仿宋" w:hint="eastAsia"/>
          <w:sz w:val="28"/>
          <w:lang w:eastAsia="zh-CN"/>
        </w:rPr>
        <w:t>(二)、高纯砷及氧化砷项目建设必要性分析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建设的迫切性源于对行业发展趋势的深刻洞察。我们正处于一个行业变革的时代，科技创新、数字化转型成为企业发展的关键动力。高纯砷及氧化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建设不仅仅是为了跟上潮流，更是为了通过技术创新推动企业的持续发展。通过引入先进的技术和解决方案，高纯砷及氧化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纯砷及氧化砷项目的建设成为必然选择，通过提高产品质量、拓展服务领域，从而在竞争中获得更多的机会。高纯砷及氧化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纯砷及氧化砷项目建设的必要性体现在对客户需求更精准的满足。通过高纯砷及氧化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建设的背后是对企业持续创新的追求。只有通过不断创新，企业才能在竞争中立于不败之地。高纯砷及氧化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8395"/>
      <w:r>
        <w:rPr>
          <w:rFonts w:ascii="仿宋" w:eastAsia="仿宋" w:hAnsi="仿宋" w:cs="仿宋" w:hint="eastAsia"/>
          <w:sz w:val="28"/>
          <w:lang w:eastAsia="zh-CN"/>
        </w:rPr>
        <w:t>四、高纯砷及氧化砷项目土建工程</w:t>
      </w:r>
      <w:bookmarkEnd w:id="15"/>
    </w:p>
    <w:p>
      <w:pPr>
        <w:pStyle w:val="Heading2"/>
        <w:rPr>
          <w:rFonts w:ascii="仿宋" w:eastAsia="仿宋" w:hAnsi="仿宋" w:cs="仿宋" w:hint="eastAsia"/>
          <w:lang w:eastAsia="zh-CN"/>
        </w:rPr>
      </w:pPr>
      <w:bookmarkStart w:id="16" w:name="_Toc360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在高纯砷及氧化砷项目的建筑工程设计中，我们将秉承一系列重要的设计原则，以确保高纯砷及氧化砷项目建筑在功能、美观、可持续性等方面达到最佳效果。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首要原则是确保建筑的功能性得到最大化的发挥。我们将充分理解高纯砷及氧化砷项目的实际需求，合理布局各个功能区域，保证建筑在满足业务需求的同时，提供高效的工作环境。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在建筑设计中，我们将综合考虑建设和运营成本。通过精细的经济效益分析，确保设计方案在高效利用资源的同时，对高纯砷及氧化砷项目的长期盈利能力有积极的贡献。</w:t>
      </w:r>
    </w:p>
    <w:p>
      <w:pPr>
        <w:pStyle w:val="Heading2"/>
        <w:ind w:firstLine="560" w:firstLineChars="200"/>
        <w:rPr>
          <w:rFonts w:ascii="仿宋" w:eastAsia="仿宋" w:hAnsi="仿宋" w:cs="仿宋" w:hint="eastAsia"/>
          <w:sz w:val="28"/>
          <w:lang w:eastAsia="zh-CN"/>
        </w:rPr>
      </w:pPr>
      <w:bookmarkStart w:id="17" w:name="_Toc1747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砷及氧化砷项目的土建工程设计中，我们将精准设定设计年限，结合高纯砷及氧化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https://d.book118.com/736152240000010043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1A05A1"/>
    <w:rsid w:val="341A05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152240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2024-01-29T23:21:00Z</dcterms:created>
  <dcterms:modified xsi:type="dcterms:W3CDTF">2024-01-29T23:22:03Z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393C7736669F472784FB2C93EE11D3C5_11</vt:lpwstr>
  </property>
  <property fmtid="{D5CDD505-2E9C-101B-9397-08002B2CF9AE}" pid="3" name="KSOProductBuildVer">
    <vt:lpwstr>2052-12.1.0.16250</vt:lpwstr>
  </property>
</Properties>
</file>