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0289" w:rsidRPr="00CE7879" w:rsidP="00CE7879">
      <w:pPr>
        <w:widowControl/>
        <w:jc w:val="center"/>
        <w:rPr>
          <w:rFonts w:ascii="宋体"/>
          <w:color w:val="000000" w:themeColor="text1"/>
          <w:kern w:val="0"/>
          <w:sz w:val="32"/>
        </w:rPr>
      </w:pPr>
      <w:r w:rsidRPr="00CE7879">
        <w:rPr>
          <w:rFonts w:ascii="宋体" w:hint="eastAsia"/>
          <w:b/>
          <w:bCs/>
          <w:color w:val="000000" w:themeColor="text1"/>
          <w:kern w:val="0"/>
          <w:sz w:val="32"/>
        </w:rPr>
        <w:t>2024</w:t>
      </w:r>
      <w:r w:rsidRPr="00CE7879">
        <w:rPr>
          <w:rFonts w:ascii="宋体" w:hint="eastAsia"/>
          <w:b/>
          <w:bCs/>
          <w:color w:val="000000" w:themeColor="text1"/>
          <w:kern w:val="0"/>
          <w:sz w:val="32"/>
        </w:rPr>
        <w:t>年</w:t>
      </w:r>
      <w:r w:rsidRPr="00CE7879">
        <w:rPr>
          <w:rFonts w:ascii="宋体"/>
          <w:b/>
          <w:bCs/>
          <w:color w:val="000000" w:themeColor="text1"/>
          <w:kern w:val="0"/>
          <w:sz w:val="32"/>
        </w:rPr>
        <w:t>大行业信息化趋势报告</w:t>
      </w:r>
    </w:p>
    <w:p w:rsidR="00D50289" w:rsidRPr="00CE7879">
      <w:pPr>
        <w:widowControl/>
        <w:jc w:val="left"/>
        <w:rPr>
          <w:rFonts w:ascii="宋体"/>
          <w:kern w:val="0"/>
          <w:sz w:val="24"/>
        </w:rPr>
      </w:pPr>
    </w:p>
    <w:p w:rsidR="00D50289" w:rsidRPr="00CE7879">
      <w:pPr>
        <w:widowControl/>
        <w:jc w:val="left"/>
        <w:rPr>
          <w:rFonts w:ascii="宋体"/>
          <w:kern w:val="0"/>
          <w:sz w:val="24"/>
        </w:rPr>
      </w:pPr>
      <w:r w:rsidRPr="00CE7879">
        <w:rPr>
          <w:rFonts w:ascii="宋体"/>
          <w:kern w:val="0"/>
          <w:sz w:val="24"/>
        </w:rPr>
        <w:t>【编者按】为全面把握行业应用趋势，帮助各大</w:t>
      </w:r>
      <w:r w:rsidRPr="00CE7879">
        <w:rPr>
          <w:rFonts w:ascii="宋体"/>
          <w:kern w:val="0"/>
          <w:sz w:val="24"/>
        </w:rPr>
        <w:t>IT</w:t>
      </w:r>
      <w:r w:rsidRPr="00CE7879">
        <w:rPr>
          <w:rFonts w:ascii="宋体"/>
          <w:kern w:val="0"/>
          <w:sz w:val="24"/>
        </w:rPr>
        <w:t>厂商整合资源，进一步拓展市场，并为制定</w:t>
      </w:r>
      <w:r w:rsidRPr="00CE7879">
        <w:rPr>
          <w:rFonts w:ascii="宋体"/>
          <w:kern w:val="0"/>
          <w:sz w:val="24"/>
        </w:rPr>
        <w:t>2024</w:t>
      </w:r>
      <w:r w:rsidRPr="00CE7879">
        <w:rPr>
          <w:rFonts w:ascii="宋体"/>
          <w:kern w:val="0"/>
          <w:sz w:val="24"/>
        </w:rPr>
        <w:t>年发展目标提供强有力的决策支持，中国</w:t>
      </w:r>
      <w:r w:rsidRPr="00CE7879">
        <w:rPr>
          <w:rFonts w:ascii="宋体"/>
          <w:kern w:val="0"/>
          <w:sz w:val="24"/>
        </w:rPr>
        <w:t>IT</w:t>
      </w:r>
      <w:r w:rsidRPr="00CE7879">
        <w:rPr>
          <w:rFonts w:ascii="宋体"/>
          <w:kern w:val="0"/>
          <w:sz w:val="24"/>
        </w:rPr>
        <w:t>业界权威的研究机构</w:t>
      </w:r>
      <w:r w:rsidRPr="00CE7879">
        <w:rPr>
          <w:rFonts w:ascii="宋体"/>
          <w:kern w:val="0"/>
          <w:sz w:val="24"/>
        </w:rPr>
        <w:t>——</w:t>
      </w:r>
      <w:r w:rsidRPr="00CE7879">
        <w:rPr>
          <w:rFonts w:ascii="宋体"/>
          <w:kern w:val="0"/>
          <w:sz w:val="24"/>
        </w:rPr>
        <w:t>计世资讯</w:t>
      </w:r>
      <w:r w:rsidRPr="00CE7879">
        <w:rPr>
          <w:rFonts w:ascii="宋体"/>
          <w:kern w:val="0"/>
          <w:sz w:val="24"/>
        </w:rPr>
        <w:t>(CCW Research)</w:t>
      </w:r>
      <w:r w:rsidRPr="00CE7879">
        <w:rPr>
          <w:rFonts w:ascii="宋体"/>
          <w:kern w:val="0"/>
          <w:sz w:val="24"/>
        </w:rPr>
        <w:t>于</w:t>
      </w:r>
      <w:r w:rsidRPr="00CE7879">
        <w:rPr>
          <w:rFonts w:ascii="宋体"/>
          <w:kern w:val="0"/>
          <w:sz w:val="24"/>
        </w:rPr>
        <w:t>2024</w:t>
      </w:r>
      <w:r w:rsidRPr="00CE7879">
        <w:rPr>
          <w:rFonts w:ascii="宋体"/>
          <w:kern w:val="0"/>
          <w:sz w:val="24"/>
        </w:rPr>
        <w:t>年</w:t>
      </w:r>
      <w:r w:rsidRPr="00CE7879">
        <w:rPr>
          <w:rFonts w:ascii="宋体"/>
          <w:kern w:val="0"/>
          <w:sz w:val="24"/>
        </w:rPr>
        <w:t>12</w:t>
      </w:r>
      <w:r w:rsidRPr="00CE7879">
        <w:rPr>
          <w:rFonts w:ascii="宋体"/>
          <w:kern w:val="0"/>
          <w:sz w:val="24"/>
        </w:rPr>
        <w:t>月中旬隆重推出政府机构、电信、教育、制造业、金融、交通、商贸物流、医卫、电力九大行业信息化建设与</w:t>
      </w:r>
      <w:r w:rsidRPr="00CE7879">
        <w:rPr>
          <w:rFonts w:ascii="宋体"/>
          <w:kern w:val="0"/>
          <w:sz w:val="24"/>
        </w:rPr>
        <w:t>IT</w:t>
      </w:r>
      <w:r w:rsidRPr="00CE7879">
        <w:rPr>
          <w:rFonts w:ascii="宋体"/>
          <w:kern w:val="0"/>
          <w:sz w:val="24"/>
        </w:rPr>
        <w:t>应用趋势研究报告。</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2024</w:t>
      </w:r>
      <w:r w:rsidRPr="00CE7879">
        <w:rPr>
          <w:rFonts w:ascii="宋体"/>
          <w:kern w:val="0"/>
          <w:sz w:val="24"/>
        </w:rPr>
        <w:t>年九大行业信息化建设与</w:t>
      </w:r>
      <w:r w:rsidRPr="00CE7879">
        <w:rPr>
          <w:rFonts w:ascii="宋体"/>
          <w:kern w:val="0"/>
          <w:sz w:val="24"/>
        </w:rPr>
        <w:t>IT</w:t>
      </w:r>
      <w:r w:rsidRPr="00CE7879">
        <w:rPr>
          <w:rFonts w:ascii="宋体"/>
          <w:kern w:val="0"/>
          <w:sz w:val="24"/>
        </w:rPr>
        <w:t>应用趋势研究报告，通过对全国华北、华东、华南、华中、西南、东北和西北</w:t>
      </w:r>
      <w:r w:rsidRPr="00CE7879">
        <w:rPr>
          <w:rFonts w:ascii="宋体"/>
          <w:kern w:val="0"/>
          <w:sz w:val="24"/>
        </w:rPr>
        <w:t>7</w:t>
      </w:r>
      <w:r w:rsidRPr="00CE7879">
        <w:rPr>
          <w:rFonts w:ascii="宋体"/>
          <w:kern w:val="0"/>
          <w:sz w:val="24"/>
        </w:rPr>
        <w:t>大区域重点城市和主要行业企业集中区域的大中型行业用户的大样本调查，研究分析了</w:t>
      </w:r>
      <w:r w:rsidRPr="00CE7879">
        <w:rPr>
          <w:rFonts w:ascii="宋体"/>
          <w:kern w:val="0"/>
          <w:sz w:val="24"/>
        </w:rPr>
        <w:t>2024</w:t>
      </w:r>
      <w:r w:rsidRPr="00CE7879">
        <w:rPr>
          <w:rFonts w:ascii="宋体"/>
          <w:kern w:val="0"/>
          <w:sz w:val="24"/>
        </w:rPr>
        <w:t>年各主要行业信息化应用水平及建设重点、</w:t>
      </w:r>
      <w:r w:rsidRPr="00CE7879">
        <w:rPr>
          <w:rFonts w:ascii="宋体"/>
          <w:kern w:val="0"/>
          <w:sz w:val="24"/>
        </w:rPr>
        <w:t>IT</w:t>
      </w:r>
      <w:r w:rsidRPr="00CE7879">
        <w:rPr>
          <w:rFonts w:ascii="宋体"/>
          <w:kern w:val="0"/>
          <w:sz w:val="24"/>
        </w:rPr>
        <w:t>投资规模和投资结构，以及影响该行业的有利、不利因素，并对</w:t>
      </w:r>
      <w:r w:rsidRPr="00CE7879">
        <w:rPr>
          <w:rFonts w:ascii="宋体"/>
          <w:kern w:val="0"/>
          <w:sz w:val="24"/>
        </w:rPr>
        <w:t>2024</w:t>
      </w:r>
      <w:r w:rsidRPr="00CE7879">
        <w:rPr>
          <w:rFonts w:ascii="宋体"/>
          <w:kern w:val="0"/>
          <w:sz w:val="24"/>
        </w:rPr>
        <w:t>年中国各主要行业</w:t>
      </w:r>
      <w:r w:rsidRPr="00CE7879">
        <w:rPr>
          <w:rFonts w:ascii="宋体"/>
          <w:kern w:val="0"/>
          <w:sz w:val="24"/>
        </w:rPr>
        <w:t>IT</w:t>
      </w:r>
      <w:r w:rsidRPr="00CE7879">
        <w:rPr>
          <w:rFonts w:ascii="宋体"/>
          <w:kern w:val="0"/>
          <w:sz w:val="24"/>
        </w:rPr>
        <w:t>投资规模及结构、系统建设重点、</w:t>
      </w:r>
      <w:r w:rsidRPr="00CE7879">
        <w:rPr>
          <w:rFonts w:ascii="宋体"/>
          <w:kern w:val="0"/>
          <w:sz w:val="24"/>
        </w:rPr>
        <w:t>IT</w:t>
      </w:r>
      <w:r w:rsidRPr="00CE7879">
        <w:rPr>
          <w:rFonts w:ascii="宋体"/>
          <w:kern w:val="0"/>
          <w:sz w:val="24"/>
        </w:rPr>
        <w:t>产品需求特点等进行了科学的预测，报告还详细阐述了九大行业</w:t>
      </w:r>
      <w:r w:rsidRPr="00CE7879">
        <w:rPr>
          <w:rFonts w:ascii="宋体"/>
          <w:kern w:val="0"/>
          <w:sz w:val="24"/>
        </w:rPr>
        <w:t>2024</w:t>
      </w:r>
      <w:r w:rsidRPr="00CE7879">
        <w:rPr>
          <w:rFonts w:ascii="宋体"/>
          <w:kern w:val="0"/>
          <w:sz w:val="24"/>
        </w:rPr>
        <w:t>年信息化建设的重点项目。</w:t>
      </w:r>
      <w:r w:rsidRPr="00CE7879">
        <w:rPr>
          <w:rFonts w:ascii="宋体"/>
          <w:kern w:val="0"/>
          <w:sz w:val="24"/>
        </w:rPr>
        <w:t>(</w:t>
      </w:r>
      <w:r w:rsidRPr="00CE7879">
        <w:rPr>
          <w:rFonts w:ascii="宋体"/>
          <w:kern w:val="0"/>
          <w:sz w:val="24"/>
        </w:rPr>
        <w:t>彻底调查</w:t>
      </w:r>
      <w:r w:rsidRPr="00CE7879">
        <w:rPr>
          <w:rFonts w:ascii="宋体"/>
          <w:kern w:val="0"/>
          <w:sz w:val="24"/>
        </w:rPr>
        <w:t>)</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新浪科技将分两大部分</w:t>
      </w:r>
      <w:r w:rsidRPr="00CE7879">
        <w:rPr>
          <w:rFonts w:ascii="宋体"/>
          <w:kern w:val="0"/>
          <w:sz w:val="24"/>
        </w:rPr>
        <w:t>(</w:t>
      </w:r>
      <w:r w:rsidRPr="00CE7879">
        <w:rPr>
          <w:rFonts w:ascii="宋体"/>
          <w:kern w:val="0"/>
          <w:sz w:val="24"/>
        </w:rPr>
        <w:t>四个小章节</w:t>
      </w:r>
      <w:r w:rsidRPr="00CE7879">
        <w:rPr>
          <w:rFonts w:ascii="宋体"/>
          <w:kern w:val="0"/>
          <w:sz w:val="24"/>
        </w:rPr>
        <w:t>)</w:t>
      </w:r>
      <w:r w:rsidRPr="00CE7879">
        <w:rPr>
          <w:rFonts w:ascii="宋体"/>
          <w:kern w:val="0"/>
          <w:sz w:val="24"/>
        </w:rPr>
        <w:t>登载报告的摘要内容。</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报告摘要如下：</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2024</w:t>
      </w:r>
      <w:r w:rsidRPr="00CE7879">
        <w:rPr>
          <w:rFonts w:ascii="宋体"/>
          <w:kern w:val="0"/>
          <w:sz w:val="24"/>
        </w:rPr>
        <w:t>年政府</w:t>
      </w:r>
      <w:r w:rsidRPr="00CE7879">
        <w:rPr>
          <w:rFonts w:ascii="宋体"/>
          <w:kern w:val="0"/>
          <w:sz w:val="24"/>
        </w:rPr>
        <w:t>IT</w:t>
      </w:r>
      <w:r w:rsidRPr="00CE7879">
        <w:rPr>
          <w:rFonts w:ascii="宋体"/>
          <w:kern w:val="0"/>
          <w:sz w:val="24"/>
        </w:rPr>
        <w:t>投资受六大因素影响，将劲增</w:t>
      </w:r>
      <w:r w:rsidRPr="00CE7879">
        <w:rPr>
          <w:rFonts w:ascii="宋体"/>
          <w:kern w:val="0"/>
          <w:sz w:val="24"/>
        </w:rPr>
        <w:t>16%</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作为管理和服务部门，政府机</w:t>
      </w:r>
      <w:r w:rsidRPr="00CE7879">
        <w:rPr>
          <w:rFonts w:ascii="宋体"/>
          <w:kern w:val="0"/>
          <w:sz w:val="24"/>
        </w:rPr>
        <w:t>构的信息化建设受到多种因素的影响，从而直接关系到</w:t>
      </w:r>
      <w:r w:rsidRPr="00CE7879">
        <w:rPr>
          <w:rFonts w:ascii="宋体"/>
          <w:kern w:val="0"/>
          <w:sz w:val="24"/>
        </w:rPr>
        <w:t>IT</w:t>
      </w:r>
      <w:r w:rsidRPr="00CE7879">
        <w:rPr>
          <w:rFonts w:ascii="宋体"/>
          <w:kern w:val="0"/>
          <w:sz w:val="24"/>
        </w:rPr>
        <w:t>投资。计世资讯</w:t>
      </w:r>
      <w:r w:rsidRPr="00CE7879">
        <w:rPr>
          <w:rFonts w:ascii="宋体"/>
          <w:kern w:val="0"/>
          <w:sz w:val="24"/>
        </w:rPr>
        <w:t>(CCW Research)</w:t>
      </w:r>
      <w:r w:rsidRPr="00CE7879">
        <w:rPr>
          <w:rFonts w:ascii="宋体"/>
          <w:kern w:val="0"/>
          <w:sz w:val="24"/>
        </w:rPr>
        <w:t>预测</w:t>
      </w:r>
      <w:r w:rsidRPr="00CE7879">
        <w:rPr>
          <w:rFonts w:ascii="宋体"/>
          <w:kern w:val="0"/>
          <w:sz w:val="24"/>
        </w:rPr>
        <w:t>2024</w:t>
      </w:r>
      <w:r w:rsidRPr="00CE7879">
        <w:rPr>
          <w:rFonts w:ascii="宋体"/>
          <w:kern w:val="0"/>
          <w:sz w:val="24"/>
        </w:rPr>
        <w:t>年政府</w:t>
      </w:r>
      <w:r w:rsidRPr="00CE7879">
        <w:rPr>
          <w:rFonts w:ascii="宋体"/>
          <w:kern w:val="0"/>
          <w:sz w:val="24"/>
        </w:rPr>
        <w:t>IT</w:t>
      </w:r>
      <w:r w:rsidRPr="00CE7879">
        <w:rPr>
          <w:rFonts w:ascii="宋体"/>
          <w:kern w:val="0"/>
          <w:sz w:val="24"/>
        </w:rPr>
        <w:t>投资将增长</w:t>
      </w:r>
      <w:r w:rsidRPr="00CE7879">
        <w:rPr>
          <w:rFonts w:ascii="宋体"/>
          <w:kern w:val="0"/>
          <w:sz w:val="24"/>
        </w:rPr>
        <w:t>16%</w:t>
      </w:r>
      <w:r w:rsidRPr="00CE7879">
        <w:rPr>
          <w:rFonts w:ascii="宋体"/>
          <w:kern w:val="0"/>
          <w:sz w:val="24"/>
        </w:rPr>
        <w:t>，投资总额达到</w:t>
      </w:r>
      <w:r w:rsidRPr="00CE7879">
        <w:rPr>
          <w:rFonts w:ascii="宋体"/>
          <w:kern w:val="0"/>
          <w:sz w:val="24"/>
        </w:rPr>
        <w:t>400</w:t>
      </w:r>
      <w:r w:rsidRPr="00CE7879">
        <w:rPr>
          <w:rFonts w:ascii="宋体"/>
          <w:kern w:val="0"/>
          <w:sz w:val="24"/>
        </w:rPr>
        <w:t>亿人民币。影响政府机构</w:t>
      </w:r>
      <w:r w:rsidRPr="00CE7879">
        <w:rPr>
          <w:rFonts w:ascii="宋体"/>
          <w:kern w:val="0"/>
          <w:sz w:val="24"/>
        </w:rPr>
        <w:t>IT</w:t>
      </w:r>
      <w:r w:rsidRPr="00CE7879">
        <w:rPr>
          <w:rFonts w:ascii="宋体"/>
          <w:kern w:val="0"/>
          <w:sz w:val="24"/>
        </w:rPr>
        <w:t>投资的因素主要是一些几点。</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向服务型政府转变：政府机构体制改革进一步深化，各级政府加快向服务型政府的转变。作为服务型政府重要特征的电子政务，必将迎来新一轮的建设高潮，从而带动与之相配合的</w:t>
      </w:r>
      <w:r w:rsidRPr="00CE7879">
        <w:rPr>
          <w:rFonts w:ascii="宋体"/>
          <w:kern w:val="0"/>
          <w:sz w:val="24"/>
        </w:rPr>
        <w:t>IT</w:t>
      </w:r>
      <w:r w:rsidRPr="00CE7879">
        <w:rPr>
          <w:rFonts w:ascii="宋体"/>
          <w:kern w:val="0"/>
          <w:sz w:val="24"/>
        </w:rPr>
        <w:t>投资。</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公共服务系统将全面铺开：政府将重点建设公共服务系统</w:t>
      </w:r>
      <w:r w:rsidRPr="00CE7879">
        <w:rPr>
          <w:rFonts w:ascii="宋体"/>
          <w:kern w:val="0"/>
          <w:sz w:val="24"/>
        </w:rPr>
        <w:t>(</w:t>
      </w:r>
      <w:r w:rsidRPr="00CE7879">
        <w:rPr>
          <w:rFonts w:ascii="宋体"/>
          <w:kern w:val="0"/>
          <w:sz w:val="24"/>
        </w:rPr>
        <w:t>如应急指挥系统、网上办公系统等</w:t>
      </w:r>
      <w:r w:rsidRPr="00CE7879">
        <w:rPr>
          <w:rFonts w:ascii="宋体"/>
          <w:kern w:val="0"/>
          <w:sz w:val="24"/>
        </w:rPr>
        <w:t>)</w:t>
      </w:r>
      <w:r w:rsidRPr="00CE7879">
        <w:rPr>
          <w:rFonts w:ascii="宋体"/>
          <w:kern w:val="0"/>
          <w:sz w:val="24"/>
        </w:rPr>
        <w:t>。</w:t>
      </w:r>
    </w:p>
    <w:p w:rsidR="00D50289" w:rsidRPr="00CE7879">
      <w:pPr>
        <w:widowControl/>
        <w:spacing w:before="100" w:beforeAutospacing="1" w:after="100" w:afterAutospacing="1" w:line="312" w:lineRule="auto"/>
        <w:jc w:val="left"/>
        <w:rPr>
          <w:rFonts w:ascii="宋体"/>
          <w:kern w:val="0"/>
          <w:sz w:val="24"/>
        </w:rPr>
        <w:sectPr>
          <w:pgSz w:w="11906" w:h="16838"/>
          <w:pgMar w:top="1440" w:right="1800" w:bottom="1440" w:left="1800" w:header="851" w:footer="992" w:gutter="0"/>
          <w:cols w:space="425"/>
          <w:docGrid w:type="lines" w:linePitch="312"/>
        </w:sectPr>
      </w:pPr>
      <w:r w:rsidRPr="00CE7879">
        <w:rPr>
          <w:rFonts w:ascii="宋体"/>
          <w:kern w:val="0"/>
          <w:sz w:val="24"/>
        </w:rPr>
        <w:t>　　更加重视基层</w:t>
      </w:r>
      <w:r w:rsidRPr="00CE7879">
        <w:rPr>
          <w:rFonts w:ascii="宋体"/>
          <w:kern w:val="0"/>
          <w:sz w:val="24"/>
        </w:rPr>
        <w:t>IT</w:t>
      </w:r>
      <w:r w:rsidRPr="00CE7879">
        <w:rPr>
          <w:rFonts w:ascii="宋体"/>
          <w:kern w:val="0"/>
          <w:sz w:val="24"/>
        </w:rPr>
        <w:t>建设：政府信息化深入</w:t>
      </w:r>
      <w:r w:rsidRPr="00CE7879">
        <w:rPr>
          <w:rFonts w:ascii="宋体"/>
          <w:kern w:val="0"/>
          <w:sz w:val="24"/>
        </w:rPr>
        <w:t>基层，例如区县、山区的信息化建设</w:t>
      </w:r>
      <w:r w:rsidRPr="00CE7879">
        <w:rPr>
          <w:rFonts w:ascii="宋体"/>
          <w:kern w:val="0"/>
          <w:sz w:val="24"/>
        </w:rPr>
        <w:t>IT</w:t>
      </w:r>
      <w:r w:rsidRPr="00CE7879">
        <w:rPr>
          <w:rFonts w:ascii="宋体"/>
          <w:kern w:val="0"/>
          <w:sz w:val="24"/>
        </w:rPr>
        <w:t>投资力度加大。</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政府采购法对国内企业的扶持作用进一步显现：随着政府采购法的贯彻实施，在同等性能价格比的条件下，国内厂商将获得更多的机会，尤其是在</w:t>
      </w:r>
      <w:r w:rsidRPr="00CE7879">
        <w:rPr>
          <w:rFonts w:ascii="宋体"/>
          <w:kern w:val="0"/>
          <w:sz w:val="24"/>
        </w:rPr>
        <w:t>PC</w:t>
      </w:r>
      <w:r w:rsidRPr="00CE7879">
        <w:rPr>
          <w:rFonts w:ascii="宋体"/>
          <w:kern w:val="0"/>
          <w:sz w:val="24"/>
        </w:rPr>
        <w:t>、软件、信息安全等产品方面。计世资讯</w:t>
      </w:r>
      <w:r w:rsidRPr="00CE7879">
        <w:rPr>
          <w:rFonts w:ascii="宋体"/>
          <w:kern w:val="0"/>
          <w:sz w:val="24"/>
        </w:rPr>
        <w:t>(CCW Research)</w:t>
      </w:r>
      <w:r w:rsidRPr="00CE7879">
        <w:rPr>
          <w:rFonts w:ascii="宋体"/>
          <w:kern w:val="0"/>
          <w:sz w:val="24"/>
        </w:rPr>
        <w:t>最近的调研数据也证明了这一点，</w:t>
      </w:r>
      <w:r w:rsidRPr="00CE7879">
        <w:rPr>
          <w:rFonts w:ascii="宋体"/>
          <w:kern w:val="0"/>
          <w:sz w:val="24"/>
        </w:rPr>
        <w:t>82.9%</w:t>
      </w:r>
      <w:r w:rsidRPr="00CE7879">
        <w:rPr>
          <w:rFonts w:ascii="宋体"/>
          <w:kern w:val="0"/>
          <w:sz w:val="24"/>
        </w:rPr>
        <w:t>的政府机构严格遵循政府采购法，在同等性价比条件下将优先采用国内厂商的产品和服务；仅有</w:t>
      </w:r>
      <w:r w:rsidRPr="00CE7879">
        <w:rPr>
          <w:rFonts w:ascii="宋体"/>
          <w:kern w:val="0"/>
          <w:sz w:val="24"/>
        </w:rPr>
        <w:t xml:space="preserve"> 17.1%</w:t>
      </w:r>
      <w:r w:rsidRPr="00CE7879">
        <w:rPr>
          <w:rFonts w:ascii="宋体"/>
          <w:kern w:val="0"/>
          <w:sz w:val="24"/>
        </w:rPr>
        <w:t>的政府机构表示在采购中仍将根据自身需求综合考虑，而不会考虑是否国内厂商，尤其是质量要求高的产品仍将主要考虑国外品牌。</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W</w:t>
      </w:r>
      <w:r w:rsidRPr="00CE7879">
        <w:rPr>
          <w:rFonts w:ascii="宋体"/>
          <w:kern w:val="0"/>
          <w:sz w:val="24"/>
        </w:rPr>
        <w:t>TO</w:t>
      </w:r>
      <w:r w:rsidRPr="00CE7879">
        <w:rPr>
          <w:rFonts w:ascii="宋体"/>
          <w:kern w:val="0"/>
          <w:sz w:val="24"/>
        </w:rPr>
        <w:t>效应进一步显现：政府机构是受</w:t>
      </w:r>
      <w:r w:rsidRPr="00CE7879">
        <w:rPr>
          <w:rFonts w:ascii="宋体"/>
          <w:kern w:val="0"/>
          <w:sz w:val="24"/>
        </w:rPr>
        <w:t>WTO</w:t>
      </w:r>
      <w:r w:rsidRPr="00CE7879">
        <w:rPr>
          <w:rFonts w:ascii="宋体"/>
          <w:kern w:val="0"/>
          <w:sz w:val="24"/>
        </w:rPr>
        <w:t>规则影响较大的部门，</w:t>
      </w:r>
      <w:r w:rsidRPr="00CE7879">
        <w:rPr>
          <w:rFonts w:ascii="宋体"/>
          <w:kern w:val="0"/>
          <w:sz w:val="24"/>
        </w:rPr>
        <w:t>WTO</w:t>
      </w:r>
      <w:r w:rsidRPr="00CE7879">
        <w:rPr>
          <w:rFonts w:ascii="宋体"/>
          <w:kern w:val="0"/>
          <w:sz w:val="24"/>
        </w:rPr>
        <w:t>迫使政府部门的管理和服务水平逐步与国际接轨，而信息化建设是提高管理和服务水平的必经之路。</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SARS</w:t>
      </w:r>
      <w:r w:rsidRPr="00CE7879">
        <w:rPr>
          <w:rFonts w:ascii="宋体"/>
          <w:kern w:val="0"/>
          <w:sz w:val="24"/>
        </w:rPr>
        <w:t>：</w:t>
      </w:r>
      <w:r w:rsidRPr="00CE7879">
        <w:rPr>
          <w:rFonts w:ascii="宋体"/>
          <w:kern w:val="0"/>
          <w:sz w:val="24"/>
        </w:rPr>
        <w:t>2024</w:t>
      </w:r>
      <w:r w:rsidRPr="00CE7879">
        <w:rPr>
          <w:rFonts w:ascii="宋体"/>
          <w:kern w:val="0"/>
          <w:sz w:val="24"/>
        </w:rPr>
        <w:t>年</w:t>
      </w:r>
      <w:r w:rsidRPr="00CE7879">
        <w:rPr>
          <w:rFonts w:ascii="宋体"/>
          <w:kern w:val="0"/>
          <w:sz w:val="24"/>
        </w:rPr>
        <w:t>SARS</w:t>
      </w:r>
      <w:r w:rsidRPr="00CE7879">
        <w:rPr>
          <w:rFonts w:ascii="宋体"/>
          <w:kern w:val="0"/>
          <w:sz w:val="24"/>
        </w:rPr>
        <w:t>对最近几年政府机构的信息化建设不会产生大的影响，但在一定程度上影响了</w:t>
      </w:r>
      <w:r w:rsidRPr="00CE7879">
        <w:rPr>
          <w:rFonts w:ascii="宋体"/>
          <w:kern w:val="0"/>
          <w:sz w:val="24"/>
        </w:rPr>
        <w:t>IT</w:t>
      </w:r>
      <w:r w:rsidRPr="00CE7879">
        <w:rPr>
          <w:rFonts w:ascii="宋体"/>
          <w:kern w:val="0"/>
          <w:sz w:val="24"/>
        </w:rPr>
        <w:t>建设的进度、投入和建设方向。</w:t>
      </w:r>
      <w:r w:rsidRPr="00CE7879">
        <w:rPr>
          <w:rFonts w:ascii="宋体"/>
          <w:kern w:val="0"/>
          <w:sz w:val="24"/>
        </w:rPr>
        <w:t>2024</w:t>
      </w:r>
      <w:r w:rsidRPr="00CE7879">
        <w:rPr>
          <w:rFonts w:ascii="宋体"/>
          <w:kern w:val="0"/>
          <w:sz w:val="24"/>
        </w:rPr>
        <w:t>年，</w:t>
      </w:r>
      <w:r w:rsidRPr="00CE7879">
        <w:rPr>
          <w:rFonts w:ascii="宋体"/>
          <w:kern w:val="0"/>
          <w:sz w:val="24"/>
        </w:rPr>
        <w:t>SARS</w:t>
      </w:r>
      <w:r w:rsidRPr="00CE7879">
        <w:rPr>
          <w:rFonts w:ascii="宋体"/>
          <w:kern w:val="0"/>
          <w:sz w:val="24"/>
        </w:rPr>
        <w:t>是否会卷土重来，将影响政府的</w:t>
      </w:r>
      <w:r w:rsidRPr="00CE7879">
        <w:rPr>
          <w:rFonts w:ascii="宋体"/>
          <w:kern w:val="0"/>
          <w:sz w:val="24"/>
        </w:rPr>
        <w:t>IT</w:t>
      </w:r>
      <w:r w:rsidRPr="00CE7879">
        <w:rPr>
          <w:rFonts w:ascii="宋体"/>
          <w:kern w:val="0"/>
          <w:sz w:val="24"/>
        </w:rPr>
        <w:t>规划的实施，从而影响</w:t>
      </w:r>
      <w:r w:rsidRPr="00CE7879">
        <w:rPr>
          <w:rFonts w:ascii="宋体"/>
          <w:kern w:val="0"/>
          <w:sz w:val="24"/>
        </w:rPr>
        <w:t>IT</w:t>
      </w:r>
      <w:r w:rsidRPr="00CE7879">
        <w:rPr>
          <w:rFonts w:ascii="宋体"/>
          <w:kern w:val="0"/>
          <w:sz w:val="24"/>
        </w:rPr>
        <w:t>投资的时间、方向和力度。</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图表：</w:t>
      </w:r>
      <w:r w:rsidRPr="00CE7879">
        <w:rPr>
          <w:rFonts w:ascii="宋体"/>
          <w:kern w:val="0"/>
          <w:sz w:val="24"/>
        </w:rPr>
        <w:t>SARS</w:t>
      </w:r>
      <w:r w:rsidRPr="00CE7879">
        <w:rPr>
          <w:rFonts w:ascii="宋体"/>
          <w:kern w:val="0"/>
          <w:sz w:val="24"/>
        </w:rPr>
        <w:t>对最近几年政府信息化建设的影响</w:t>
      </w:r>
    </w:p>
    <w:p w:rsidR="00D50289" w:rsidRPr="00CE7879">
      <w:pPr>
        <w:widowControl/>
        <w:spacing w:line="312" w:lineRule="auto"/>
        <w:jc w:val="center"/>
        <w:rPr>
          <w:rFonts w:ascii="宋体"/>
          <w:kern w:val="0"/>
          <w:sz w:val="24"/>
        </w:rPr>
      </w:pPr>
      <w:r>
        <w:rPr>
          <w:rFonts w:ascii="宋体"/>
          <w:color w:val="0000FF"/>
          <w:kern w:val="0"/>
          <w:sz w:val="24"/>
          <w:u w:val="singl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5370834" o:spid="_x0000_i1025" type="#_x0000_t75" style="width:339pt;height:201pt;visibility:visible">
            <v:imagedata r:id="rId4" r:href="rId5" o:title=""/>
          </v:shape>
        </w:pic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教育信息化市场增速减缓</w:t>
      </w:r>
    </w:p>
    <w:p w:rsidR="00D50289" w:rsidRPr="00CE7879">
      <w:pPr>
        <w:widowControl/>
        <w:spacing w:before="100" w:beforeAutospacing="1" w:after="100" w:afterAutospacing="1" w:line="312" w:lineRule="auto"/>
        <w:jc w:val="left"/>
        <w:rPr>
          <w:rFonts w:ascii="宋体"/>
          <w:kern w:val="0"/>
          <w:sz w:val="24"/>
        </w:rPr>
        <w:sectPr>
          <w:type w:val="nextPage"/>
          <w:pgSz w:w="11906" w:h="16838"/>
          <w:pgMar w:top="1440" w:right="1800" w:bottom="1440" w:left="1800" w:header="851" w:footer="992" w:gutter="0"/>
          <w:pgNumType w:start="2"/>
          <w:cols w:space="425"/>
          <w:titlePg w:val="0"/>
          <w:docGrid w:type="lines" w:linePitch="312"/>
        </w:sectPr>
      </w:pPr>
      <w:r w:rsidRPr="00CE7879">
        <w:rPr>
          <w:rFonts w:ascii="宋体"/>
          <w:kern w:val="0"/>
          <w:sz w:val="24"/>
        </w:rPr>
        <w:t>　　从高校</w:t>
      </w:r>
      <w:r w:rsidRPr="00CE7879">
        <w:rPr>
          <w:rFonts w:ascii="宋体"/>
          <w:kern w:val="0"/>
          <w:sz w:val="24"/>
        </w:rPr>
        <w:t>“211</w:t>
      </w:r>
      <w:r w:rsidRPr="00CE7879">
        <w:rPr>
          <w:rFonts w:ascii="宋体"/>
          <w:kern w:val="0"/>
          <w:sz w:val="24"/>
        </w:rPr>
        <w:t>工程</w:t>
      </w:r>
      <w:r w:rsidRPr="00CE7879">
        <w:rPr>
          <w:rFonts w:ascii="宋体"/>
          <w:kern w:val="0"/>
          <w:sz w:val="24"/>
        </w:rPr>
        <w:t>”</w:t>
      </w:r>
      <w:r w:rsidRPr="00CE7879">
        <w:rPr>
          <w:rFonts w:ascii="宋体"/>
          <w:kern w:val="0"/>
          <w:sz w:val="24"/>
        </w:rPr>
        <w:t>建设到中小学</w:t>
      </w:r>
      <w:r w:rsidRPr="00CE7879">
        <w:rPr>
          <w:rFonts w:ascii="宋体"/>
          <w:kern w:val="0"/>
          <w:sz w:val="24"/>
        </w:rPr>
        <w:t>“</w:t>
      </w:r>
      <w:r w:rsidRPr="00CE7879">
        <w:rPr>
          <w:rFonts w:ascii="宋体"/>
          <w:kern w:val="0"/>
          <w:sz w:val="24"/>
        </w:rPr>
        <w:t>校校通</w:t>
      </w:r>
      <w:r w:rsidRPr="00CE7879">
        <w:rPr>
          <w:rFonts w:ascii="宋体"/>
          <w:kern w:val="0"/>
          <w:sz w:val="24"/>
        </w:rPr>
        <w:t>”</w:t>
      </w:r>
      <w:r w:rsidRPr="00CE7879">
        <w:rPr>
          <w:rFonts w:ascii="宋体"/>
          <w:kern w:val="0"/>
          <w:sz w:val="24"/>
        </w:rPr>
        <w:t>工程的实施，</w:t>
      </w:r>
      <w:r w:rsidRPr="00CE7879">
        <w:rPr>
          <w:rFonts w:ascii="宋体"/>
          <w:kern w:val="0"/>
          <w:sz w:val="24"/>
        </w:rPr>
        <w:t>“</w:t>
      </w:r>
      <w:r w:rsidRPr="00CE7879">
        <w:rPr>
          <w:rFonts w:ascii="宋体"/>
          <w:kern w:val="0"/>
          <w:sz w:val="24"/>
        </w:rPr>
        <w:t>九五</w:t>
      </w:r>
      <w:r w:rsidRPr="00CE7879">
        <w:rPr>
          <w:rFonts w:ascii="宋体"/>
          <w:kern w:val="0"/>
          <w:sz w:val="24"/>
        </w:rPr>
        <w:t>”</w:t>
      </w:r>
      <w:r w:rsidRPr="00CE7879">
        <w:rPr>
          <w:rFonts w:ascii="宋体"/>
          <w:kern w:val="0"/>
          <w:sz w:val="24"/>
        </w:rPr>
        <w:t>期间我国教育信息化发展迅速，尤其是在整个</w:t>
      </w:r>
      <w:r w:rsidRPr="00CE7879">
        <w:rPr>
          <w:rFonts w:ascii="宋体"/>
          <w:kern w:val="0"/>
          <w:sz w:val="24"/>
        </w:rPr>
        <w:t>IT</w:t>
      </w:r>
      <w:r w:rsidRPr="00CE7879">
        <w:rPr>
          <w:rFonts w:ascii="宋体"/>
          <w:kern w:val="0"/>
          <w:sz w:val="24"/>
        </w:rPr>
        <w:t>市场不景气的</w:t>
      </w:r>
      <w:r w:rsidRPr="00CE7879">
        <w:rPr>
          <w:rFonts w:ascii="宋体"/>
          <w:kern w:val="0"/>
          <w:sz w:val="24"/>
        </w:rPr>
        <w:t>2024</w:t>
      </w:r>
      <w:r w:rsidRPr="00CE7879">
        <w:rPr>
          <w:rFonts w:ascii="宋体"/>
          <w:kern w:val="0"/>
          <w:sz w:val="24"/>
        </w:rPr>
        <w:t>年</w:t>
      </w:r>
      <w:r w:rsidRPr="00CE7879">
        <w:rPr>
          <w:rFonts w:ascii="宋体"/>
          <w:kern w:val="0"/>
          <w:sz w:val="24"/>
        </w:rPr>
        <w:t>—</w:t>
      </w:r>
      <w:r w:rsidRPr="00CE7879">
        <w:rPr>
          <w:rFonts w:ascii="宋体"/>
          <w:kern w:val="0"/>
          <w:sz w:val="24"/>
        </w:rPr>
        <w:t>2024</w:t>
      </w:r>
      <w:r w:rsidRPr="00CE7879">
        <w:rPr>
          <w:rFonts w:ascii="宋体"/>
          <w:kern w:val="0"/>
          <w:sz w:val="24"/>
        </w:rPr>
        <w:t>年，教育市场可谓活跃异常，截止</w:t>
      </w:r>
      <w:r w:rsidRPr="00CE7879">
        <w:rPr>
          <w:rFonts w:ascii="宋体"/>
          <w:kern w:val="0"/>
          <w:sz w:val="24"/>
        </w:rPr>
        <w:t>2024</w:t>
      </w:r>
      <w:r w:rsidRPr="00CE7879">
        <w:rPr>
          <w:rFonts w:ascii="宋体"/>
          <w:kern w:val="0"/>
          <w:sz w:val="24"/>
        </w:rPr>
        <w:t>年，近</w:t>
      </w:r>
      <w:r w:rsidRPr="00CE7879">
        <w:rPr>
          <w:rFonts w:ascii="宋体"/>
          <w:kern w:val="0"/>
          <w:sz w:val="24"/>
        </w:rPr>
        <w:t>75%</w:t>
      </w:r>
      <w:r w:rsidRPr="00CE7879">
        <w:rPr>
          <w:rFonts w:ascii="宋体"/>
          <w:kern w:val="0"/>
          <w:sz w:val="24"/>
        </w:rPr>
        <w:t>的高等院校建有校园网，</w:t>
      </w:r>
      <w:r w:rsidRPr="00CE7879">
        <w:rPr>
          <w:rFonts w:ascii="宋体"/>
          <w:kern w:val="0"/>
          <w:sz w:val="24"/>
        </w:rPr>
        <w:t>近</w:t>
      </w:r>
      <w:r w:rsidRPr="00CE7879">
        <w:rPr>
          <w:rFonts w:ascii="宋体"/>
          <w:kern w:val="0"/>
          <w:sz w:val="24"/>
        </w:rPr>
        <w:t>15</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万所中小学校开设了信息技术课，城域网和校园网近</w:t>
      </w:r>
      <w:r w:rsidRPr="00CE7879">
        <w:rPr>
          <w:rFonts w:ascii="宋体"/>
          <w:kern w:val="0"/>
          <w:sz w:val="24"/>
        </w:rPr>
        <w:t>2</w:t>
      </w:r>
      <w:r w:rsidRPr="00CE7879">
        <w:rPr>
          <w:rFonts w:ascii="宋体"/>
          <w:kern w:val="0"/>
          <w:sz w:val="24"/>
        </w:rPr>
        <w:t>万个，发展势头不可阻挡；并在一定程度上拉动了市场的对</w:t>
      </w:r>
      <w:r w:rsidRPr="00CE7879">
        <w:rPr>
          <w:rFonts w:ascii="宋体"/>
          <w:kern w:val="0"/>
          <w:sz w:val="24"/>
        </w:rPr>
        <w:t>IT</w:t>
      </w:r>
      <w:r w:rsidRPr="00CE7879">
        <w:rPr>
          <w:rFonts w:ascii="宋体"/>
          <w:kern w:val="0"/>
          <w:sz w:val="24"/>
        </w:rPr>
        <w:t>的需求。据计世资讯</w:t>
      </w:r>
      <w:r w:rsidRPr="00CE7879">
        <w:rPr>
          <w:rFonts w:ascii="宋体"/>
          <w:kern w:val="0"/>
          <w:sz w:val="24"/>
        </w:rPr>
        <w:t>(CCW Research)</w:t>
      </w:r>
      <w:r w:rsidRPr="00CE7879">
        <w:rPr>
          <w:rFonts w:ascii="宋体"/>
          <w:kern w:val="0"/>
          <w:sz w:val="24"/>
        </w:rPr>
        <w:t>研究，从</w:t>
      </w:r>
      <w:r w:rsidRPr="00CE7879">
        <w:rPr>
          <w:rFonts w:ascii="宋体"/>
          <w:kern w:val="0"/>
          <w:sz w:val="24"/>
        </w:rPr>
        <w:t>2024</w:t>
      </w:r>
      <w:r w:rsidRPr="00CE7879">
        <w:rPr>
          <w:rFonts w:ascii="宋体"/>
          <w:kern w:val="0"/>
          <w:sz w:val="24"/>
        </w:rPr>
        <w:t>年</w:t>
      </w:r>
      <w:r w:rsidRPr="00CE7879">
        <w:rPr>
          <w:rFonts w:ascii="宋体"/>
          <w:kern w:val="0"/>
          <w:sz w:val="24"/>
        </w:rPr>
        <w:t>—</w:t>
      </w:r>
      <w:r w:rsidRPr="00CE7879">
        <w:rPr>
          <w:rFonts w:ascii="宋体"/>
          <w:kern w:val="0"/>
          <w:sz w:val="24"/>
        </w:rPr>
        <w:t>2024</w:t>
      </w:r>
      <w:r w:rsidRPr="00CE7879">
        <w:rPr>
          <w:rFonts w:ascii="宋体"/>
          <w:kern w:val="0"/>
          <w:sz w:val="24"/>
        </w:rPr>
        <w:t>年，教育信息化市场每年都以超过</w:t>
      </w:r>
      <w:r w:rsidRPr="00CE7879">
        <w:rPr>
          <w:rFonts w:ascii="宋体"/>
          <w:kern w:val="0"/>
          <w:sz w:val="24"/>
        </w:rPr>
        <w:t>10%</w:t>
      </w:r>
      <w:r w:rsidRPr="00CE7879">
        <w:rPr>
          <w:rFonts w:ascii="宋体"/>
          <w:kern w:val="0"/>
          <w:sz w:val="24"/>
        </w:rPr>
        <w:t>的速度增长</w:t>
      </w:r>
      <w:r w:rsidRPr="00CE7879">
        <w:rPr>
          <w:rFonts w:ascii="宋体"/>
          <w:kern w:val="0"/>
          <w:sz w:val="24"/>
        </w:rPr>
        <w:t>(</w:t>
      </w:r>
      <w:r w:rsidRPr="00CE7879">
        <w:rPr>
          <w:rFonts w:ascii="宋体"/>
          <w:kern w:val="0"/>
          <w:sz w:val="24"/>
        </w:rPr>
        <w:t>如下图</w:t>
      </w:r>
      <w:r w:rsidRPr="00CE7879">
        <w:rPr>
          <w:rFonts w:ascii="宋体"/>
          <w:kern w:val="0"/>
          <w:sz w:val="24"/>
        </w:rPr>
        <w:t>)</w:t>
      </w:r>
      <w:r w:rsidRPr="00CE7879">
        <w:rPr>
          <w:rFonts w:ascii="宋体"/>
          <w:kern w:val="0"/>
          <w:sz w:val="24"/>
        </w:rPr>
        <w:t>，给众多</w:t>
      </w:r>
      <w:r w:rsidRPr="00CE7879">
        <w:rPr>
          <w:rFonts w:ascii="宋体"/>
          <w:kern w:val="0"/>
          <w:sz w:val="24"/>
        </w:rPr>
        <w:t>IT</w:t>
      </w:r>
      <w:r w:rsidRPr="00CE7879">
        <w:rPr>
          <w:rFonts w:ascii="宋体"/>
          <w:kern w:val="0"/>
          <w:sz w:val="24"/>
        </w:rPr>
        <w:t>厂商带来了新的市场机会。一时间校园网建设成为当时最为</w:t>
      </w:r>
      <w:r w:rsidRPr="00CE7879">
        <w:rPr>
          <w:rFonts w:ascii="宋体"/>
          <w:kern w:val="0"/>
          <w:sz w:val="24"/>
        </w:rPr>
        <w:t>IT</w:t>
      </w:r>
      <w:r w:rsidRPr="00CE7879">
        <w:rPr>
          <w:rFonts w:ascii="宋体"/>
          <w:kern w:val="0"/>
          <w:sz w:val="24"/>
        </w:rPr>
        <w:t>界最为热点的话题。</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然而据计世资讯</w:t>
      </w:r>
      <w:r w:rsidRPr="00CE7879">
        <w:rPr>
          <w:rFonts w:ascii="宋体"/>
          <w:kern w:val="0"/>
          <w:sz w:val="24"/>
        </w:rPr>
        <w:t>(CCW Research)</w:t>
      </w:r>
      <w:r w:rsidRPr="00CE7879">
        <w:rPr>
          <w:rFonts w:ascii="宋体"/>
          <w:kern w:val="0"/>
          <w:sz w:val="24"/>
        </w:rPr>
        <w:t>对</w:t>
      </w:r>
      <w:r w:rsidRPr="00CE7879">
        <w:rPr>
          <w:rFonts w:ascii="宋体"/>
          <w:kern w:val="0"/>
          <w:sz w:val="24"/>
        </w:rPr>
        <w:t>2024</w:t>
      </w:r>
      <w:r w:rsidRPr="00CE7879">
        <w:rPr>
          <w:rFonts w:ascii="宋体"/>
          <w:kern w:val="0"/>
          <w:sz w:val="24"/>
        </w:rPr>
        <w:t>年</w:t>
      </w:r>
      <w:r w:rsidRPr="00CE7879">
        <w:rPr>
          <w:rFonts w:ascii="宋体"/>
          <w:kern w:val="0"/>
          <w:sz w:val="24"/>
        </w:rPr>
        <w:t>—</w:t>
      </w:r>
      <w:r w:rsidRPr="00CE7879">
        <w:rPr>
          <w:rFonts w:ascii="宋体"/>
          <w:kern w:val="0"/>
          <w:sz w:val="24"/>
        </w:rPr>
        <w:t>2024</w:t>
      </w:r>
      <w:r w:rsidRPr="00CE7879">
        <w:rPr>
          <w:rFonts w:ascii="宋体"/>
          <w:kern w:val="0"/>
          <w:sz w:val="24"/>
        </w:rPr>
        <w:t>年教育行业信息化建设趋势预测可以看出，</w:t>
      </w:r>
      <w:r w:rsidRPr="00CE7879">
        <w:rPr>
          <w:rFonts w:ascii="宋体"/>
          <w:kern w:val="0"/>
          <w:sz w:val="24"/>
        </w:rPr>
        <w:t>2024</w:t>
      </w:r>
      <w:r w:rsidRPr="00CE7879">
        <w:rPr>
          <w:rFonts w:ascii="宋体"/>
          <w:kern w:val="0"/>
          <w:sz w:val="24"/>
        </w:rPr>
        <w:t>年教育行业信息化总投资达到</w:t>
      </w:r>
      <w:r w:rsidRPr="00CE7879">
        <w:rPr>
          <w:rFonts w:ascii="宋体"/>
          <w:kern w:val="0"/>
          <w:sz w:val="24"/>
        </w:rPr>
        <w:t>226.8</w:t>
      </w:r>
      <w:r w:rsidRPr="00CE7879">
        <w:rPr>
          <w:rFonts w:ascii="宋体"/>
          <w:kern w:val="0"/>
          <w:sz w:val="24"/>
        </w:rPr>
        <w:t>亿元人民币，比</w:t>
      </w:r>
      <w:r w:rsidRPr="00CE7879">
        <w:rPr>
          <w:rFonts w:ascii="宋体"/>
          <w:kern w:val="0"/>
          <w:sz w:val="24"/>
        </w:rPr>
        <w:t>2024</w:t>
      </w:r>
      <w:r w:rsidRPr="00CE7879">
        <w:rPr>
          <w:rFonts w:ascii="宋体"/>
          <w:kern w:val="0"/>
          <w:sz w:val="24"/>
        </w:rPr>
        <w:t>年增长</w:t>
      </w:r>
      <w:r w:rsidRPr="00CE7879">
        <w:rPr>
          <w:rFonts w:ascii="宋体"/>
          <w:kern w:val="0"/>
          <w:sz w:val="24"/>
        </w:rPr>
        <w:t>9%</w:t>
      </w:r>
      <w:r w:rsidRPr="00CE7879">
        <w:rPr>
          <w:rFonts w:ascii="宋体"/>
          <w:kern w:val="0"/>
          <w:sz w:val="24"/>
        </w:rPr>
        <w:t>；预计</w:t>
      </w:r>
      <w:r w:rsidRPr="00CE7879">
        <w:rPr>
          <w:rFonts w:ascii="宋体"/>
          <w:kern w:val="0"/>
          <w:sz w:val="24"/>
        </w:rPr>
        <w:t>2024</w:t>
      </w:r>
      <w:r w:rsidRPr="00CE7879">
        <w:rPr>
          <w:rFonts w:ascii="宋体"/>
          <w:kern w:val="0"/>
          <w:sz w:val="24"/>
        </w:rPr>
        <w:t>年教育行业信息化投资增长将在</w:t>
      </w:r>
      <w:r w:rsidRPr="00CE7879">
        <w:rPr>
          <w:rFonts w:ascii="宋体"/>
          <w:kern w:val="0"/>
          <w:sz w:val="24"/>
        </w:rPr>
        <w:t>8%</w:t>
      </w:r>
      <w:r w:rsidRPr="00CE7879">
        <w:rPr>
          <w:rFonts w:ascii="宋体"/>
          <w:kern w:val="0"/>
          <w:sz w:val="24"/>
        </w:rPr>
        <w:t>左右。根据</w:t>
      </w:r>
      <w:r w:rsidRPr="00CE7879">
        <w:rPr>
          <w:rFonts w:ascii="宋体"/>
          <w:kern w:val="0"/>
          <w:sz w:val="24"/>
        </w:rPr>
        <w:t>对教育行业的长期跟踪，计世资讯</w:t>
      </w:r>
      <w:r w:rsidRPr="00CE7879">
        <w:rPr>
          <w:rFonts w:ascii="宋体"/>
          <w:kern w:val="0"/>
          <w:sz w:val="24"/>
        </w:rPr>
        <w:t>(CCW Research)</w:t>
      </w:r>
      <w:r w:rsidRPr="00CE7879">
        <w:rPr>
          <w:rFonts w:ascii="宋体"/>
          <w:kern w:val="0"/>
          <w:sz w:val="24"/>
        </w:rPr>
        <w:t>认为：教育信息化投资将趋向平稳增速，增速有明显放缓的趋势。原因何在？</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首先，教育行业市场将进入以教学资源整合阶段。教育信息化建设初期是以基础设施的建设为重点，然而在大量的硬件投资的背后用户经历了</w:t>
      </w:r>
      <w:r w:rsidRPr="00CE7879">
        <w:rPr>
          <w:rFonts w:ascii="宋体"/>
          <w:kern w:val="0"/>
          <w:sz w:val="24"/>
        </w:rPr>
        <w:t>“</w:t>
      </w:r>
      <w:r w:rsidRPr="00CE7879">
        <w:rPr>
          <w:rFonts w:ascii="宋体"/>
          <w:kern w:val="0"/>
          <w:sz w:val="24"/>
        </w:rPr>
        <w:t>高速路上无车跑</w:t>
      </w:r>
      <w:r w:rsidRPr="00CE7879">
        <w:rPr>
          <w:rFonts w:ascii="宋体"/>
          <w:kern w:val="0"/>
          <w:sz w:val="24"/>
        </w:rPr>
        <w:t>”</w:t>
      </w:r>
      <w:r w:rsidRPr="00CE7879">
        <w:rPr>
          <w:rFonts w:ascii="宋体"/>
          <w:kern w:val="0"/>
          <w:sz w:val="24"/>
        </w:rPr>
        <w:t>的痛苦之后，逐渐认识到教育信息化最终的目的是教学应用，是资源的共享，网络硬件环境只是实现教学信息化的一种手段。</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其次，经济发达地区教育行业用户需求已经从快速成长期进入了业务整合发展期，大批量采购规模逐渐趋于平稳定量的采购，用户的</w:t>
      </w:r>
      <w:r w:rsidRPr="00CE7879">
        <w:rPr>
          <w:rFonts w:ascii="宋体"/>
          <w:kern w:val="0"/>
          <w:sz w:val="24"/>
        </w:rPr>
        <w:t>IT</w:t>
      </w:r>
      <w:r w:rsidRPr="00CE7879">
        <w:rPr>
          <w:rFonts w:ascii="宋体"/>
          <w:kern w:val="0"/>
          <w:sz w:val="24"/>
        </w:rPr>
        <w:t>采</w:t>
      </w:r>
      <w:r w:rsidRPr="00CE7879">
        <w:rPr>
          <w:rFonts w:ascii="宋体"/>
          <w:kern w:val="0"/>
          <w:sz w:val="24"/>
        </w:rPr>
        <w:t>购需求将同业务需求的增加而稳步增长，业务系统升级更新的用户增多</w:t>
      </w:r>
      <w:r w:rsidRPr="00CE7879">
        <w:rPr>
          <w:rFonts w:ascii="宋体"/>
          <w:kern w:val="0"/>
          <w:sz w:val="24"/>
        </w:rPr>
        <w:t>,</w:t>
      </w:r>
      <w:r w:rsidRPr="00CE7879">
        <w:rPr>
          <w:rFonts w:ascii="宋体"/>
          <w:kern w:val="0"/>
          <w:sz w:val="24"/>
        </w:rPr>
        <w:t>初次大规模采购的用户减少。用户的需求也将以好用、够用、适用作为信息化建设的指导思想。</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再次，教育信息化建设的重心将从城市转向广大的农村市场和西部地区。而农村和西部地区信息化投资以国家扶持为主，投资额是有限的。主要解决从无到有的问题。</w:t>
      </w:r>
    </w:p>
    <w:p w:rsidR="00D50289" w:rsidRPr="00CE7879">
      <w:pPr>
        <w:widowControl/>
        <w:spacing w:before="100" w:beforeAutospacing="1" w:after="100" w:afterAutospacing="1" w:line="312" w:lineRule="auto"/>
        <w:jc w:val="left"/>
        <w:rPr>
          <w:rFonts w:ascii="宋体"/>
          <w:kern w:val="0"/>
          <w:sz w:val="24"/>
        </w:rPr>
        <w:sectPr>
          <w:type w:val="nextPage"/>
          <w:pgSz w:w="11906" w:h="16838"/>
          <w:pgMar w:top="1440" w:right="1800" w:bottom="1440" w:left="1800" w:header="851" w:footer="992" w:gutter="0"/>
          <w:pgNumType w:start="3"/>
          <w:cols w:space="425"/>
          <w:titlePg w:val="0"/>
          <w:docGrid w:type="lines" w:linePitch="312"/>
        </w:sectPr>
      </w:pPr>
      <w:r w:rsidRPr="00CE7879">
        <w:rPr>
          <w:rFonts w:ascii="宋体"/>
          <w:kern w:val="0"/>
          <w:sz w:val="24"/>
        </w:rPr>
        <w:t>　　</w:t>
      </w:r>
      <w:r w:rsidRPr="00CE7879">
        <w:rPr>
          <w:rFonts w:ascii="宋体"/>
          <w:kern w:val="0"/>
          <w:sz w:val="24"/>
        </w:rPr>
        <w:t>2024-</w:t>
      </w:r>
      <w:r w:rsidRPr="00CE7879">
        <w:rPr>
          <w:rFonts w:ascii="宋体"/>
          <w:kern w:val="0"/>
          <w:sz w:val="24"/>
        </w:rPr>
        <w:t>2024</w:t>
      </w:r>
      <w:r w:rsidRPr="00CE7879">
        <w:rPr>
          <w:rFonts w:ascii="宋体"/>
          <w:kern w:val="0"/>
          <w:sz w:val="24"/>
        </w:rPr>
        <w:t>年教育信息化投资额变化情况</w:t>
      </w:r>
    </w:p>
    <w:p w:rsidR="00D50289" w:rsidRPr="00CE7879">
      <w:pPr>
        <w:widowControl/>
        <w:spacing w:line="312" w:lineRule="auto"/>
        <w:jc w:val="center"/>
        <w:rPr>
          <w:rFonts w:ascii="宋体"/>
          <w:kern w:val="0"/>
          <w:sz w:val="24"/>
        </w:rPr>
      </w:pPr>
      <w:r>
        <w:rPr>
          <w:rFonts w:ascii="宋体"/>
          <w:color w:val="0000FF"/>
          <w:kern w:val="0"/>
          <w:sz w:val="24"/>
          <w:u w:val="single"/>
        </w:rPr>
        <w:pict>
          <v:shape id="59185424" o:spid="_x0000_i1026" type="#_x0000_t75" style="width:345.75pt;height:204pt;visibility:visible">
            <v:imagedata r:id="rId6" r:href="rId7" o:title=""/>
          </v:shape>
        </w:pic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大型制造企业</w:t>
      </w:r>
      <w:r w:rsidRPr="00CE7879">
        <w:rPr>
          <w:rFonts w:ascii="宋体"/>
          <w:kern w:val="0"/>
          <w:sz w:val="24"/>
        </w:rPr>
        <w:t>2024</w:t>
      </w:r>
      <w:r w:rsidRPr="00CE7879">
        <w:rPr>
          <w:rFonts w:ascii="宋体"/>
          <w:kern w:val="0"/>
          <w:sz w:val="24"/>
        </w:rPr>
        <w:t>年信息化投资规模增长超过两成，凸显</w:t>
      </w:r>
      <w:r w:rsidRPr="00CE7879">
        <w:rPr>
          <w:rFonts w:ascii="宋体"/>
          <w:kern w:val="0"/>
          <w:sz w:val="24"/>
        </w:rPr>
        <w:t>“</w:t>
      </w:r>
      <w:r w:rsidRPr="00CE7879">
        <w:rPr>
          <w:rFonts w:ascii="宋体"/>
          <w:kern w:val="0"/>
          <w:sz w:val="24"/>
        </w:rPr>
        <w:t>滚雪球效应</w:t>
      </w:r>
      <w:r w:rsidRPr="00CE7879">
        <w:rPr>
          <w:rFonts w:ascii="宋体"/>
          <w:kern w:val="0"/>
          <w:sz w:val="24"/>
        </w:rPr>
        <w:t>”</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计世资讯</w:t>
      </w:r>
      <w:r w:rsidRPr="00CE7879">
        <w:rPr>
          <w:rFonts w:ascii="宋体"/>
          <w:kern w:val="0"/>
          <w:sz w:val="24"/>
        </w:rPr>
        <w:t>(CCW Research)</w:t>
      </w:r>
      <w:r w:rsidRPr="00CE7879">
        <w:rPr>
          <w:rFonts w:ascii="宋体"/>
          <w:kern w:val="0"/>
          <w:sz w:val="24"/>
        </w:rPr>
        <w:t>研究发现，由于很多大型制造企业经济发展良好，</w:t>
      </w:r>
      <w:r w:rsidRPr="00CE7879">
        <w:rPr>
          <w:rFonts w:ascii="宋体"/>
          <w:kern w:val="0"/>
          <w:sz w:val="24"/>
        </w:rPr>
        <w:t>2024</w:t>
      </w:r>
      <w:r w:rsidRPr="00CE7879">
        <w:rPr>
          <w:rFonts w:ascii="宋体"/>
          <w:kern w:val="0"/>
          <w:sz w:val="24"/>
        </w:rPr>
        <w:t>年企业信息化投资规模约增长至</w:t>
      </w:r>
      <w:r w:rsidRPr="00CE7879">
        <w:rPr>
          <w:rFonts w:ascii="宋体"/>
          <w:kern w:val="0"/>
          <w:sz w:val="24"/>
        </w:rPr>
        <w:t>93.5</w:t>
      </w:r>
      <w:r w:rsidRPr="00CE7879">
        <w:rPr>
          <w:rFonts w:ascii="宋体"/>
          <w:kern w:val="0"/>
          <w:sz w:val="24"/>
        </w:rPr>
        <w:t>亿元，约占制造业行业整体的</w:t>
      </w:r>
      <w:r w:rsidRPr="00CE7879">
        <w:rPr>
          <w:rFonts w:ascii="宋体"/>
          <w:kern w:val="0"/>
          <w:sz w:val="24"/>
        </w:rPr>
        <w:t>47.9%(</w:t>
      </w:r>
      <w:r w:rsidRPr="00CE7879">
        <w:rPr>
          <w:rFonts w:ascii="宋体"/>
          <w:kern w:val="0"/>
          <w:sz w:val="24"/>
        </w:rPr>
        <w:t>制造业行业整体规模约为</w:t>
      </w:r>
      <w:r w:rsidRPr="00CE7879">
        <w:rPr>
          <w:rFonts w:ascii="宋体"/>
          <w:kern w:val="0"/>
          <w:sz w:val="24"/>
        </w:rPr>
        <w:t>195</w:t>
      </w:r>
      <w:r w:rsidRPr="00CE7879">
        <w:rPr>
          <w:rFonts w:ascii="宋体"/>
          <w:kern w:val="0"/>
          <w:sz w:val="24"/>
        </w:rPr>
        <w:t>亿元</w:t>
      </w:r>
      <w:r w:rsidRPr="00CE7879">
        <w:rPr>
          <w:rFonts w:ascii="宋体"/>
          <w:kern w:val="0"/>
          <w:sz w:val="24"/>
        </w:rPr>
        <w:t>)</w:t>
      </w:r>
      <w:r w:rsidRPr="00CE7879">
        <w:rPr>
          <w:rFonts w:ascii="宋体"/>
          <w:kern w:val="0"/>
          <w:sz w:val="24"/>
        </w:rPr>
        <w:t>，较之</w:t>
      </w:r>
      <w:r w:rsidRPr="00CE7879">
        <w:rPr>
          <w:rFonts w:ascii="宋体"/>
          <w:kern w:val="0"/>
          <w:sz w:val="24"/>
        </w:rPr>
        <w:t>2024</w:t>
      </w:r>
      <w:r w:rsidRPr="00CE7879">
        <w:rPr>
          <w:rFonts w:ascii="宋体"/>
          <w:kern w:val="0"/>
          <w:sz w:val="24"/>
        </w:rPr>
        <w:t>年增长</w:t>
      </w:r>
      <w:r w:rsidRPr="00CE7879">
        <w:rPr>
          <w:rFonts w:ascii="宋体"/>
          <w:kern w:val="0"/>
          <w:sz w:val="24"/>
        </w:rPr>
        <w:t>22.6%(</w:t>
      </w:r>
      <w:r w:rsidRPr="00CE7879">
        <w:rPr>
          <w:rFonts w:ascii="宋体"/>
          <w:kern w:val="0"/>
          <w:sz w:val="24"/>
        </w:rPr>
        <w:t>2024</w:t>
      </w:r>
      <w:r w:rsidRPr="00CE7879">
        <w:rPr>
          <w:rFonts w:ascii="宋体"/>
          <w:kern w:val="0"/>
          <w:sz w:val="24"/>
        </w:rPr>
        <w:t>年大型制造企业信息化投资规模约为</w:t>
      </w:r>
      <w:r w:rsidRPr="00CE7879">
        <w:rPr>
          <w:rFonts w:ascii="宋体"/>
          <w:kern w:val="0"/>
          <w:sz w:val="24"/>
        </w:rPr>
        <w:t>76.3</w:t>
      </w:r>
      <w:r w:rsidRPr="00CE7879">
        <w:rPr>
          <w:rFonts w:ascii="宋体"/>
          <w:kern w:val="0"/>
          <w:sz w:val="24"/>
        </w:rPr>
        <w:t>亿元，约占制造业行业整体的</w:t>
      </w:r>
      <w:r w:rsidRPr="00CE7879">
        <w:rPr>
          <w:rFonts w:ascii="宋体"/>
          <w:kern w:val="0"/>
          <w:sz w:val="24"/>
        </w:rPr>
        <w:t>46.2%</w:t>
      </w:r>
      <w:r w:rsidRPr="00CE7879">
        <w:rPr>
          <w:rFonts w:ascii="宋体"/>
          <w:kern w:val="0"/>
          <w:sz w:val="24"/>
        </w:rPr>
        <w:t>，制造业行业整体规模约为</w:t>
      </w:r>
      <w:r w:rsidRPr="00CE7879">
        <w:rPr>
          <w:rFonts w:ascii="宋体"/>
          <w:kern w:val="0"/>
          <w:sz w:val="24"/>
        </w:rPr>
        <w:t>165</w:t>
      </w:r>
      <w:r w:rsidRPr="00CE7879">
        <w:rPr>
          <w:rFonts w:ascii="宋体"/>
          <w:kern w:val="0"/>
          <w:sz w:val="24"/>
        </w:rPr>
        <w:t>亿元</w:t>
      </w:r>
      <w:r w:rsidRPr="00CE7879">
        <w:rPr>
          <w:rFonts w:ascii="宋体"/>
          <w:kern w:val="0"/>
          <w:sz w:val="24"/>
        </w:rPr>
        <w:t>)</w:t>
      </w:r>
      <w:r w:rsidRPr="00CE7879">
        <w:rPr>
          <w:rFonts w:ascii="宋体"/>
          <w:kern w:val="0"/>
          <w:sz w:val="24"/>
        </w:rPr>
        <w:t>。</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大型制造企业信息化已呈现出</w:t>
      </w:r>
      <w:r w:rsidRPr="00CE7879">
        <w:rPr>
          <w:rFonts w:ascii="宋体"/>
          <w:kern w:val="0"/>
          <w:sz w:val="24"/>
        </w:rPr>
        <w:t>“</w:t>
      </w:r>
      <w:r w:rsidRPr="00CE7879">
        <w:rPr>
          <w:rFonts w:ascii="宋体"/>
          <w:kern w:val="0"/>
          <w:sz w:val="24"/>
        </w:rPr>
        <w:t>滚雪球效应</w:t>
      </w:r>
      <w:r w:rsidRPr="00CE7879">
        <w:rPr>
          <w:rFonts w:ascii="宋体"/>
          <w:kern w:val="0"/>
          <w:sz w:val="24"/>
        </w:rPr>
        <w:t>”</w:t>
      </w:r>
      <w:r w:rsidRPr="00CE7879">
        <w:rPr>
          <w:rFonts w:ascii="宋体"/>
          <w:kern w:val="0"/>
          <w:sz w:val="24"/>
        </w:rPr>
        <w:t>，投入较大的企业已取得一定成效并带来了不菲的收入，进一步增强了企业信息化的信心和决心，由此造成企业信息化投入的再度增加。同时，不同细分制造行业的信息化发展状况和投入数额也再次印证了滚雪球效应，处于两个极端的行业企业平均年</w:t>
      </w:r>
      <w:r w:rsidRPr="00CE7879">
        <w:rPr>
          <w:rFonts w:ascii="宋体"/>
          <w:kern w:val="0"/>
          <w:sz w:val="24"/>
        </w:rPr>
        <w:t>IT</w:t>
      </w:r>
      <w:r w:rsidRPr="00CE7879">
        <w:rPr>
          <w:rFonts w:ascii="宋体"/>
          <w:kern w:val="0"/>
          <w:sz w:val="24"/>
        </w:rPr>
        <w:t>投入额度相差近</w:t>
      </w:r>
      <w:r w:rsidRPr="00CE7879">
        <w:rPr>
          <w:rFonts w:ascii="宋体"/>
          <w:kern w:val="0"/>
          <w:sz w:val="24"/>
        </w:rPr>
        <w:t>200</w:t>
      </w:r>
      <w:r w:rsidRPr="00CE7879">
        <w:rPr>
          <w:rFonts w:ascii="宋体"/>
          <w:kern w:val="0"/>
          <w:sz w:val="24"/>
        </w:rPr>
        <w:t>多倍。其中一个重要原因在于以上行业的巨额经济增长。</w:t>
      </w:r>
      <w:r w:rsidRPr="00CE7879">
        <w:rPr>
          <w:rFonts w:ascii="宋体"/>
          <w:kern w:val="0"/>
          <w:sz w:val="24"/>
        </w:rPr>
        <w:t>2024</w:t>
      </w:r>
      <w:r w:rsidRPr="00CE7879">
        <w:rPr>
          <w:rFonts w:ascii="宋体"/>
          <w:kern w:val="0"/>
          <w:sz w:val="24"/>
        </w:rPr>
        <w:t>年</w:t>
      </w:r>
      <w:r w:rsidRPr="00CE7879">
        <w:rPr>
          <w:rFonts w:ascii="宋体"/>
          <w:kern w:val="0"/>
          <w:sz w:val="24"/>
        </w:rPr>
        <w:t>1~10</w:t>
      </w:r>
      <w:r w:rsidRPr="00CE7879">
        <w:rPr>
          <w:rFonts w:ascii="宋体"/>
          <w:kern w:val="0"/>
          <w:sz w:val="24"/>
        </w:rPr>
        <w:t>月份，石化、汽车、冶金、石油四个行业实现利润高、且增长较快，合计实现利润</w:t>
      </w:r>
      <w:r w:rsidRPr="00CE7879">
        <w:rPr>
          <w:rFonts w:ascii="宋体"/>
          <w:kern w:val="0"/>
          <w:sz w:val="24"/>
        </w:rPr>
        <w:t>1584.4</w:t>
      </w:r>
      <w:r w:rsidRPr="00CE7879">
        <w:rPr>
          <w:rFonts w:ascii="宋体"/>
          <w:kern w:val="0"/>
          <w:sz w:val="24"/>
        </w:rPr>
        <w:t>亿元，占重点企业实现利润的</w:t>
      </w:r>
      <w:r w:rsidRPr="00CE7879">
        <w:rPr>
          <w:rFonts w:ascii="宋体"/>
          <w:kern w:val="0"/>
          <w:sz w:val="24"/>
        </w:rPr>
        <w:t>51.9%</w:t>
      </w:r>
      <w:r w:rsidRPr="00CE7879">
        <w:rPr>
          <w:rFonts w:ascii="宋体"/>
          <w:kern w:val="0"/>
          <w:sz w:val="24"/>
        </w:rPr>
        <w:t>，同比增长均在</w:t>
      </w:r>
      <w:r w:rsidRPr="00CE7879">
        <w:rPr>
          <w:rFonts w:ascii="宋体"/>
          <w:kern w:val="0"/>
          <w:sz w:val="24"/>
        </w:rPr>
        <w:t>50%</w:t>
      </w:r>
      <w:r w:rsidRPr="00CE7879">
        <w:rPr>
          <w:rFonts w:ascii="宋体"/>
          <w:kern w:val="0"/>
          <w:sz w:val="24"/>
        </w:rPr>
        <w:t>以上。</w:t>
      </w:r>
      <w:r w:rsidRPr="00CE7879">
        <w:rPr>
          <w:rFonts w:ascii="宋体"/>
          <w:kern w:val="0"/>
          <w:sz w:val="24"/>
        </w:rPr>
        <w:t>(</w:t>
      </w:r>
      <w:r w:rsidRPr="00CE7879">
        <w:rPr>
          <w:rFonts w:ascii="宋体"/>
          <w:kern w:val="0"/>
          <w:sz w:val="24"/>
        </w:rPr>
        <w:t>未</w:t>
      </w:r>
      <w:r w:rsidRPr="00CE7879">
        <w:rPr>
          <w:rFonts w:ascii="宋体"/>
          <w:kern w:val="0"/>
          <w:sz w:val="24"/>
        </w:rPr>
        <w:t>完待续</w:t>
      </w:r>
      <w:r w:rsidRPr="00CE7879">
        <w:rPr>
          <w:rFonts w:ascii="宋体"/>
          <w:kern w:val="0"/>
          <w:sz w:val="24"/>
        </w:rPr>
        <w:t>)</w:t>
      </w:r>
    </w:p>
    <w:p w:rsidR="00D50289" w:rsidRPr="00CE7879">
      <w:pPr>
        <w:widowControl/>
        <w:spacing w:before="100" w:beforeAutospacing="1" w:after="100" w:afterAutospacing="1" w:line="312" w:lineRule="auto"/>
        <w:jc w:val="left"/>
        <w:rPr>
          <w:rFonts w:ascii="宋体"/>
          <w:kern w:val="0"/>
          <w:sz w:val="24"/>
        </w:rPr>
        <w:sectPr>
          <w:type w:val="nextPage"/>
          <w:pgSz w:w="11906" w:h="16838"/>
          <w:pgMar w:top="1440" w:right="1800" w:bottom="1440" w:left="1800" w:header="851" w:footer="992" w:gutter="0"/>
          <w:pgNumType w:start="4"/>
          <w:cols w:space="425"/>
          <w:titlePg w:val="0"/>
          <w:docGrid w:type="lines" w:linePitch="312"/>
        </w:sectPr>
      </w:pPr>
      <w:r w:rsidRPr="00CE7879">
        <w:rPr>
          <w:rFonts w:ascii="宋体"/>
          <w:kern w:val="0"/>
          <w:sz w:val="24"/>
        </w:rPr>
        <w:t>　　图表：各细分制造行业大型企业未来</w:t>
      </w:r>
      <w:r w:rsidRPr="00CE7879">
        <w:rPr>
          <w:rFonts w:ascii="宋体"/>
          <w:kern w:val="0"/>
          <w:sz w:val="24"/>
        </w:rPr>
        <w:t>1~2</w:t>
      </w:r>
      <w:r w:rsidRPr="00CE7879">
        <w:rPr>
          <w:rFonts w:ascii="宋体"/>
          <w:kern w:val="0"/>
          <w:sz w:val="24"/>
        </w:rPr>
        <w:t>年内信息化建设投资规模</w:t>
      </w:r>
      <w:r w:rsidRPr="00CE7879">
        <w:rPr>
          <w:rFonts w:ascii="宋体"/>
          <w:kern w:val="0"/>
          <w:sz w:val="24"/>
        </w:rPr>
        <w:t>(</w:t>
      </w:r>
      <w:r w:rsidRPr="00CE7879">
        <w:rPr>
          <w:rFonts w:ascii="宋体"/>
          <w:kern w:val="0"/>
          <w:sz w:val="24"/>
        </w:rPr>
        <w:t>平均每家投入）</w:t>
      </w:r>
    </w:p>
    <w:p w:rsidR="00D50289" w:rsidRPr="00CE7879">
      <w:pPr>
        <w:widowControl/>
        <w:spacing w:line="312" w:lineRule="auto"/>
        <w:jc w:val="center"/>
        <w:rPr>
          <w:rFonts w:ascii="宋体"/>
          <w:kern w:val="0"/>
          <w:sz w:val="24"/>
        </w:rPr>
      </w:pPr>
      <w:r>
        <w:rPr>
          <w:rFonts w:ascii="宋体"/>
          <w:color w:val="0000FF"/>
          <w:kern w:val="0"/>
          <w:sz w:val="24"/>
          <w:u w:val="single"/>
        </w:rPr>
        <w:pict>
          <v:shape id="53541113" o:spid="_x0000_i1027" type="#_x0000_t75" style="width:321pt;height:221.25pt;visibility:visible">
            <v:imagedata r:id="rId8" r:href="rId9" o:title=""/>
          </v:shape>
        </w:pic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我国银行业</w:t>
      </w:r>
      <w:r w:rsidRPr="00CE7879">
        <w:rPr>
          <w:rFonts w:ascii="宋体"/>
          <w:kern w:val="0"/>
          <w:sz w:val="24"/>
        </w:rPr>
        <w:t>IT</w:t>
      </w:r>
      <w:r w:rsidRPr="00CE7879">
        <w:rPr>
          <w:rFonts w:ascii="宋体"/>
          <w:kern w:val="0"/>
          <w:sz w:val="24"/>
        </w:rPr>
        <w:t>建设进入平衡发展期</w:t>
      </w:r>
    </w:p>
    <w:tbl>
      <w:tblPr>
        <w:tblStyle w:val="TableNormal00"/>
        <w:tblpPr w:leftFromText="45" w:rightFromText="45" w:vertAnchor="text"/>
        <w:tblW w:w="0" w:type="auto"/>
        <w:tblInd w:w="0" w:type="dxa"/>
        <w:tblCellMar>
          <w:left w:w="0" w:type="dxa"/>
          <w:right w:w="0" w:type="dxa"/>
        </w:tblCellMar>
        <w:tblLook w:val="04A0"/>
      </w:tblPr>
      <w:tblGrid>
        <w:gridCol w:w="5400"/>
      </w:tblGrid>
      <w:tr>
        <w:tblPrEx>
          <w:tblW w:w="0" w:type="auto"/>
          <w:tblInd w:w="0" w:type="dxa"/>
          <w:tblCellMar>
            <w:left w:w="0" w:type="dxa"/>
            <w:right w:w="0" w:type="dxa"/>
          </w:tblCellMar>
          <w:tblLook w:val="04A0"/>
        </w:tblPrEx>
        <w:tc>
          <w:tcPr>
            <w:tcW w:w="5430" w:type="auto"/>
            <w:vAlign w:val="center"/>
          </w:tcPr>
          <w:p w:rsidR="00D50289" w:rsidRPr="00CE7879">
            <w:pPr>
              <w:widowControl/>
              <w:jc w:val="left"/>
              <w:rPr>
                <w:rFonts w:ascii="宋体"/>
                <w:kern w:val="0"/>
                <w:sz w:val="24"/>
              </w:rPr>
            </w:pPr>
            <w:r w:rsidRPr="00CE7879">
              <w:rPr>
                <w:color w:val="0000FF"/>
                <w:sz w:val="24"/>
                <w:u w:val="single"/>
              </w:rPr>
              <w:fldChar w:fldCharType="begin"/>
            </w:r>
            <w:r w:rsidRPr="00CE7879" w:rsidR="00EB0F3B">
              <w:rPr>
                <w:sz w:val="24"/>
              </w:rPr>
              <w:instrText xml:space="preserve"> CONTROL ShockwaveFlash.ShockwaveFlash.1 \s </w:instrText>
            </w:r>
            <w:r w:rsidRPr="00CE7879">
              <w:rPr>
                <w:color w:val="0000FF"/>
                <w:sz w:val="24"/>
                <w:u w:val="single"/>
              </w:rPr>
              <w:fldChar w:fldCharType="separate"/>
            </w:r>
            <w:r>
              <w:rPr>
                <w:rFonts w:ascii="宋体"/>
                <w:color w:val="0000FF"/>
                <w:kern w:val="0"/>
                <w:sz w:val="24"/>
                <w:u w:val="single"/>
              </w:rPr>
              <w:pict>
                <v:shape id="44782479" o:spid="_x0000_i1028" type="#_x0000_t75" style="width:270pt;height:225pt;visibility:visible">
                  <v:imagedata r:id="rId10" o:title=""/>
                </v:shape>
              </w:pict>
            </w:r>
            <w:r w:rsidRPr="00CE7879">
              <w:rPr>
                <w:color w:val="0000FF"/>
                <w:sz w:val="24"/>
                <w:u w:val="single"/>
              </w:rPr>
              <w:fldChar w:fldCharType="end"/>
            </w:r>
          </w:p>
        </w:tc>
      </w:tr>
    </w:tbl>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国内银行业</w:t>
      </w:r>
      <w:r w:rsidRPr="00CE7879">
        <w:rPr>
          <w:rFonts w:ascii="宋体"/>
          <w:kern w:val="0"/>
          <w:sz w:val="24"/>
        </w:rPr>
        <w:t>IT</w:t>
      </w:r>
      <w:r w:rsidRPr="00CE7879">
        <w:rPr>
          <w:rFonts w:ascii="宋体"/>
          <w:kern w:val="0"/>
          <w:sz w:val="24"/>
        </w:rPr>
        <w:t>投入已经进入平稳发展的阶段，根据计世资讯</w:t>
      </w:r>
      <w:r w:rsidRPr="00CE7879">
        <w:rPr>
          <w:rFonts w:ascii="宋体"/>
          <w:kern w:val="0"/>
          <w:sz w:val="24"/>
        </w:rPr>
        <w:t>(CCW Research)</w:t>
      </w:r>
      <w:r w:rsidRPr="00CE7879">
        <w:rPr>
          <w:rFonts w:ascii="宋体"/>
          <w:kern w:val="0"/>
          <w:sz w:val="24"/>
        </w:rPr>
        <w:t>的调查显示：</w:t>
      </w:r>
      <w:r w:rsidRPr="00CE7879">
        <w:rPr>
          <w:rFonts w:ascii="宋体"/>
          <w:kern w:val="0"/>
          <w:sz w:val="24"/>
        </w:rPr>
        <w:t>2024</w:t>
      </w:r>
      <w:r w:rsidRPr="00CE7879">
        <w:rPr>
          <w:rFonts w:ascii="宋体"/>
          <w:kern w:val="0"/>
          <w:sz w:val="24"/>
        </w:rPr>
        <w:t>年国内银行业</w:t>
      </w:r>
      <w:r w:rsidRPr="00CE7879">
        <w:rPr>
          <w:rFonts w:ascii="宋体"/>
          <w:kern w:val="0"/>
          <w:sz w:val="24"/>
        </w:rPr>
        <w:t>IT</w:t>
      </w:r>
      <w:r w:rsidRPr="00CE7879">
        <w:rPr>
          <w:rFonts w:ascii="宋体"/>
          <w:kern w:val="0"/>
          <w:sz w:val="24"/>
        </w:rPr>
        <w:t>投入将达到</w:t>
      </w:r>
      <w:r w:rsidRPr="00CE7879">
        <w:rPr>
          <w:rFonts w:ascii="宋体"/>
          <w:kern w:val="0"/>
          <w:sz w:val="24"/>
        </w:rPr>
        <w:t>180</w:t>
      </w:r>
      <w:r w:rsidRPr="00CE7879">
        <w:rPr>
          <w:rFonts w:ascii="宋体"/>
          <w:kern w:val="0"/>
          <w:sz w:val="24"/>
        </w:rPr>
        <w:t>亿元的规模，比</w:t>
      </w:r>
      <w:r w:rsidRPr="00CE7879">
        <w:rPr>
          <w:rFonts w:ascii="宋体"/>
          <w:kern w:val="0"/>
          <w:sz w:val="24"/>
        </w:rPr>
        <w:t>2024</w:t>
      </w:r>
      <w:r w:rsidRPr="00CE7879">
        <w:rPr>
          <w:rFonts w:ascii="宋体"/>
          <w:kern w:val="0"/>
          <w:sz w:val="24"/>
        </w:rPr>
        <w:t>年略有增长。</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2024</w:t>
      </w:r>
      <w:r w:rsidRPr="00CE7879">
        <w:rPr>
          <w:rFonts w:ascii="宋体"/>
          <w:kern w:val="0"/>
          <w:sz w:val="24"/>
        </w:rPr>
        <w:t>年影响银行业</w:t>
      </w:r>
      <w:r w:rsidRPr="00CE7879">
        <w:rPr>
          <w:rFonts w:ascii="宋体"/>
          <w:kern w:val="0"/>
          <w:sz w:val="24"/>
        </w:rPr>
        <w:t>IT</w:t>
      </w:r>
      <w:r w:rsidRPr="00CE7879">
        <w:rPr>
          <w:rFonts w:ascii="宋体"/>
          <w:kern w:val="0"/>
          <w:sz w:val="24"/>
        </w:rPr>
        <w:t>建设投资的各种因素如下：</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宏观经济运行良好，为银行业创造了乐观的外部条件；银监会的成立，政府对银行业的指令性安排将全面退出，换之以监督和调控，行业的经营环境将更为公平、透明和规范，因此银行业在经营、管理、准入等方面的市场化程度会迅速加大，在加快金融行业竞争程度的同时加快混业经营的发展步伐。</w:t>
      </w:r>
    </w:p>
    <w:p w:rsidR="00D50289" w:rsidRPr="00CE7879">
      <w:pPr>
        <w:widowControl/>
        <w:spacing w:before="100" w:beforeAutospacing="1" w:after="100" w:afterAutospacing="1" w:line="312" w:lineRule="auto"/>
        <w:jc w:val="left"/>
        <w:rPr>
          <w:rFonts w:ascii="宋体"/>
          <w:kern w:val="0"/>
          <w:sz w:val="24"/>
        </w:rPr>
        <w:sectPr>
          <w:type w:val="nextPage"/>
          <w:pgSz w:w="11906" w:h="16838"/>
          <w:pgMar w:top="1440" w:right="1800" w:bottom="1440" w:left="1800" w:header="851" w:footer="992" w:gutter="0"/>
          <w:pgNumType w:start="5"/>
          <w:cols w:space="425"/>
          <w:titlePg w:val="0"/>
          <w:docGrid w:type="lines" w:linePitch="312"/>
        </w:sectPr>
      </w:pPr>
      <w:r w:rsidRPr="00CE7879">
        <w:rPr>
          <w:rFonts w:ascii="宋体"/>
          <w:kern w:val="0"/>
          <w:sz w:val="24"/>
        </w:rPr>
        <w:t>　　但商业银行紧缩房地产贷款，银</w:t>
      </w:r>
      <w:r w:rsidRPr="00CE7879">
        <w:rPr>
          <w:rFonts w:ascii="宋体"/>
          <w:kern w:val="0"/>
          <w:sz w:val="24"/>
        </w:rPr>
        <w:t>行的利润可能受到较大冲击；存款准备金率的提高，银行业务经营现金流将会减少，进而影响业务经营活动；农凯事件</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可能导致市场对银行风险忧虑的加深，从而影响到银行经营活动的开展。这些都会影响到银行在</w:t>
      </w:r>
      <w:r w:rsidRPr="00CE7879">
        <w:rPr>
          <w:rFonts w:ascii="宋体"/>
          <w:kern w:val="0"/>
          <w:sz w:val="24"/>
        </w:rPr>
        <w:t>IT</w:t>
      </w:r>
      <w:r w:rsidRPr="00CE7879">
        <w:rPr>
          <w:rFonts w:ascii="宋体"/>
          <w:kern w:val="0"/>
          <w:sz w:val="24"/>
        </w:rPr>
        <w:t>方面的投入。</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同时，利率市场化开始试点对银行业信息化建设的影响还不清晰。利率市场化是金融机构改革、金融自由化是必由之路，也是加入</w:t>
      </w:r>
      <w:r w:rsidRPr="00CE7879">
        <w:rPr>
          <w:rFonts w:ascii="宋体"/>
          <w:kern w:val="0"/>
          <w:sz w:val="24"/>
        </w:rPr>
        <w:t>WTO</w:t>
      </w:r>
      <w:r w:rsidRPr="00CE7879">
        <w:rPr>
          <w:rFonts w:ascii="宋体"/>
          <w:kern w:val="0"/>
          <w:sz w:val="24"/>
        </w:rPr>
        <w:t>后国内金融业必然要采取的措施。但另一方面，国内金融形势严峻，金融业开放会对金融机构造成冲击，如何在推进金融改革和控制金融风险之间保持平衡将成为管理层推行金融改革战略首要考虑的因素。</w:t>
      </w:r>
      <w:r w:rsidRPr="00CE7879">
        <w:rPr>
          <w:rFonts w:ascii="宋体"/>
          <w:kern w:val="0"/>
          <w:sz w:val="24"/>
        </w:rPr>
        <w:t xml:space="preserve"> </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计世资讯</w:t>
      </w:r>
      <w:r w:rsidRPr="00CE7879">
        <w:rPr>
          <w:rFonts w:ascii="宋体"/>
          <w:kern w:val="0"/>
          <w:sz w:val="24"/>
        </w:rPr>
        <w:t>(CCW Research)</w:t>
      </w:r>
      <w:r w:rsidRPr="00CE7879">
        <w:rPr>
          <w:rFonts w:ascii="宋体"/>
          <w:kern w:val="0"/>
          <w:sz w:val="24"/>
        </w:rPr>
        <w:t>认为，随着银行业</w:t>
      </w:r>
      <w:r w:rsidRPr="00CE7879">
        <w:rPr>
          <w:rFonts w:ascii="宋体"/>
          <w:kern w:val="0"/>
          <w:sz w:val="24"/>
        </w:rPr>
        <w:t>IT</w:t>
      </w:r>
      <w:r w:rsidRPr="00CE7879">
        <w:rPr>
          <w:rFonts w:ascii="宋体"/>
          <w:kern w:val="0"/>
          <w:sz w:val="24"/>
        </w:rPr>
        <w:t>建设进入平稳时期，未来国内银行在硬件方面的投入比例将会有一个明显的下降，而在软件和服务方面的花费将会有相应的增长。从长期趋势来看，国内银行也必将经历外资银行所经过的历程，即将大部分非核心业务外包，银行将专注于核心业务的开拓与新产品的设计开发。在软件和服务方面的投入增长将是一个长期的不可逆转的趋势。</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图表</w:t>
      </w:r>
      <w:r w:rsidRPr="00CE7879">
        <w:rPr>
          <w:rFonts w:ascii="宋体"/>
          <w:kern w:val="0"/>
          <w:sz w:val="24"/>
        </w:rPr>
        <w:t xml:space="preserve"> </w:t>
      </w:r>
      <w:r w:rsidRPr="00CE7879">
        <w:rPr>
          <w:rFonts w:ascii="宋体"/>
          <w:kern w:val="0"/>
          <w:sz w:val="24"/>
        </w:rPr>
        <w:t>2024</w:t>
      </w:r>
      <w:r w:rsidRPr="00CE7879">
        <w:rPr>
          <w:rFonts w:ascii="宋体"/>
          <w:kern w:val="0"/>
          <w:sz w:val="24"/>
        </w:rPr>
        <w:t>~</w:t>
      </w:r>
      <w:r w:rsidRPr="00CE7879">
        <w:rPr>
          <w:rFonts w:ascii="宋体"/>
          <w:kern w:val="0"/>
          <w:sz w:val="24"/>
        </w:rPr>
        <w:t>2024</w:t>
      </w:r>
      <w:r w:rsidRPr="00CE7879">
        <w:rPr>
          <w:rFonts w:ascii="宋体"/>
          <w:kern w:val="0"/>
          <w:sz w:val="24"/>
        </w:rPr>
        <w:t>年银行业投资结构图</w:t>
      </w:r>
    </w:p>
    <w:p w:rsidR="00D50289" w:rsidRPr="00CE7879">
      <w:pPr>
        <w:widowControl/>
        <w:spacing w:line="312" w:lineRule="auto"/>
        <w:jc w:val="center"/>
        <w:rPr>
          <w:rFonts w:ascii="宋体"/>
          <w:kern w:val="0"/>
          <w:sz w:val="24"/>
        </w:rPr>
      </w:pPr>
      <w:r>
        <w:rPr>
          <w:rFonts w:ascii="宋体"/>
          <w:color w:val="0000FF"/>
          <w:kern w:val="0"/>
          <w:sz w:val="24"/>
          <w:u w:val="single"/>
        </w:rPr>
        <w:pict>
          <v:shape id="47376668" o:spid="_x0000_i1029" type="#_x0000_t75" style="width:327pt;height:213pt;visibility:visible">
            <v:imagedata r:id="rId11" r:href="rId12" o:title=""/>
          </v:shape>
        </w:pic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2024</w:t>
      </w:r>
      <w:r w:rsidRPr="00CE7879">
        <w:rPr>
          <w:rFonts w:ascii="宋体"/>
          <w:kern w:val="0"/>
          <w:sz w:val="24"/>
        </w:rPr>
        <w:t>年电力行业</w:t>
      </w:r>
      <w:r w:rsidRPr="00CE7879">
        <w:rPr>
          <w:rFonts w:ascii="宋体"/>
          <w:kern w:val="0"/>
          <w:sz w:val="24"/>
        </w:rPr>
        <w:t>IT</w:t>
      </w:r>
      <w:r w:rsidRPr="00CE7879">
        <w:rPr>
          <w:rFonts w:ascii="宋体"/>
          <w:kern w:val="0"/>
          <w:sz w:val="24"/>
        </w:rPr>
        <w:t>采购规模将会大幅增长</w:t>
      </w:r>
    </w:p>
    <w:p w:rsidR="00D50289" w:rsidRPr="00CE7879">
      <w:pPr>
        <w:widowControl/>
        <w:spacing w:before="100" w:beforeAutospacing="1" w:after="100" w:afterAutospacing="1" w:line="312" w:lineRule="auto"/>
        <w:jc w:val="left"/>
        <w:rPr>
          <w:rFonts w:ascii="宋体"/>
          <w:kern w:val="0"/>
          <w:sz w:val="24"/>
        </w:rPr>
        <w:sectPr>
          <w:type w:val="nextPage"/>
          <w:pgSz w:w="11906" w:h="16838"/>
          <w:pgMar w:top="1440" w:right="1800" w:bottom="1440" w:left="1800" w:header="851" w:footer="992" w:gutter="0"/>
          <w:pgNumType w:start="6"/>
          <w:cols w:space="425"/>
          <w:titlePg w:val="0"/>
          <w:docGrid w:type="lines" w:linePitch="312"/>
        </w:sectPr>
      </w:pPr>
      <w:r w:rsidRPr="00CE7879">
        <w:rPr>
          <w:rFonts w:ascii="宋体"/>
          <w:kern w:val="0"/>
          <w:sz w:val="24"/>
        </w:rPr>
        <w:t>　　计世资讯</w:t>
      </w:r>
      <w:r w:rsidRPr="00CE7879">
        <w:rPr>
          <w:rFonts w:ascii="宋体"/>
          <w:kern w:val="0"/>
          <w:sz w:val="24"/>
        </w:rPr>
        <w:t>(CCW Research)</w:t>
      </w:r>
      <w:r w:rsidRPr="00CE7879">
        <w:rPr>
          <w:rFonts w:ascii="宋体"/>
          <w:kern w:val="0"/>
          <w:sz w:val="24"/>
        </w:rPr>
        <w:t>研究显示，</w:t>
      </w:r>
      <w:r w:rsidRPr="00CE7879">
        <w:rPr>
          <w:rFonts w:ascii="宋体"/>
          <w:kern w:val="0"/>
          <w:sz w:val="24"/>
        </w:rPr>
        <w:t>2024</w:t>
      </w:r>
      <w:r w:rsidRPr="00CE7879">
        <w:rPr>
          <w:rFonts w:ascii="宋体"/>
          <w:kern w:val="0"/>
          <w:sz w:val="24"/>
        </w:rPr>
        <w:t>年电力行业的</w:t>
      </w:r>
      <w:r w:rsidRPr="00CE7879">
        <w:rPr>
          <w:rFonts w:ascii="宋体"/>
          <w:kern w:val="0"/>
          <w:sz w:val="24"/>
        </w:rPr>
        <w:t>IT</w:t>
      </w:r>
      <w:r w:rsidRPr="00CE7879">
        <w:rPr>
          <w:rFonts w:ascii="宋体"/>
          <w:kern w:val="0"/>
          <w:sz w:val="24"/>
        </w:rPr>
        <w:t>采购规模将达到</w:t>
      </w:r>
      <w:r w:rsidRPr="00CE7879">
        <w:rPr>
          <w:rFonts w:ascii="宋体"/>
          <w:kern w:val="0"/>
          <w:sz w:val="24"/>
        </w:rPr>
        <w:t>59</w:t>
      </w:r>
      <w:r w:rsidRPr="00CE7879">
        <w:rPr>
          <w:rFonts w:ascii="宋体"/>
          <w:kern w:val="0"/>
          <w:sz w:val="24"/>
        </w:rPr>
        <w:t>亿元人民币，比</w:t>
      </w:r>
      <w:r w:rsidRPr="00CE7879">
        <w:rPr>
          <w:rFonts w:ascii="宋体"/>
          <w:kern w:val="0"/>
          <w:sz w:val="24"/>
        </w:rPr>
        <w:t>2024</w:t>
      </w:r>
      <w:r w:rsidRPr="00CE7879">
        <w:rPr>
          <w:rFonts w:ascii="宋体"/>
          <w:kern w:val="0"/>
          <w:sz w:val="24"/>
        </w:rPr>
        <w:t>年增长</w:t>
      </w:r>
      <w:r w:rsidRPr="00CE7879">
        <w:rPr>
          <w:rFonts w:ascii="宋体"/>
          <w:kern w:val="0"/>
          <w:sz w:val="24"/>
        </w:rPr>
        <w:t>28%</w:t>
      </w:r>
      <w:r w:rsidRPr="00CE7879">
        <w:rPr>
          <w:rFonts w:ascii="宋体"/>
          <w:kern w:val="0"/>
          <w:sz w:val="24"/>
        </w:rPr>
        <w:t>，属于增幅较大的行业。</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2024</w:t>
      </w:r>
      <w:r w:rsidRPr="00CE7879">
        <w:rPr>
          <w:rFonts w:ascii="宋体"/>
          <w:kern w:val="0"/>
          <w:sz w:val="24"/>
        </w:rPr>
        <w:t>年被称为电力的改革年，</w:t>
      </w:r>
      <w:r w:rsidRPr="00CE7879">
        <w:rPr>
          <w:rFonts w:ascii="宋体"/>
          <w:kern w:val="0"/>
          <w:sz w:val="24"/>
        </w:rPr>
        <w:t>2024</w:t>
      </w:r>
      <w:r w:rsidRPr="00CE7879">
        <w:rPr>
          <w:rFonts w:ascii="宋体"/>
          <w:kern w:val="0"/>
          <w:sz w:val="24"/>
        </w:rPr>
        <w:t>年底电力改革基本上已尘埃落定</w:t>
      </w:r>
      <w:r w:rsidRPr="00CE7879">
        <w:rPr>
          <w:rFonts w:ascii="宋体"/>
          <w:kern w:val="0"/>
          <w:sz w:val="24"/>
        </w:rPr>
        <w:t>,</w:t>
      </w:r>
      <w:r w:rsidRPr="00CE7879">
        <w:rPr>
          <w:rFonts w:ascii="宋体"/>
          <w:kern w:val="0"/>
          <w:sz w:val="24"/>
        </w:rPr>
        <w:t>机构调整基本结束</w:t>
      </w:r>
      <w:r w:rsidRPr="00CE7879">
        <w:rPr>
          <w:rFonts w:ascii="宋体"/>
          <w:kern w:val="0"/>
          <w:sz w:val="24"/>
        </w:rPr>
        <w:t>,</w:t>
      </w:r>
      <w:r w:rsidRPr="00CE7879">
        <w:rPr>
          <w:rFonts w:ascii="宋体"/>
          <w:kern w:val="0"/>
          <w:sz w:val="24"/>
        </w:rPr>
        <w:t>总体规划也基本完成</w:t>
      </w:r>
      <w:r w:rsidRPr="00CE7879">
        <w:rPr>
          <w:rFonts w:ascii="宋体"/>
          <w:kern w:val="0"/>
          <w:sz w:val="24"/>
        </w:rPr>
        <w:t>,</w:t>
      </w:r>
      <w:r w:rsidRPr="00CE7879">
        <w:rPr>
          <w:rFonts w:ascii="宋体"/>
          <w:kern w:val="0"/>
          <w:sz w:val="24"/>
        </w:rPr>
        <w:t>2024</w:t>
      </w:r>
      <w:r w:rsidRPr="00CE7879">
        <w:rPr>
          <w:rFonts w:ascii="宋体"/>
          <w:kern w:val="0"/>
          <w:sz w:val="24"/>
        </w:rPr>
        <w:t>年</w:t>
      </w:r>
      <w:r w:rsidRPr="00CE7879">
        <w:rPr>
          <w:rFonts w:ascii="宋体"/>
          <w:kern w:val="0"/>
          <w:sz w:val="24"/>
        </w:rPr>
        <w:t>IT</w:t>
      </w:r>
      <w:r w:rsidRPr="00CE7879">
        <w:rPr>
          <w:rFonts w:ascii="宋体"/>
          <w:kern w:val="0"/>
          <w:sz w:val="24"/>
        </w:rPr>
        <w:t>建设的具体工作将会得到落实，由于改革因素而滞</w:t>
      </w:r>
      <w:r w:rsidRPr="00CE7879">
        <w:rPr>
          <w:rFonts w:ascii="宋体"/>
          <w:kern w:val="0"/>
          <w:sz w:val="24"/>
        </w:rPr>
        <w:t>后的项目将上马。</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图表</w:t>
      </w:r>
      <w:r w:rsidRPr="00CE7879">
        <w:rPr>
          <w:rFonts w:ascii="宋体"/>
          <w:kern w:val="0"/>
          <w:sz w:val="24"/>
        </w:rPr>
        <w:t xml:space="preserve"> </w:t>
      </w:r>
      <w:r w:rsidRPr="00CE7879">
        <w:rPr>
          <w:rFonts w:ascii="宋体"/>
          <w:kern w:val="0"/>
          <w:sz w:val="24"/>
        </w:rPr>
        <w:t>2024</w:t>
      </w:r>
      <w:r w:rsidRPr="00CE7879">
        <w:rPr>
          <w:rFonts w:ascii="宋体"/>
          <w:kern w:val="0"/>
          <w:sz w:val="24"/>
        </w:rPr>
        <w:t>年电力行业的</w:t>
      </w:r>
      <w:r w:rsidRPr="00CE7879">
        <w:rPr>
          <w:rFonts w:ascii="宋体"/>
          <w:kern w:val="0"/>
          <w:sz w:val="24"/>
        </w:rPr>
        <w:t>IT</w:t>
      </w:r>
      <w:r w:rsidRPr="00CE7879">
        <w:rPr>
          <w:rFonts w:ascii="宋体"/>
          <w:kern w:val="0"/>
          <w:sz w:val="24"/>
        </w:rPr>
        <w:t>采购规模</w:t>
      </w:r>
    </w:p>
    <w:p w:rsidR="00D50289" w:rsidRPr="00CE7879">
      <w:pPr>
        <w:widowControl/>
        <w:spacing w:line="312" w:lineRule="auto"/>
        <w:jc w:val="center"/>
        <w:rPr>
          <w:rFonts w:ascii="宋体"/>
          <w:kern w:val="0"/>
          <w:sz w:val="24"/>
        </w:rPr>
      </w:pPr>
      <w:r>
        <w:rPr>
          <w:rFonts w:ascii="宋体"/>
          <w:color w:val="0000FF"/>
          <w:kern w:val="0"/>
          <w:sz w:val="24"/>
          <w:u w:val="single"/>
        </w:rPr>
        <w:pict>
          <v:shape id="4295629" o:spid="_x0000_i1030" type="#_x0000_t75" style="width:367.5pt;height:203.25pt;visibility:visible">
            <v:imagedata r:id="rId13" r:href="rId14" o:title=""/>
          </v:shape>
        </w:pic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六大因素影响</w:t>
      </w:r>
      <w:r w:rsidRPr="00CE7879">
        <w:rPr>
          <w:rFonts w:ascii="宋体"/>
          <w:kern w:val="0"/>
          <w:sz w:val="24"/>
        </w:rPr>
        <w:t>2024</w:t>
      </w:r>
      <w:r w:rsidRPr="00CE7879">
        <w:rPr>
          <w:rFonts w:ascii="宋体"/>
          <w:kern w:val="0"/>
          <w:sz w:val="24"/>
        </w:rPr>
        <w:t>电力行业的</w:t>
      </w:r>
      <w:r w:rsidRPr="00CE7879">
        <w:rPr>
          <w:rFonts w:ascii="宋体"/>
          <w:kern w:val="0"/>
          <w:sz w:val="24"/>
        </w:rPr>
        <w:t>IT</w:t>
      </w:r>
      <w:r w:rsidRPr="00CE7879">
        <w:rPr>
          <w:rFonts w:ascii="宋体"/>
          <w:kern w:val="0"/>
          <w:sz w:val="24"/>
        </w:rPr>
        <w:t>采购。</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1)</w:t>
      </w:r>
      <w:r w:rsidRPr="00CE7879">
        <w:rPr>
          <w:rFonts w:ascii="宋体"/>
          <w:kern w:val="0"/>
          <w:sz w:val="24"/>
        </w:rPr>
        <w:t>电力改革后市场主体多元化的格局将会引发新一轮的</w:t>
      </w:r>
      <w:r w:rsidRPr="00CE7879">
        <w:rPr>
          <w:rFonts w:ascii="宋体"/>
          <w:kern w:val="0"/>
          <w:sz w:val="24"/>
        </w:rPr>
        <w:t>IT</w:t>
      </w:r>
      <w:r w:rsidRPr="00CE7879">
        <w:rPr>
          <w:rFonts w:ascii="宋体"/>
          <w:kern w:val="0"/>
          <w:sz w:val="24"/>
        </w:rPr>
        <w:t>建设需求。</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2)</w:t>
      </w:r>
      <w:r w:rsidRPr="00CE7879">
        <w:rPr>
          <w:rFonts w:ascii="宋体"/>
          <w:kern w:val="0"/>
          <w:sz w:val="24"/>
        </w:rPr>
        <w:t>引入市场竞争机制后，与营销和资产管理相关的系统将成为需求热点。</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3)</w:t>
      </w:r>
      <w:r w:rsidRPr="00CE7879">
        <w:rPr>
          <w:rFonts w:ascii="宋体"/>
          <w:kern w:val="0"/>
          <w:sz w:val="24"/>
        </w:rPr>
        <w:t>电荒和发电环节的放开引发地方性的电厂基建需求。</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4)</w:t>
      </w:r>
      <w:r w:rsidRPr="00CE7879">
        <w:rPr>
          <w:rFonts w:ascii="宋体"/>
          <w:kern w:val="0"/>
          <w:sz w:val="24"/>
        </w:rPr>
        <w:t>厂网分离引发的发电集团的数据大集中。</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5)</w:t>
      </w:r>
      <w:r w:rsidRPr="00CE7879">
        <w:rPr>
          <w:rFonts w:ascii="宋体"/>
          <w:kern w:val="0"/>
          <w:sz w:val="24"/>
        </w:rPr>
        <w:t>北美大停电之后对电力安全和网络安全更加重视。</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6)</w:t>
      </w:r>
      <w:r w:rsidRPr="00CE7879">
        <w:rPr>
          <w:rFonts w:ascii="宋体"/>
          <w:kern w:val="0"/>
          <w:sz w:val="24"/>
        </w:rPr>
        <w:t>部分地区机构重组工作尚未完全结束，将出现采购需求滞后的现象。</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2024</w:t>
      </w:r>
      <w:r w:rsidRPr="00CE7879">
        <w:rPr>
          <w:rFonts w:ascii="宋体"/>
          <w:kern w:val="0"/>
          <w:sz w:val="24"/>
        </w:rPr>
        <w:t>年电力行业信息化建设的重点方向是：资源整合、决策支持系统、</w:t>
      </w:r>
      <w:r w:rsidRPr="00CE7879">
        <w:rPr>
          <w:rFonts w:ascii="宋体"/>
          <w:kern w:val="0"/>
          <w:sz w:val="24"/>
        </w:rPr>
        <w:t>ERP</w:t>
      </w:r>
      <w:r w:rsidRPr="00CE7879">
        <w:rPr>
          <w:rFonts w:ascii="宋体"/>
          <w:kern w:val="0"/>
          <w:sz w:val="24"/>
        </w:rPr>
        <w:t>、网络建设、</w:t>
      </w:r>
      <w:r w:rsidRPr="00CE7879">
        <w:rPr>
          <w:rFonts w:ascii="宋体"/>
          <w:kern w:val="0"/>
          <w:sz w:val="24"/>
        </w:rPr>
        <w:t>OA</w:t>
      </w:r>
      <w:r w:rsidRPr="00CE7879">
        <w:rPr>
          <w:rFonts w:ascii="宋体"/>
          <w:kern w:val="0"/>
          <w:sz w:val="24"/>
        </w:rPr>
        <w:t>系统深化和网络安全。</w:t>
      </w:r>
    </w:p>
    <w:p w:rsidR="00D50289" w:rsidRPr="00CE7879">
      <w:pPr>
        <w:widowControl/>
        <w:spacing w:before="100" w:beforeAutospacing="1" w:after="100" w:afterAutospacing="1" w:line="312" w:lineRule="auto"/>
        <w:jc w:val="left"/>
        <w:rPr>
          <w:rFonts w:ascii="宋体"/>
          <w:kern w:val="0"/>
          <w:sz w:val="24"/>
        </w:rPr>
        <w:sectPr>
          <w:type w:val="nextPage"/>
          <w:pgSz w:w="11906" w:h="16838"/>
          <w:pgMar w:top="1440" w:right="1800" w:bottom="1440" w:left="1800" w:header="851" w:footer="992" w:gutter="0"/>
          <w:pgNumType w:start="7"/>
          <w:cols w:space="425"/>
          <w:titlePg w:val="0"/>
          <w:docGrid w:type="lines" w:linePitch="312"/>
        </w:sectPr>
      </w:pPr>
      <w:r w:rsidRPr="00CE7879">
        <w:rPr>
          <w:rFonts w:ascii="宋体"/>
          <w:kern w:val="0"/>
          <w:sz w:val="24"/>
        </w:rPr>
        <w:t>　　</w:t>
      </w:r>
      <w:r w:rsidRPr="00CE7879">
        <w:rPr>
          <w:rFonts w:ascii="宋体"/>
          <w:kern w:val="0"/>
          <w:sz w:val="24"/>
        </w:rPr>
        <w:t>2024</w:t>
      </w:r>
      <w:r w:rsidRPr="00CE7879">
        <w:rPr>
          <w:rFonts w:ascii="宋体"/>
          <w:kern w:val="0"/>
          <w:sz w:val="24"/>
        </w:rPr>
        <w:t>年我国医卫行业</w:t>
      </w:r>
      <w:r w:rsidRPr="00CE7879">
        <w:rPr>
          <w:rFonts w:ascii="宋体"/>
          <w:kern w:val="0"/>
          <w:sz w:val="24"/>
        </w:rPr>
        <w:t>IT</w:t>
      </w:r>
      <w:r w:rsidRPr="00CE7879">
        <w:rPr>
          <w:rFonts w:ascii="宋体"/>
          <w:kern w:val="0"/>
          <w:sz w:val="24"/>
        </w:rPr>
        <w:t>采购规模将达</w:t>
      </w:r>
      <w:r w:rsidRPr="00CE7879">
        <w:rPr>
          <w:rFonts w:ascii="宋体"/>
          <w:kern w:val="0"/>
          <w:sz w:val="24"/>
        </w:rPr>
        <w:t>35</w:t>
      </w:r>
      <w:r w:rsidRPr="00CE7879">
        <w:rPr>
          <w:rFonts w:ascii="宋体"/>
          <w:kern w:val="0"/>
          <w:sz w:val="24"/>
        </w:rPr>
        <w:t>亿</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计世资讯</w:t>
      </w:r>
      <w:r w:rsidRPr="00CE7879">
        <w:rPr>
          <w:rFonts w:ascii="宋体"/>
          <w:kern w:val="0"/>
          <w:sz w:val="24"/>
        </w:rPr>
        <w:t>(CCW Research)</w:t>
      </w:r>
      <w:r w:rsidRPr="00CE7879">
        <w:rPr>
          <w:rFonts w:ascii="宋体"/>
          <w:kern w:val="0"/>
          <w:sz w:val="24"/>
        </w:rPr>
        <w:t>研究结果表明，</w:t>
      </w:r>
      <w:r w:rsidRPr="00CE7879">
        <w:rPr>
          <w:rFonts w:ascii="宋体"/>
          <w:kern w:val="0"/>
          <w:sz w:val="24"/>
        </w:rPr>
        <w:t>2024</w:t>
      </w:r>
      <w:r w:rsidRPr="00CE7879">
        <w:rPr>
          <w:rFonts w:ascii="宋体"/>
          <w:kern w:val="0"/>
          <w:sz w:val="24"/>
        </w:rPr>
        <w:t>年中国医卫行业的</w:t>
      </w:r>
      <w:r w:rsidRPr="00CE7879">
        <w:rPr>
          <w:rFonts w:ascii="宋体"/>
          <w:kern w:val="0"/>
          <w:sz w:val="24"/>
        </w:rPr>
        <w:t>IT</w:t>
      </w:r>
      <w:r w:rsidRPr="00CE7879">
        <w:rPr>
          <w:rFonts w:ascii="宋体"/>
          <w:kern w:val="0"/>
          <w:sz w:val="24"/>
        </w:rPr>
        <w:t>采购量为</w:t>
      </w:r>
      <w:r w:rsidRPr="00CE7879">
        <w:rPr>
          <w:rFonts w:ascii="宋体"/>
          <w:kern w:val="0"/>
          <w:sz w:val="24"/>
        </w:rPr>
        <w:t>35</w:t>
      </w:r>
      <w:r w:rsidRPr="00CE7879">
        <w:rPr>
          <w:rFonts w:ascii="宋体"/>
          <w:kern w:val="0"/>
          <w:sz w:val="24"/>
        </w:rPr>
        <w:t>亿元人民币，比</w:t>
      </w:r>
      <w:r w:rsidRPr="00CE7879">
        <w:rPr>
          <w:rFonts w:ascii="宋体"/>
          <w:kern w:val="0"/>
          <w:sz w:val="24"/>
        </w:rPr>
        <w:t>2024</w:t>
      </w:r>
      <w:r w:rsidRPr="00CE7879">
        <w:rPr>
          <w:rFonts w:ascii="宋体"/>
          <w:kern w:val="0"/>
          <w:sz w:val="24"/>
        </w:rPr>
        <w:t>年增长</w:t>
      </w:r>
      <w:r w:rsidRPr="00CE7879">
        <w:rPr>
          <w:rFonts w:ascii="宋体"/>
          <w:kern w:val="0"/>
          <w:sz w:val="24"/>
        </w:rPr>
        <w:t>25%</w:t>
      </w:r>
      <w:r w:rsidRPr="00CE7879">
        <w:rPr>
          <w:rFonts w:ascii="宋体"/>
          <w:kern w:val="0"/>
          <w:sz w:val="24"/>
        </w:rPr>
        <w:t>，</w:t>
      </w:r>
      <w:r w:rsidRPr="00CE7879">
        <w:rPr>
          <w:rFonts w:ascii="宋体"/>
          <w:kern w:val="0"/>
          <w:sz w:val="24"/>
        </w:rPr>
        <w:t>仍然保持着高速增长。</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图表</w:t>
      </w:r>
      <w:r w:rsidRPr="00CE7879">
        <w:rPr>
          <w:rFonts w:ascii="宋体"/>
          <w:kern w:val="0"/>
          <w:sz w:val="24"/>
        </w:rPr>
        <w:t xml:space="preserve"> </w:t>
      </w:r>
      <w:r w:rsidRPr="00CE7879">
        <w:rPr>
          <w:rFonts w:ascii="宋体"/>
          <w:kern w:val="0"/>
          <w:sz w:val="24"/>
        </w:rPr>
        <w:t>2024</w:t>
      </w:r>
      <w:r w:rsidRPr="00CE7879">
        <w:rPr>
          <w:rFonts w:ascii="宋体"/>
          <w:kern w:val="0"/>
          <w:sz w:val="24"/>
        </w:rPr>
        <w:t>年医卫行业的</w:t>
      </w:r>
      <w:r w:rsidRPr="00CE7879">
        <w:rPr>
          <w:rFonts w:ascii="宋体"/>
          <w:kern w:val="0"/>
          <w:sz w:val="24"/>
        </w:rPr>
        <w:t>IT</w:t>
      </w:r>
      <w:r w:rsidRPr="00CE7879">
        <w:rPr>
          <w:rFonts w:ascii="宋体"/>
          <w:kern w:val="0"/>
          <w:sz w:val="24"/>
        </w:rPr>
        <w:t>采购规模</w:t>
      </w:r>
    </w:p>
    <w:p w:rsidR="00D50289" w:rsidRPr="00CE7879">
      <w:pPr>
        <w:widowControl/>
        <w:spacing w:line="312" w:lineRule="auto"/>
        <w:jc w:val="center"/>
        <w:rPr>
          <w:rFonts w:ascii="宋体"/>
          <w:kern w:val="0"/>
          <w:sz w:val="24"/>
        </w:rPr>
      </w:pPr>
      <w:r>
        <w:rPr>
          <w:rFonts w:ascii="宋体"/>
          <w:color w:val="0000FF"/>
          <w:kern w:val="0"/>
          <w:sz w:val="24"/>
          <w:u w:val="single"/>
        </w:rPr>
        <w:pict>
          <v:shape id="60706799" o:spid="_x0000_i1031" type="#_x0000_t75" style="width:340.5pt;height:199.5pt;visibility:visible">
            <v:imagedata r:id="rId15" r:href="rId16" o:title=""/>
          </v:shape>
        </w:pic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公共卫生信息系统建设投资将大幅度增长</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在</w:t>
      </w:r>
      <w:r w:rsidRPr="00CE7879">
        <w:rPr>
          <w:rFonts w:ascii="宋体"/>
          <w:kern w:val="0"/>
          <w:sz w:val="24"/>
        </w:rPr>
        <w:t>2024</w:t>
      </w:r>
      <w:r w:rsidRPr="00CE7879">
        <w:rPr>
          <w:rFonts w:ascii="宋体"/>
          <w:kern w:val="0"/>
          <w:sz w:val="24"/>
        </w:rPr>
        <w:t>年的</w:t>
      </w:r>
      <w:r w:rsidRPr="00CE7879">
        <w:rPr>
          <w:rFonts w:ascii="宋体"/>
          <w:kern w:val="0"/>
          <w:sz w:val="24"/>
        </w:rPr>
        <w:t>IT</w:t>
      </w:r>
      <w:r w:rsidRPr="00CE7879">
        <w:rPr>
          <w:rFonts w:ascii="宋体"/>
          <w:kern w:val="0"/>
          <w:sz w:val="24"/>
        </w:rPr>
        <w:t>投资中，国家和政府在公共卫生信息系统建设方面的投资比</w:t>
      </w:r>
      <w:r w:rsidRPr="00CE7879">
        <w:rPr>
          <w:rFonts w:ascii="宋体"/>
          <w:kern w:val="0"/>
          <w:sz w:val="24"/>
        </w:rPr>
        <w:t>2024</w:t>
      </w:r>
      <w:r w:rsidRPr="00CE7879">
        <w:rPr>
          <w:rFonts w:ascii="宋体"/>
          <w:kern w:val="0"/>
          <w:sz w:val="24"/>
        </w:rPr>
        <w:t>年有较大幅度增长</w:t>
      </w:r>
      <w:r w:rsidRPr="00CE7879">
        <w:rPr>
          <w:rFonts w:ascii="宋体"/>
          <w:kern w:val="0"/>
          <w:sz w:val="24"/>
        </w:rPr>
        <w:t>,</w:t>
      </w:r>
      <w:r w:rsidRPr="00CE7879">
        <w:rPr>
          <w:rFonts w:ascii="宋体"/>
          <w:kern w:val="0"/>
          <w:sz w:val="24"/>
        </w:rPr>
        <w:t>在整个医卫行业</w:t>
      </w:r>
      <w:r w:rsidRPr="00CE7879">
        <w:rPr>
          <w:rFonts w:ascii="宋体"/>
          <w:kern w:val="0"/>
          <w:sz w:val="24"/>
        </w:rPr>
        <w:t>IT</w:t>
      </w:r>
      <w:r w:rsidRPr="00CE7879">
        <w:rPr>
          <w:rFonts w:ascii="宋体"/>
          <w:kern w:val="0"/>
          <w:sz w:val="24"/>
        </w:rPr>
        <w:t>总投资中所占的比例将达到</w:t>
      </w:r>
      <w:r w:rsidRPr="00CE7879">
        <w:rPr>
          <w:rFonts w:ascii="宋体"/>
          <w:kern w:val="0"/>
          <w:sz w:val="24"/>
        </w:rPr>
        <w:t>20%</w:t>
      </w:r>
      <w:r w:rsidRPr="00CE7879">
        <w:rPr>
          <w:rFonts w:ascii="宋体"/>
          <w:kern w:val="0"/>
          <w:sz w:val="24"/>
        </w:rPr>
        <w:t>。而</w:t>
      </w:r>
      <w:r w:rsidRPr="00CE7879">
        <w:rPr>
          <w:rFonts w:ascii="宋体"/>
          <w:kern w:val="0"/>
          <w:sz w:val="24"/>
        </w:rPr>
        <w:t>医院</w:t>
      </w:r>
      <w:r w:rsidRPr="00CE7879">
        <w:rPr>
          <w:rFonts w:ascii="宋体"/>
          <w:kern w:val="0"/>
          <w:sz w:val="24"/>
        </w:rPr>
        <w:t>2024</w:t>
      </w:r>
      <w:r w:rsidRPr="00CE7879">
        <w:rPr>
          <w:rFonts w:ascii="宋体"/>
          <w:kern w:val="0"/>
          <w:sz w:val="24"/>
        </w:rPr>
        <w:t>年的</w:t>
      </w:r>
      <w:r w:rsidRPr="00CE7879">
        <w:rPr>
          <w:rFonts w:ascii="宋体"/>
          <w:kern w:val="0"/>
          <w:sz w:val="24"/>
        </w:rPr>
        <w:t>IT</w:t>
      </w:r>
      <w:r w:rsidRPr="00CE7879">
        <w:rPr>
          <w:rFonts w:ascii="宋体"/>
          <w:kern w:val="0"/>
          <w:sz w:val="24"/>
        </w:rPr>
        <w:t>采购规模与</w:t>
      </w:r>
      <w:r w:rsidRPr="00CE7879">
        <w:rPr>
          <w:rFonts w:ascii="宋体"/>
          <w:kern w:val="0"/>
          <w:sz w:val="24"/>
        </w:rPr>
        <w:t>2024</w:t>
      </w:r>
      <w:r w:rsidRPr="00CE7879">
        <w:rPr>
          <w:rFonts w:ascii="宋体"/>
          <w:kern w:val="0"/>
          <w:sz w:val="24"/>
        </w:rPr>
        <w:t>年相比增长相对平稳。</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六大因素影响</w:t>
      </w:r>
      <w:r w:rsidRPr="00CE7879">
        <w:rPr>
          <w:rFonts w:ascii="宋体"/>
          <w:kern w:val="0"/>
          <w:sz w:val="24"/>
        </w:rPr>
        <w:t>2024</w:t>
      </w:r>
      <w:r w:rsidRPr="00CE7879">
        <w:rPr>
          <w:rFonts w:ascii="宋体"/>
          <w:kern w:val="0"/>
          <w:sz w:val="24"/>
        </w:rPr>
        <w:t>医疗卫生行业的</w:t>
      </w:r>
      <w:r w:rsidRPr="00CE7879">
        <w:rPr>
          <w:rFonts w:ascii="宋体"/>
          <w:kern w:val="0"/>
          <w:sz w:val="24"/>
        </w:rPr>
        <w:t>IT</w:t>
      </w:r>
      <w:r w:rsidRPr="00CE7879">
        <w:rPr>
          <w:rFonts w:ascii="宋体"/>
          <w:kern w:val="0"/>
          <w:sz w:val="24"/>
        </w:rPr>
        <w:t>采购</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2024</w:t>
      </w:r>
      <w:r w:rsidRPr="00CE7879">
        <w:rPr>
          <w:rFonts w:ascii="宋体"/>
          <w:kern w:val="0"/>
          <w:sz w:val="24"/>
        </w:rPr>
        <w:t>年医卫行业</w:t>
      </w:r>
      <w:r w:rsidRPr="00CE7879">
        <w:rPr>
          <w:rFonts w:ascii="宋体"/>
          <w:kern w:val="0"/>
          <w:sz w:val="24"/>
        </w:rPr>
        <w:t>IT</w:t>
      </w:r>
      <w:r w:rsidRPr="00CE7879">
        <w:rPr>
          <w:rFonts w:ascii="宋体"/>
          <w:kern w:val="0"/>
          <w:sz w:val="24"/>
        </w:rPr>
        <w:t>采购的影响因素主要有：国家对公共卫生信息系统加大投资力度、医院信息化重点转向以病人为中心的临床信息系统、</w:t>
      </w:r>
      <w:r w:rsidRPr="00CE7879">
        <w:rPr>
          <w:rFonts w:ascii="宋体"/>
          <w:kern w:val="0"/>
          <w:sz w:val="24"/>
        </w:rPr>
        <w:t>HIS</w:t>
      </w:r>
      <w:r w:rsidRPr="00CE7879">
        <w:rPr>
          <w:rFonts w:ascii="宋体"/>
          <w:kern w:val="0"/>
          <w:sz w:val="24"/>
        </w:rPr>
        <w:t>建设的方向和内容面临调整、医疗保险与</w:t>
      </w:r>
      <w:r w:rsidRPr="00CE7879">
        <w:rPr>
          <w:rFonts w:ascii="宋体"/>
          <w:kern w:val="0"/>
          <w:sz w:val="24"/>
        </w:rPr>
        <w:t>HIS</w:t>
      </w:r>
      <w:r w:rsidRPr="00CE7879">
        <w:rPr>
          <w:rFonts w:ascii="宋体"/>
          <w:kern w:val="0"/>
          <w:sz w:val="24"/>
        </w:rPr>
        <w:t>互联、区域卫生信息化建设受到重视。</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2024</w:t>
      </w:r>
      <w:r w:rsidRPr="00CE7879">
        <w:rPr>
          <w:rFonts w:ascii="宋体"/>
          <w:kern w:val="0"/>
          <w:sz w:val="24"/>
        </w:rPr>
        <w:t>年医院信息化建设的重点方向</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2024</w:t>
      </w:r>
      <w:r w:rsidRPr="00CE7879">
        <w:rPr>
          <w:rFonts w:ascii="宋体"/>
          <w:kern w:val="0"/>
          <w:sz w:val="24"/>
        </w:rPr>
        <w:t>年医院信息化建设的重点方向将是一体化的</w:t>
      </w:r>
      <w:r w:rsidRPr="00CE7879">
        <w:rPr>
          <w:rFonts w:ascii="宋体"/>
          <w:kern w:val="0"/>
          <w:sz w:val="24"/>
        </w:rPr>
        <w:t>HIS</w:t>
      </w:r>
      <w:r w:rsidRPr="00CE7879">
        <w:rPr>
          <w:rFonts w:ascii="宋体"/>
          <w:kern w:val="0"/>
          <w:sz w:val="24"/>
        </w:rPr>
        <w:t>建设、网络建设、临床信息系统、医保系统、医生工作站、医学影像系统、电子病历和检验信息系统。</w:t>
      </w:r>
    </w:p>
    <w:p w:rsidR="00D50289" w:rsidRPr="00CE7879">
      <w:pPr>
        <w:widowControl/>
        <w:spacing w:before="100" w:beforeAutospacing="1" w:after="100" w:afterAutospacing="1" w:line="312" w:lineRule="auto"/>
        <w:jc w:val="left"/>
        <w:rPr>
          <w:rFonts w:ascii="宋体"/>
          <w:kern w:val="0"/>
          <w:sz w:val="24"/>
        </w:rPr>
        <w:sectPr>
          <w:type w:val="nextPage"/>
          <w:pgSz w:w="11906" w:h="16838"/>
          <w:pgMar w:top="1440" w:right="1800" w:bottom="1440" w:left="1800" w:header="851" w:footer="992" w:gutter="0"/>
          <w:pgNumType w:start="8"/>
          <w:cols w:space="425"/>
          <w:titlePg w:val="0"/>
          <w:docGrid w:type="lines" w:linePitch="312"/>
        </w:sectPr>
      </w:pPr>
      <w:r w:rsidRPr="00CE7879">
        <w:rPr>
          <w:rFonts w:ascii="宋体"/>
          <w:kern w:val="0"/>
          <w:sz w:val="24"/>
        </w:rPr>
        <w:t>　</w:t>
      </w:r>
      <w:r w:rsidRPr="00CE7879">
        <w:rPr>
          <w:rFonts w:ascii="宋体"/>
          <w:kern w:val="0"/>
          <w:sz w:val="24"/>
        </w:rPr>
        <w:t>　</w:t>
      </w:r>
      <w:r w:rsidRPr="00CE7879">
        <w:rPr>
          <w:rFonts w:ascii="宋体"/>
          <w:kern w:val="0"/>
          <w:sz w:val="24"/>
        </w:rPr>
        <w:t>2024</w:t>
      </w:r>
      <w:r w:rsidRPr="00CE7879">
        <w:rPr>
          <w:rFonts w:ascii="宋体"/>
          <w:kern w:val="0"/>
          <w:sz w:val="24"/>
        </w:rPr>
        <w:t>年交通行业信息化建设稳中有快</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尽管受到</w:t>
      </w:r>
      <w:r w:rsidRPr="00CE7879">
        <w:rPr>
          <w:rFonts w:ascii="宋体"/>
          <w:kern w:val="0"/>
          <w:sz w:val="24"/>
        </w:rPr>
        <w:t>SARS</w:t>
      </w:r>
      <w:r w:rsidRPr="00CE7879">
        <w:rPr>
          <w:rFonts w:ascii="宋体"/>
          <w:kern w:val="0"/>
          <w:sz w:val="24"/>
        </w:rPr>
        <w:t>的影响，但随着下半年中国经济的快速发展以及交通行业信息化建设节奏的加快，</w:t>
      </w:r>
      <w:r w:rsidRPr="00CE7879">
        <w:rPr>
          <w:rFonts w:ascii="宋体"/>
          <w:kern w:val="0"/>
          <w:sz w:val="24"/>
        </w:rPr>
        <w:t>2024</w:t>
      </w:r>
      <w:r w:rsidRPr="00CE7879">
        <w:rPr>
          <w:rFonts w:ascii="宋体"/>
          <w:kern w:val="0"/>
          <w:sz w:val="24"/>
        </w:rPr>
        <w:t>年中国交通行业</w:t>
      </w:r>
      <w:r w:rsidRPr="00CE7879">
        <w:rPr>
          <w:rFonts w:ascii="宋体"/>
          <w:kern w:val="0"/>
          <w:sz w:val="24"/>
        </w:rPr>
        <w:t>IT</w:t>
      </w:r>
      <w:r w:rsidRPr="00CE7879">
        <w:rPr>
          <w:rFonts w:ascii="宋体"/>
          <w:kern w:val="0"/>
          <w:sz w:val="24"/>
        </w:rPr>
        <w:t>投资额达到</w:t>
      </w:r>
      <w:r w:rsidRPr="00CE7879">
        <w:rPr>
          <w:rFonts w:ascii="宋体"/>
          <w:kern w:val="0"/>
          <w:sz w:val="24"/>
        </w:rPr>
        <w:t>83</w:t>
      </w:r>
      <w:r w:rsidRPr="00CE7879">
        <w:rPr>
          <w:rFonts w:ascii="宋体"/>
          <w:kern w:val="0"/>
          <w:sz w:val="24"/>
        </w:rPr>
        <w:t>亿元，</w:t>
      </w:r>
      <w:r w:rsidRPr="00CE7879">
        <w:rPr>
          <w:rFonts w:ascii="宋体"/>
          <w:kern w:val="0"/>
          <w:sz w:val="24"/>
        </w:rPr>
        <w:t>2024</w:t>
      </w:r>
      <w:r w:rsidRPr="00CE7879">
        <w:rPr>
          <w:rFonts w:ascii="宋体"/>
          <w:kern w:val="0"/>
          <w:sz w:val="24"/>
        </w:rPr>
        <w:t>年中国交通行业</w:t>
      </w:r>
      <w:r w:rsidRPr="00CE7879">
        <w:rPr>
          <w:rFonts w:ascii="宋体"/>
          <w:kern w:val="0"/>
          <w:sz w:val="24"/>
        </w:rPr>
        <w:t>IT</w:t>
      </w:r>
      <w:r w:rsidRPr="00CE7879">
        <w:rPr>
          <w:rFonts w:ascii="宋体"/>
          <w:kern w:val="0"/>
          <w:sz w:val="24"/>
        </w:rPr>
        <w:t>投资规模为</w:t>
      </w:r>
      <w:r w:rsidRPr="00CE7879">
        <w:rPr>
          <w:rFonts w:ascii="宋体"/>
          <w:kern w:val="0"/>
          <w:sz w:val="24"/>
        </w:rPr>
        <w:t>100</w:t>
      </w:r>
      <w:r w:rsidRPr="00CE7879">
        <w:rPr>
          <w:rFonts w:ascii="宋体"/>
          <w:kern w:val="0"/>
          <w:sz w:val="24"/>
        </w:rPr>
        <w:t>亿元，同比增长</w:t>
      </w:r>
      <w:r w:rsidRPr="00CE7879">
        <w:rPr>
          <w:rFonts w:ascii="宋体"/>
          <w:kern w:val="0"/>
          <w:sz w:val="24"/>
        </w:rPr>
        <w:t>20.5%</w:t>
      </w:r>
      <w:r w:rsidRPr="00CE7879">
        <w:rPr>
          <w:rFonts w:ascii="宋体"/>
          <w:kern w:val="0"/>
          <w:sz w:val="24"/>
        </w:rPr>
        <w:t>。</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图表</w:t>
      </w:r>
      <w:r w:rsidRPr="00CE7879">
        <w:rPr>
          <w:rFonts w:ascii="宋体"/>
          <w:kern w:val="0"/>
          <w:sz w:val="24"/>
        </w:rPr>
        <w:t xml:space="preserve"> </w:t>
      </w:r>
      <w:r w:rsidRPr="00CE7879">
        <w:rPr>
          <w:rFonts w:ascii="宋体"/>
          <w:kern w:val="0"/>
          <w:sz w:val="24"/>
        </w:rPr>
        <w:t>2024</w:t>
      </w:r>
      <w:r w:rsidRPr="00CE7879">
        <w:rPr>
          <w:rFonts w:ascii="宋体"/>
          <w:kern w:val="0"/>
          <w:sz w:val="24"/>
        </w:rPr>
        <w:t>~</w:t>
      </w:r>
      <w:r w:rsidRPr="00CE7879">
        <w:rPr>
          <w:rFonts w:ascii="宋体"/>
          <w:kern w:val="0"/>
          <w:sz w:val="24"/>
        </w:rPr>
        <w:t>2024</w:t>
      </w:r>
      <w:r w:rsidRPr="00CE7879">
        <w:rPr>
          <w:rFonts w:ascii="宋体"/>
          <w:kern w:val="0"/>
          <w:sz w:val="24"/>
        </w:rPr>
        <w:t>年中国交通行业</w:t>
      </w:r>
      <w:r w:rsidRPr="00CE7879">
        <w:rPr>
          <w:rFonts w:ascii="宋体"/>
          <w:kern w:val="0"/>
          <w:sz w:val="24"/>
        </w:rPr>
        <w:t>IT</w:t>
      </w:r>
      <w:r w:rsidRPr="00CE7879">
        <w:rPr>
          <w:rFonts w:ascii="宋体"/>
          <w:kern w:val="0"/>
          <w:sz w:val="24"/>
        </w:rPr>
        <w:t>投资对比图</w:t>
      </w:r>
    </w:p>
    <w:p w:rsidR="00D50289" w:rsidRPr="00CE7879">
      <w:pPr>
        <w:widowControl/>
        <w:spacing w:line="312" w:lineRule="auto"/>
        <w:jc w:val="center"/>
        <w:rPr>
          <w:rFonts w:ascii="宋体"/>
          <w:kern w:val="0"/>
          <w:sz w:val="24"/>
        </w:rPr>
      </w:pPr>
      <w:r>
        <w:pict>
          <v:shape id="_x0000_i1032" type="#_x0000_t75" style="width:0.75pt;height:0.75pt">
            <v:imagedata r:id="rId17"/>
          </v:shape>
        </w:pic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影响交通行业信息化建设因素喜忧参半</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直接影响到交通行业信息化建设的因素大致包括：有利因素有经济快速发展、国家加大对基础设施投资、</w:t>
      </w:r>
      <w:r w:rsidRPr="00CE7879">
        <w:rPr>
          <w:rFonts w:ascii="宋体"/>
          <w:kern w:val="0"/>
          <w:sz w:val="24"/>
        </w:rPr>
        <w:t>WTO</w:t>
      </w:r>
      <w:r w:rsidRPr="00CE7879">
        <w:rPr>
          <w:rFonts w:ascii="宋体"/>
          <w:kern w:val="0"/>
          <w:sz w:val="24"/>
        </w:rPr>
        <w:t>的影响、全行业信息系统建设的影响等。不利因素有人民币升值、全球经济和台海局势、社会信息化应用水平较低、信息化投入产出比不高等。不确定因素有国家重大信息化建设工程政策的调整、国家宏观经济调控政策、民航企业改革和重组进展速度的不确定性、</w:t>
      </w:r>
      <w:r w:rsidRPr="00CE7879">
        <w:rPr>
          <w:rFonts w:ascii="宋体"/>
          <w:kern w:val="0"/>
          <w:sz w:val="24"/>
        </w:rPr>
        <w:t>SARS</w:t>
      </w:r>
      <w:r w:rsidRPr="00CE7879">
        <w:rPr>
          <w:rFonts w:ascii="宋体"/>
          <w:kern w:val="0"/>
          <w:sz w:val="24"/>
        </w:rPr>
        <w:t>事件的深远影响等。</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w:t>
      </w:r>
      <w:r w:rsidRPr="00CE7879">
        <w:rPr>
          <w:rFonts w:ascii="宋体"/>
          <w:kern w:val="0"/>
          <w:sz w:val="24"/>
        </w:rPr>
        <w:t>2024</w:t>
      </w:r>
      <w:r w:rsidRPr="00CE7879">
        <w:rPr>
          <w:rFonts w:ascii="宋体"/>
          <w:kern w:val="0"/>
          <w:sz w:val="24"/>
        </w:rPr>
        <w:t>年交通行业</w:t>
      </w:r>
      <w:r w:rsidRPr="00CE7879">
        <w:rPr>
          <w:rFonts w:ascii="宋体"/>
          <w:kern w:val="0"/>
          <w:sz w:val="24"/>
        </w:rPr>
        <w:t>IT</w:t>
      </w:r>
      <w:r w:rsidRPr="00CE7879">
        <w:rPr>
          <w:rFonts w:ascii="宋体"/>
          <w:kern w:val="0"/>
          <w:sz w:val="24"/>
        </w:rPr>
        <w:t>机会更加分散</w:t>
      </w:r>
    </w:p>
    <w:p w:rsidR="00D50289" w:rsidRPr="00CE7879">
      <w:pPr>
        <w:widowControl/>
        <w:spacing w:before="100" w:beforeAutospacing="1" w:after="100" w:afterAutospacing="1" w:line="312" w:lineRule="auto"/>
        <w:jc w:val="left"/>
        <w:rPr>
          <w:rFonts w:ascii="宋体"/>
          <w:kern w:val="0"/>
          <w:sz w:val="24"/>
        </w:rPr>
      </w:pPr>
      <w:r w:rsidRPr="00CE7879">
        <w:rPr>
          <w:rFonts w:ascii="宋体"/>
          <w:kern w:val="0"/>
          <w:sz w:val="24"/>
        </w:rPr>
        <w:t>　　首先是全行业</w:t>
      </w:r>
      <w:r w:rsidRPr="00CE7879">
        <w:rPr>
          <w:rFonts w:ascii="宋体"/>
          <w:kern w:val="0"/>
          <w:sz w:val="24"/>
        </w:rPr>
        <w:t>IT</w:t>
      </w:r>
      <w:r w:rsidRPr="00CE7879">
        <w:rPr>
          <w:rFonts w:ascii="宋体"/>
          <w:kern w:val="0"/>
          <w:sz w:val="24"/>
        </w:rPr>
        <w:t>系统带来机会，包括铁路的</w:t>
      </w:r>
      <w:r w:rsidRPr="00CE7879">
        <w:rPr>
          <w:rFonts w:ascii="宋体"/>
          <w:kern w:val="0"/>
          <w:sz w:val="24"/>
        </w:rPr>
        <w:t>TMIS</w:t>
      </w:r>
      <w:r w:rsidRPr="00CE7879">
        <w:rPr>
          <w:rFonts w:ascii="宋体"/>
          <w:kern w:val="0"/>
          <w:sz w:val="24"/>
        </w:rPr>
        <w:t>、</w:t>
      </w:r>
      <w:r w:rsidRPr="00CE7879">
        <w:rPr>
          <w:rFonts w:ascii="宋体"/>
          <w:kern w:val="0"/>
          <w:sz w:val="24"/>
        </w:rPr>
        <w:t>DMIS</w:t>
      </w:r>
      <w:r w:rsidRPr="00CE7879">
        <w:rPr>
          <w:rFonts w:ascii="宋体"/>
          <w:kern w:val="0"/>
          <w:sz w:val="24"/>
        </w:rPr>
        <w:t>建设和完善；民航的</w:t>
      </w:r>
      <w:r w:rsidRPr="00CE7879">
        <w:rPr>
          <w:rFonts w:ascii="宋体"/>
          <w:kern w:val="0"/>
          <w:sz w:val="24"/>
        </w:rPr>
        <w:t>GDS</w:t>
      </w:r>
      <w:r w:rsidRPr="00CE7879">
        <w:rPr>
          <w:rFonts w:ascii="宋体"/>
          <w:kern w:val="0"/>
          <w:sz w:val="24"/>
        </w:rPr>
        <w:t>应用和交通</w:t>
      </w:r>
      <w:r w:rsidRPr="00CE7879">
        <w:rPr>
          <w:rFonts w:ascii="宋体"/>
          <w:kern w:val="0"/>
          <w:sz w:val="24"/>
        </w:rPr>
        <w:t>EDI</w:t>
      </w:r>
      <w:r w:rsidRPr="00CE7879">
        <w:rPr>
          <w:rFonts w:ascii="宋体"/>
          <w:kern w:val="0"/>
          <w:sz w:val="24"/>
        </w:rPr>
        <w:t>系</w:t>
      </w:r>
    </w:p>
    <w:p w:rsidR="00D50289" w:rsidP="006D62C0">
      <w:pPr>
        <w:widowControl/>
        <w:spacing w:before="100" w:beforeAutospacing="1" w:after="100" w:afterAutospacing="1" w:line="312" w:lineRule="auto"/>
        <w:ind w:firstLine="465"/>
        <w:jc w:val="left"/>
        <w:rPr>
          <w:rFonts w:ascii="宋体" w:hint="eastAsia"/>
          <w:kern w:val="0"/>
          <w:sz w:val="24"/>
        </w:rPr>
        <w:sectPr>
          <w:type w:val="nextPage"/>
          <w:pgSz w:w="11906" w:h="16838"/>
          <w:pgMar w:top="1440" w:right="1800" w:bottom="1440" w:left="1800" w:header="851" w:footer="992" w:gutter="0"/>
          <w:pgNumType w:start="9"/>
          <w:cols w:space="425"/>
          <w:titlePg w:val="0"/>
          <w:docGrid w:type="lines" w:linePitch="312"/>
        </w:sectPr>
      </w:pPr>
      <w:r w:rsidRPr="00CE7879">
        <w:rPr>
          <w:rFonts w:ascii="宋体"/>
          <w:kern w:val="0"/>
          <w:sz w:val="24"/>
        </w:rPr>
        <w:t>统建设。其次是行业建设发展带来的新需求，包括电子商务开展、高速公路系统建设需求、第三方物流蓬勃发展。还有已有系统升级换代带来机会，包括</w:t>
      </w:r>
      <w:r w:rsidRPr="00CE7879">
        <w:rPr>
          <w:rFonts w:ascii="宋体"/>
          <w:kern w:val="0"/>
          <w:sz w:val="24"/>
        </w:rPr>
        <w:t>IT</w:t>
      </w:r>
      <w:r w:rsidRPr="00CE7879">
        <w:rPr>
          <w:rFonts w:ascii="宋体"/>
          <w:kern w:val="0"/>
          <w:sz w:val="24"/>
        </w:rPr>
        <w:t>产品的需求和系统升级需求。另外，智能交通</w:t>
      </w:r>
      <w:r w:rsidRPr="00CE7879">
        <w:rPr>
          <w:rFonts w:ascii="宋体"/>
          <w:kern w:val="0"/>
          <w:sz w:val="24"/>
        </w:rPr>
        <w:t>(ITS)</w:t>
      </w:r>
      <w:r w:rsidRPr="00CE7879">
        <w:rPr>
          <w:rFonts w:ascii="宋体"/>
          <w:kern w:val="0"/>
          <w:sz w:val="24"/>
        </w:rPr>
        <w:t>带来的</w:t>
      </w:r>
      <w:r w:rsidRPr="00CE7879">
        <w:rPr>
          <w:rFonts w:ascii="宋体"/>
          <w:kern w:val="0"/>
          <w:sz w:val="24"/>
        </w:rPr>
        <w:t>IT</w:t>
      </w:r>
      <w:r w:rsidRPr="00CE7879">
        <w:rPr>
          <w:rFonts w:ascii="宋体"/>
          <w:kern w:val="0"/>
          <w:sz w:val="24"/>
        </w:rPr>
        <w:t>市场机会若隐若现。</w:t>
      </w:r>
    </w:p>
    <w:p w:rsidR="00990E4C" w:rsidRPr="007B7A66" w:rsidP="00990E4C">
      <w:pPr>
        <w:pStyle w:val="a"/>
        <w:spacing w:line="360" w:lineRule="auto"/>
        <w:jc w:val="center"/>
        <w:rPr>
          <w:rFonts w:ascii="华文楷体" w:eastAsia="华文楷体" w:hAnsi="华文楷体"/>
          <w:color w:val="000000"/>
          <w:szCs w:val="28"/>
        </w:rPr>
      </w:pPr>
      <w:r w:rsidRPr="006D62C0" w:rsidR="006D62C0">
        <w:rPr>
          <w:rFonts w:ascii="宋体"/>
          <w:kern w:val="0"/>
          <w:sz w:val="24"/>
        </w:rPr>
        <w:t xml:space="preserve"> </w:t>
      </w:r>
    </w:p>
    <w:p w:rsidR="00990E4C" w:rsidRPr="007B7A66" w:rsidP="00990E4C">
      <w:pPr>
        <w:pStyle w:val="a"/>
        <w:spacing w:line="360" w:lineRule="auto"/>
        <w:jc w:val="center"/>
        <w:rPr>
          <w:rFonts w:ascii="华文楷体" w:eastAsia="华文楷体" w:hAnsi="华文楷体"/>
          <w:color w:val="000000"/>
          <w:szCs w:val="28"/>
        </w:rPr>
      </w:pPr>
    </w:p>
    <w:p w:rsidR="00990E4C" w:rsidRPr="007B7A66" w:rsidP="00990E4C">
      <w:pPr>
        <w:pStyle w:val="a"/>
        <w:spacing w:line="360" w:lineRule="auto"/>
        <w:jc w:val="center"/>
        <w:rPr>
          <w:rFonts w:ascii="华文楷体" w:eastAsia="华文楷体" w:hAnsi="华文楷体"/>
          <w:color w:val="000000"/>
          <w:szCs w:val="28"/>
        </w:rPr>
      </w:pPr>
    </w:p>
    <w:p w:rsidR="00990E4C" w:rsidRPr="007B7A66" w:rsidP="00990E4C">
      <w:pPr>
        <w:pStyle w:val="a"/>
        <w:spacing w:line="360" w:lineRule="auto"/>
        <w:jc w:val="center"/>
        <w:rPr>
          <w:rFonts w:ascii="华文楷体" w:eastAsia="华文楷体" w:hAnsi="华文楷体"/>
          <w:color w:val="000000"/>
          <w:szCs w:val="28"/>
        </w:rPr>
      </w:pPr>
    </w:p>
    <w:p w:rsidR="00990E4C" w:rsidRPr="00E8109C" w:rsidP="00990E4C">
      <w:pPr>
        <w:pStyle w:val="a"/>
        <w:spacing w:line="360" w:lineRule="auto"/>
        <w:jc w:val="center"/>
        <w:rPr>
          <w:rFonts w:ascii="华文楷体" w:eastAsia="华文楷体" w:hAnsi="华文楷体"/>
          <w:b/>
          <w:color w:val="000000"/>
          <w:sz w:val="96"/>
          <w:szCs w:val="84"/>
        </w:rPr>
      </w:pPr>
      <w:r>
        <w:rPr>
          <w:rFonts w:ascii="华文楷体" w:eastAsia="华文楷体" w:hAnsi="华文楷体"/>
          <w:b/>
          <w:color w:val="000000"/>
          <w:sz w:val="96"/>
          <w:szCs w:val="84"/>
        </w:rPr>
        <w:t>2024</w:t>
      </w:r>
      <w:r w:rsidRPr="00E8109C">
        <w:rPr>
          <w:rFonts w:ascii="华文楷体" w:eastAsia="华文楷体" w:hAnsi="华文楷体"/>
          <w:b/>
          <w:color w:val="000000"/>
          <w:sz w:val="96"/>
          <w:szCs w:val="84"/>
        </w:rPr>
        <w:t>年有线网络行业分析报告</w:t>
      </w:r>
    </w:p>
    <w:p w:rsidR="00990E4C" w:rsidRPr="00E8109C" w:rsidP="00990E4C">
      <w:pPr>
        <w:pStyle w:val="a"/>
        <w:spacing w:line="360" w:lineRule="auto"/>
        <w:rPr>
          <w:rFonts w:ascii="华文楷体" w:eastAsia="华文楷体" w:hAnsi="华文楷体"/>
          <w:color w:val="000000"/>
          <w:sz w:val="28"/>
          <w:szCs w:val="28"/>
        </w:rPr>
      </w:pPr>
    </w:p>
    <w:p w:rsidR="00990E4C" w:rsidRPr="00E8109C" w:rsidP="00990E4C">
      <w:pPr>
        <w:pStyle w:val="a"/>
        <w:spacing w:line="360" w:lineRule="auto"/>
        <w:rPr>
          <w:rFonts w:ascii="华文楷体" w:eastAsia="华文楷体" w:hAnsi="华文楷体"/>
          <w:color w:val="000000"/>
          <w:sz w:val="28"/>
          <w:szCs w:val="28"/>
        </w:rPr>
      </w:pPr>
    </w:p>
    <w:p w:rsidR="00990E4C" w:rsidRPr="00E8109C" w:rsidP="00990E4C">
      <w:pPr>
        <w:pStyle w:val="a"/>
        <w:spacing w:line="360" w:lineRule="auto"/>
        <w:rPr>
          <w:rFonts w:ascii="华文楷体" w:eastAsia="华文楷体" w:hAnsi="华文楷体"/>
          <w:color w:val="000000"/>
          <w:sz w:val="28"/>
          <w:szCs w:val="28"/>
        </w:rPr>
      </w:pPr>
    </w:p>
    <w:p w:rsidR="00990E4C" w:rsidRPr="00E8109C" w:rsidP="00990E4C">
      <w:pPr>
        <w:pStyle w:val="a"/>
        <w:spacing w:line="360" w:lineRule="auto"/>
        <w:rPr>
          <w:rFonts w:ascii="华文楷体" w:eastAsia="华文楷体" w:hAnsi="华文楷体"/>
          <w:color w:val="000000"/>
          <w:sz w:val="28"/>
          <w:szCs w:val="28"/>
        </w:rPr>
      </w:pPr>
    </w:p>
    <w:p w:rsidR="00990E4C" w:rsidRPr="00E8109C" w:rsidP="00990E4C">
      <w:pPr>
        <w:pStyle w:val="a"/>
        <w:spacing w:line="360" w:lineRule="auto"/>
        <w:rPr>
          <w:rFonts w:ascii="华文楷体" w:eastAsia="华文楷体" w:hAnsi="华文楷体"/>
          <w:color w:val="000000"/>
          <w:sz w:val="28"/>
          <w:szCs w:val="28"/>
        </w:rPr>
      </w:pPr>
    </w:p>
    <w:p w:rsidR="00990E4C" w:rsidRPr="00E8109C" w:rsidP="00990E4C">
      <w:pPr>
        <w:pStyle w:val="a"/>
        <w:spacing w:line="360" w:lineRule="auto"/>
        <w:rPr>
          <w:rFonts w:ascii="华文楷体" w:eastAsia="华文楷体" w:hAnsi="华文楷体"/>
          <w:color w:val="000000"/>
          <w:sz w:val="28"/>
          <w:szCs w:val="28"/>
        </w:rPr>
      </w:pPr>
    </w:p>
    <w:p w:rsidR="00990E4C" w:rsidRPr="00E8109C" w:rsidP="00990E4C">
      <w:pPr>
        <w:pStyle w:val="a"/>
        <w:spacing w:line="360" w:lineRule="auto"/>
        <w:jc w:val="center"/>
        <w:rPr>
          <w:rFonts w:ascii="华文楷体" w:eastAsia="华文楷体" w:hAnsi="华文楷体" w:hint="eastAsia"/>
          <w:b/>
          <w:color w:val="000000"/>
          <w:sz w:val="56"/>
          <w:szCs w:val="44"/>
        </w:rPr>
      </w:pPr>
      <w:r>
        <w:rPr>
          <w:rFonts w:ascii="华文楷体" w:eastAsia="华文楷体" w:hAnsi="华文楷体"/>
          <w:b/>
          <w:color w:val="000000"/>
          <w:sz w:val="56"/>
          <w:szCs w:val="44"/>
        </w:rPr>
        <w:t>2024</w:t>
      </w:r>
      <w:r w:rsidRPr="00E8109C">
        <w:rPr>
          <w:rFonts w:ascii="华文楷体" w:eastAsia="华文楷体" w:hAnsi="华文楷体"/>
          <w:b/>
          <w:color w:val="000000"/>
          <w:sz w:val="56"/>
          <w:szCs w:val="44"/>
        </w:rPr>
        <w:t>年</w:t>
      </w:r>
      <w:r w:rsidR="0060383D">
        <w:rPr>
          <w:rFonts w:ascii="华文楷体" w:eastAsia="华文楷体" w:hAnsi="华文楷体" w:hint="eastAsia"/>
          <w:b/>
          <w:color w:val="000000"/>
          <w:sz w:val="56"/>
          <w:szCs w:val="44"/>
        </w:rPr>
        <w:t>3</w:t>
      </w:r>
      <w:r w:rsidRPr="00E8109C">
        <w:rPr>
          <w:rFonts w:ascii="华文楷体" w:eastAsia="华文楷体" w:hAnsi="华文楷体"/>
          <w:b/>
          <w:color w:val="000000"/>
          <w:sz w:val="56"/>
          <w:szCs w:val="44"/>
        </w:rPr>
        <w:t>月</w:t>
      </w:r>
    </w:p>
    <w:p w:rsidR="00990E4C" w:rsidRPr="00E8109C" w:rsidP="00990E4C">
      <w:pPr>
        <w:pStyle w:val="a"/>
        <w:spacing w:line="360" w:lineRule="auto"/>
        <w:jc w:val="center"/>
        <w:rPr>
          <w:rFonts w:ascii="华文楷体" w:eastAsia="华文楷体" w:hAnsi="华文楷体"/>
          <w:b/>
          <w:color w:val="000000"/>
          <w:sz w:val="44"/>
          <w:szCs w:val="44"/>
        </w:rPr>
        <w:sectPr>
          <w:type w:val="nextPage"/>
          <w:pgSz w:w="11906" w:h="16838"/>
          <w:pgMar w:top="1440" w:right="1800" w:bottom="1440" w:left="1800" w:header="851" w:footer="992" w:gutter="0"/>
          <w:pgNumType w:start="10"/>
          <w:cols w:space="425"/>
          <w:titlePg w:val="0"/>
          <w:docGrid w:type="lines" w:linePitch="312"/>
        </w:sectPr>
      </w:pPr>
    </w:p>
    <w:p w:rsidR="00990E4C" w:rsidRPr="00E8109C" w:rsidP="00990E4C">
      <w:pPr>
        <w:pStyle w:val="a"/>
        <w:spacing w:line="360" w:lineRule="auto"/>
        <w:jc w:val="center"/>
        <w:rPr>
          <w:rFonts w:ascii="华文楷体" w:eastAsia="华文楷体" w:hAnsi="华文楷体"/>
          <w:b/>
          <w:color w:val="000000"/>
          <w:sz w:val="52"/>
          <w:szCs w:val="52"/>
        </w:rPr>
      </w:pPr>
      <w:r w:rsidRPr="00E8109C">
        <w:rPr>
          <w:rFonts w:ascii="华文楷体" w:eastAsia="华文楷体" w:hAnsi="华文楷体"/>
          <w:b/>
          <w:color w:val="000000"/>
          <w:sz w:val="52"/>
          <w:szCs w:val="52"/>
        </w:rPr>
        <w:t>目 录</w:t>
      </w:r>
    </w:p>
    <w:p w:rsidR="00990E4C" w:rsidRPr="00E8109C">
      <w:pPr>
        <w:pStyle w:val="11"/>
        <w:tabs>
          <w:tab w:val="right" w:leader="dot" w:pos="8296"/>
        </w:tabs>
        <w:rPr>
          <w:rFonts w:ascii="华文楷体" w:eastAsia="华文楷体" w:hAnsi="华文楷体"/>
          <w:b w:val="0"/>
          <w:bCs w:val="0"/>
          <w:caps w:val="0"/>
          <w:noProof/>
          <w:color w:val="000000"/>
          <w:sz w:val="21"/>
          <w:szCs w:val="24"/>
        </w:rPr>
      </w:pPr>
      <w:r w:rsidRPr="00E8109C">
        <w:rPr>
          <w:rFonts w:ascii="华文楷体" w:eastAsia="华文楷体" w:hAnsi="华文楷体"/>
          <w:b w:val="0"/>
          <w:color w:val="000000"/>
          <w:sz w:val="36"/>
          <w:szCs w:val="36"/>
        </w:rPr>
        <w:fldChar w:fldCharType="begin"/>
      </w:r>
      <w:r w:rsidRPr="00E8109C">
        <w:rPr>
          <w:rFonts w:ascii="华文楷体" w:eastAsia="华文楷体" w:hAnsi="华文楷体"/>
          <w:b w:val="0"/>
          <w:color w:val="000000"/>
          <w:sz w:val="36"/>
          <w:szCs w:val="36"/>
        </w:rPr>
        <w:instrText xml:space="preserve"> TOC \o "1-3" \h \z \u </w:instrText>
      </w:r>
      <w:r w:rsidRPr="00E8109C">
        <w:rPr>
          <w:rFonts w:ascii="华文楷体" w:eastAsia="华文楷体" w:hAnsi="华文楷体"/>
          <w:b w:val="0"/>
          <w:color w:val="000000"/>
          <w:sz w:val="36"/>
          <w:szCs w:val="36"/>
        </w:rPr>
        <w:fldChar w:fldCharType="separate"/>
      </w:r>
      <w:hyperlink w:anchor="_Toc368499957" w:history="1">
        <w:r w:rsidRPr="00E8109C">
          <w:rPr>
            <w:rStyle w:val="a0"/>
            <w:rFonts w:ascii="华文楷体" w:eastAsia="华文楷体" w:hAnsi="华文楷体"/>
            <w:noProof/>
            <w:color w:val="000000"/>
            <w:kern w:val="0"/>
          </w:rPr>
          <w:t>一、国网整合的预期未变</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_Toc368499957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3</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58" w:history="1">
        <w:r w:rsidRPr="00E8109C">
          <w:rPr>
            <w:rStyle w:val="a0"/>
            <w:rFonts w:ascii="华文楷体" w:eastAsia="华文楷体" w:hAnsi="华文楷体"/>
            <w:noProof/>
            <w:color w:val="000000"/>
            <w:kern w:val="0"/>
          </w:rPr>
          <w:t>1、新闻出版广电总局“三定”方案落定</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_Toc368499958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3</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59" w:history="1">
        <w:r w:rsidRPr="00E8109C">
          <w:rPr>
            <w:rStyle w:val="a0"/>
            <w:rFonts w:ascii="华文楷体" w:eastAsia="华文楷体" w:hAnsi="华文楷体"/>
            <w:noProof/>
            <w:color w:val="000000"/>
            <w:kern w:val="0"/>
          </w:rPr>
          <w:t>2、中广网络即将成立的预期仍在</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_Toc368499959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3</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60" w:history="1">
        <w:r w:rsidRPr="00E8109C">
          <w:rPr>
            <w:rStyle w:val="a0"/>
            <w:rFonts w:ascii="华文楷体" w:eastAsia="华文楷体" w:hAnsi="华文楷体"/>
            <w:noProof/>
            <w:color w:val="000000"/>
            <w:kern w:val="0"/>
          </w:rPr>
          <w:t>3、目前省级广电已经成为事实的市场主体</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_Toc368499960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4</w:t>
        </w:r>
        <w:r w:rsidRPr="00E8109C">
          <w:rPr>
            <w:rFonts w:ascii="华文楷体" w:eastAsia="华文楷体" w:hAnsi="华文楷体"/>
            <w:noProof/>
            <w:color w:val="000000"/>
          </w:rPr>
          <w:fldChar w:fldCharType="end"/>
        </w:r>
      </w:hyperlink>
    </w:p>
    <w:p w:rsidR="00990E4C" w:rsidRPr="00E8109C">
      <w:pPr>
        <w:pStyle w:val="11"/>
        <w:tabs>
          <w:tab w:val="right" w:leader="dot" w:pos="8296"/>
        </w:tabs>
        <w:rPr>
          <w:rFonts w:ascii="华文楷体" w:eastAsia="华文楷体" w:hAnsi="华文楷体"/>
          <w:b w:val="0"/>
          <w:bCs w:val="0"/>
          <w:caps w:val="0"/>
          <w:noProof/>
          <w:color w:val="000000"/>
          <w:sz w:val="21"/>
          <w:szCs w:val="24"/>
        </w:rPr>
      </w:pPr>
      <w:hyperlink w:anchor="_Toc368499961" w:history="1">
        <w:r w:rsidRPr="00E8109C">
          <w:rPr>
            <w:rStyle w:val="a0"/>
            <w:rFonts w:ascii="华文楷体" w:eastAsia="华文楷体" w:hAnsi="华文楷体"/>
            <w:noProof/>
            <w:color w:val="000000"/>
            <w:kern w:val="0"/>
          </w:rPr>
          <w:t>二、有线电视用户的价值评估</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_Toc368499961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5</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62" w:history="1">
        <w:r w:rsidRPr="00E8109C">
          <w:rPr>
            <w:rStyle w:val="a0"/>
            <w:rFonts w:ascii="华文楷体" w:eastAsia="华文楷体" w:hAnsi="华文楷体"/>
            <w:noProof/>
            <w:color w:val="000000"/>
            <w:kern w:val="0"/>
          </w:rPr>
          <w:t>1、现金流折现的方法估算用户价值</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_Toc368499962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5</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63" w:history="1">
        <w:r w:rsidRPr="00E8109C">
          <w:rPr>
            <w:rStyle w:val="a0"/>
            <w:rFonts w:ascii="华文楷体" w:eastAsia="华文楷体" w:hAnsi="华文楷体"/>
            <w:noProof/>
            <w:color w:val="000000"/>
            <w:kern w:val="0"/>
          </w:rPr>
          <w:t>2、有线电视运营商的理论价值</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_Toc368499963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6</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64" w:history="1">
        <w:r w:rsidRPr="00E8109C">
          <w:rPr>
            <w:rStyle w:val="a0"/>
            <w:rFonts w:ascii="华文楷体" w:eastAsia="华文楷体" w:hAnsi="华文楷体"/>
            <w:noProof/>
            <w:color w:val="000000"/>
            <w:kern w:val="0"/>
          </w:rPr>
          <w:t>3、2020年初至今上市公司的市值</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_Toc368499964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8</w:t>
        </w:r>
        <w:r w:rsidRPr="00E8109C">
          <w:rPr>
            <w:rFonts w:ascii="华文楷体" w:eastAsia="华文楷体" w:hAnsi="华文楷体"/>
            <w:noProof/>
            <w:color w:val="000000"/>
          </w:rPr>
          <w:fldChar w:fldCharType="end"/>
        </w:r>
      </w:hyperlink>
    </w:p>
    <w:p w:rsidR="00990E4C" w:rsidRPr="00E8109C">
      <w:pPr>
        <w:pStyle w:val="11"/>
        <w:tabs>
          <w:tab w:val="right" w:leader="dot" w:pos="8296"/>
        </w:tabs>
        <w:rPr>
          <w:rFonts w:ascii="华文楷体" w:eastAsia="华文楷体" w:hAnsi="华文楷体"/>
          <w:b w:val="0"/>
          <w:bCs w:val="0"/>
          <w:caps w:val="0"/>
          <w:noProof/>
          <w:color w:val="000000"/>
          <w:sz w:val="21"/>
          <w:szCs w:val="24"/>
        </w:rPr>
      </w:pPr>
      <w:hyperlink w:anchor="_Toc368499965" w:history="1">
        <w:r w:rsidRPr="00E8109C">
          <w:rPr>
            <w:rStyle w:val="a0"/>
            <w:rFonts w:ascii="华文楷体" w:eastAsia="华文楷体" w:hAnsi="华文楷体"/>
            <w:noProof/>
            <w:color w:val="000000"/>
            <w:kern w:val="0"/>
          </w:rPr>
          <w:t>三、整合中的用户价值重估</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_Toc368499965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10</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66" w:history="1">
        <w:r w:rsidRPr="00E8109C">
          <w:rPr>
            <w:rStyle w:val="a0"/>
            <w:rFonts w:ascii="华文楷体" w:eastAsia="华文楷体" w:hAnsi="华文楷体"/>
            <w:noProof/>
            <w:color w:val="000000"/>
            <w:kern w:val="0"/>
          </w:rPr>
          <w:t>1、江苏模式”中的用户价值重估</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_Toc368499966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10</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67" w:history="1">
        <w:r w:rsidRPr="00E8109C">
          <w:rPr>
            <w:rStyle w:val="a0"/>
            <w:rFonts w:ascii="华文楷体" w:eastAsia="华文楷体" w:hAnsi="华文楷体"/>
            <w:noProof/>
            <w:color w:val="000000"/>
            <w:kern w:val="0"/>
          </w:rPr>
          <w:t>2、中广网络整合中的用户价值重估</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_Toc368499967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11</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68" w:history="1">
        <w:r w:rsidRPr="00E8109C">
          <w:rPr>
            <w:rStyle w:val="a0"/>
            <w:rFonts w:ascii="华文楷体" w:eastAsia="华文楷体" w:hAnsi="华文楷体"/>
            <w:noProof/>
            <w:color w:val="000000"/>
            <w:kern w:val="0"/>
          </w:rPr>
          <w:t>3、电广传媒收购省外有线用户资源</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w:instrText>
        </w:r>
        <w:r w:rsidRPr="00E8109C">
          <w:rPr>
            <w:rFonts w:ascii="华文楷体" w:eastAsia="华文楷体" w:hAnsi="华文楷体"/>
            <w:noProof/>
            <w:color w:val="000000"/>
          </w:rPr>
          <w:instrText xml:space="preserve">GEREF _Toc368499968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13</w:t>
        </w:r>
        <w:r w:rsidRPr="00E8109C">
          <w:rPr>
            <w:rFonts w:ascii="华文楷体" w:eastAsia="华文楷体" w:hAnsi="华文楷体"/>
            <w:noProof/>
            <w:color w:val="000000"/>
          </w:rPr>
          <w:fldChar w:fldCharType="end"/>
        </w:r>
      </w:hyperlink>
    </w:p>
    <w:p w:rsidR="00990E4C" w:rsidRPr="00E8109C">
      <w:pPr>
        <w:pStyle w:val="11"/>
        <w:tabs>
          <w:tab w:val="right" w:leader="dot" w:pos="8296"/>
        </w:tabs>
        <w:rPr>
          <w:rFonts w:ascii="华文楷体" w:eastAsia="华文楷体" w:hAnsi="华文楷体"/>
          <w:b w:val="0"/>
          <w:bCs w:val="0"/>
          <w:caps w:val="0"/>
          <w:noProof/>
          <w:color w:val="000000"/>
          <w:sz w:val="21"/>
          <w:szCs w:val="24"/>
        </w:rPr>
      </w:pPr>
      <w:hyperlink w:anchor="_Toc368499969" w:history="1">
        <w:r w:rsidRPr="00E8109C">
          <w:rPr>
            <w:rStyle w:val="a0"/>
            <w:rFonts w:ascii="华文楷体" w:eastAsia="华文楷体" w:hAnsi="华文楷体"/>
            <w:noProof/>
            <w:color w:val="000000"/>
            <w:kern w:val="0"/>
          </w:rPr>
          <w:t>四、湖北广电的整合之路</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_Toc368499969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14</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70" w:history="1">
        <w:r w:rsidRPr="00E8109C">
          <w:rPr>
            <w:rStyle w:val="a0"/>
            <w:rFonts w:ascii="华文楷体" w:eastAsia="华文楷体" w:hAnsi="华文楷体"/>
            <w:noProof/>
            <w:color w:val="000000"/>
            <w:kern w:val="0"/>
          </w:rPr>
          <w:t>1、楚天网络借壳上市</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_Toc368499970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14</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71" w:history="1">
        <w:r w:rsidRPr="00E8109C">
          <w:rPr>
            <w:rStyle w:val="a0"/>
            <w:rFonts w:ascii="华文楷体" w:eastAsia="华文楷体" w:hAnsi="华文楷体"/>
            <w:noProof/>
            <w:color w:val="000000"/>
            <w:kern w:val="0"/>
          </w:rPr>
          <w:t>2、重组中的价值评估</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_Toc368499971 \</w:instrText>
        </w:r>
        <w:r w:rsidRPr="00E8109C">
          <w:rPr>
            <w:rFonts w:ascii="华文楷体" w:eastAsia="华文楷体" w:hAnsi="华文楷体"/>
            <w:noProof/>
            <w:color w:val="000000"/>
          </w:rPr>
          <w:instrText xml:space="preserve">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15</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pPr>
      <w:hyperlink w:anchor="_Toc368499972" w:history="1">
        <w:r w:rsidRPr="00E8109C">
          <w:rPr>
            <w:rStyle w:val="a0"/>
            <w:rFonts w:ascii="华文楷体" w:eastAsia="华文楷体" w:hAnsi="华文楷体"/>
            <w:noProof/>
            <w:color w:val="000000"/>
            <w:kern w:val="0"/>
          </w:rPr>
          <w:t>3、湖北广电的二次资产注入</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_Toc368499972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16</w:t>
        </w:r>
        <w:r w:rsidRPr="00E8109C">
          <w:rPr>
            <w:rFonts w:ascii="华文楷体" w:eastAsia="华文楷体" w:hAnsi="华文楷体"/>
            <w:noProof/>
            <w:color w:val="000000"/>
          </w:rPr>
          <w:fldChar w:fldCharType="end"/>
        </w:r>
      </w:hyperlink>
    </w:p>
    <w:p w:rsidR="00990E4C" w:rsidRPr="00E8109C">
      <w:pPr>
        <w:pStyle w:val="11"/>
        <w:tabs>
          <w:tab w:val="right" w:leader="dot" w:pos="8296"/>
        </w:tabs>
        <w:rPr>
          <w:rFonts w:ascii="华文楷体" w:eastAsia="华文楷体" w:hAnsi="华文楷体"/>
          <w:b w:val="0"/>
          <w:bCs w:val="0"/>
          <w:caps w:val="0"/>
          <w:noProof/>
          <w:color w:val="000000"/>
          <w:sz w:val="21"/>
          <w:szCs w:val="24"/>
        </w:rPr>
      </w:pPr>
      <w:hyperlink w:anchor="_Toc368499973" w:history="1">
        <w:r w:rsidRPr="00E8109C">
          <w:rPr>
            <w:rStyle w:val="a0"/>
            <w:rFonts w:ascii="华文楷体" w:eastAsia="华文楷体" w:hAnsi="华文楷体"/>
            <w:noProof/>
            <w:color w:val="000000"/>
            <w:kern w:val="0"/>
          </w:rPr>
          <w:t>五、有线运营商的WACC计算</w:t>
        </w:r>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_Toc368499973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17</w:t>
        </w:r>
        <w:r w:rsidRPr="00E8109C">
          <w:rPr>
            <w:rFonts w:ascii="华文楷体" w:eastAsia="华文楷体" w:hAnsi="华文楷体"/>
            <w:noProof/>
            <w:color w:val="000000"/>
          </w:rPr>
          <w:fldChar w:fldCharType="end"/>
        </w:r>
      </w:hyperlink>
    </w:p>
    <w:p w:rsidR="00990E4C" w:rsidRPr="00E8109C">
      <w:pPr>
        <w:pStyle w:val="2"/>
        <w:tabs>
          <w:tab w:val="right" w:leader="dot" w:pos="8296"/>
        </w:tabs>
        <w:rPr>
          <w:rFonts w:ascii="华文楷体" w:eastAsia="华文楷体" w:hAnsi="华文楷体"/>
          <w:smallCaps w:val="0"/>
          <w:noProof/>
          <w:color w:val="000000"/>
          <w:sz w:val="21"/>
          <w:szCs w:val="24"/>
        </w:rPr>
        <w:sectPr>
          <w:pgSz w:w="11906" w:h="16838"/>
          <w:pgMar w:top="1440" w:right="1800" w:bottom="1440" w:left="1800" w:header="851" w:footer="992" w:gutter="0"/>
          <w:pgNumType w:start="11"/>
          <w:cols w:space="425"/>
          <w:docGrid w:type="lines" w:linePitch="312"/>
        </w:sectPr>
      </w:pPr>
      <w:hyperlink w:anchor="_Toc368499974" w:history="1">
        <w:r w:rsidRPr="00E8109C">
          <w:rPr>
            <w:rStyle w:val="a0"/>
            <w:rFonts w:ascii="华文楷体" w:eastAsia="华文楷体" w:hAnsi="华文楷体"/>
            <w:noProof/>
            <w:color w:val="000000"/>
            <w:kern w:val="0"/>
          </w:rPr>
          <w:t>1、吉视传媒的 WACC</w:t>
        </w:r>
        <w:bookmarkStart w:id="0" w:name="_Hlt138623525"/>
        <w:bookmarkStart w:id="1" w:name="_Hlt138623526"/>
        <w:r w:rsidRPr="00E8109C">
          <w:rPr>
            <w:rStyle w:val="a0"/>
            <w:rFonts w:ascii="华文楷体" w:eastAsia="华文楷体" w:hAnsi="华文楷体"/>
            <w:noProof/>
            <w:color w:val="000000"/>
            <w:kern w:val="0"/>
          </w:rPr>
          <w:t>值</w:t>
        </w:r>
        <w:bookmarkEnd w:id="0"/>
        <w:bookmarkEnd w:id="1"/>
        <w:r w:rsidRPr="00E8109C">
          <w:rPr>
            <w:rFonts w:ascii="华文楷体" w:eastAsia="华文楷体" w:hAnsi="华文楷体"/>
            <w:noProof/>
            <w:color w:val="000000"/>
          </w:rPr>
          <w:tab/>
        </w:r>
        <w:r w:rsidRPr="00E8109C">
          <w:rPr>
            <w:rFonts w:ascii="华文楷体" w:eastAsia="华文楷体" w:hAnsi="华文楷体"/>
            <w:noProof/>
            <w:color w:val="000000"/>
          </w:rPr>
          <w:fldChar w:fldCharType="begin"/>
        </w:r>
        <w:r w:rsidRPr="00E8109C">
          <w:rPr>
            <w:rFonts w:ascii="华文楷体" w:eastAsia="华文楷体" w:hAnsi="华文楷体"/>
            <w:noProof/>
            <w:color w:val="000000"/>
          </w:rPr>
          <w:instrText xml:space="preserve"> PAGEREF _Toc368499974 \h </w:instrText>
        </w:r>
        <w:r w:rsidRPr="00E8109C">
          <w:rPr>
            <w:rFonts w:ascii="华文楷体" w:eastAsia="华文楷体" w:hAnsi="华文楷体"/>
            <w:noProof/>
            <w:color w:val="000000"/>
          </w:rPr>
          <w:fldChar w:fldCharType="separate"/>
        </w:r>
        <w:r w:rsidRPr="00E8109C">
          <w:rPr>
            <w:rFonts w:ascii="华文楷体" w:eastAsia="华文楷体" w:hAnsi="华文楷体"/>
            <w:noProof/>
            <w:color w:val="000000"/>
          </w:rPr>
          <w:t>17</w:t>
        </w:r>
        <w:r w:rsidRPr="00E8109C">
          <w:rPr>
            <w:rFonts w:ascii="华文楷体" w:eastAsia="华文楷体" w:hAnsi="华文楷体"/>
            <w:noProof/>
            <w:color w:val="000000"/>
          </w:rPr>
          <w:fldChar w:fldCharType="end"/>
        </w:r>
      </w:hyperlink>
    </w:p>
    <w:p w:rsidR="00990E4C" w:rsidRPr="00E8109C" w:rsidP="00990E4C">
      <w:pPr>
        <w:pStyle w:val="a"/>
        <w:spacing w:line="360" w:lineRule="auto"/>
        <w:jc w:val="center"/>
        <w:rPr>
          <w:rFonts w:ascii="华文楷体" w:eastAsia="华文楷体" w:hAnsi="华文楷体"/>
          <w:b/>
          <w:color w:val="000000"/>
          <w:sz w:val="36"/>
          <w:szCs w:val="36"/>
        </w:rPr>
      </w:pPr>
      <w:r w:rsidRPr="00E8109C">
        <w:rPr>
          <w:rFonts w:ascii="华文楷体" w:eastAsia="华文楷体" w:hAnsi="华文楷体"/>
          <w:b/>
          <w:color w:val="000000"/>
          <w:sz w:val="36"/>
          <w:szCs w:val="36"/>
        </w:rPr>
        <w:fldChar w:fldCharType="end"/>
      </w:r>
    </w:p>
    <w:p w:rsidR="00990E4C" w:rsidRPr="00E8109C" w:rsidP="00990E4C">
      <w:pPr>
        <w:pStyle w:val="a"/>
        <w:spacing w:line="360" w:lineRule="auto"/>
        <w:jc w:val="center"/>
        <w:rPr>
          <w:rFonts w:ascii="华文楷体" w:eastAsia="华文楷体" w:hAnsi="华文楷体"/>
          <w:b/>
          <w:color w:val="000000"/>
          <w:sz w:val="36"/>
          <w:szCs w:val="36"/>
        </w:rPr>
      </w:pPr>
      <w:r w:rsidRPr="00E8109C">
        <w:rPr>
          <w:rFonts w:ascii="华文楷体" w:eastAsia="华文楷体" w:hAnsi="华文楷体"/>
          <w:b/>
          <w:color w:val="000000"/>
          <w:sz w:val="36"/>
          <w:szCs w:val="36"/>
        </w:rPr>
        <w:br/>
      </w:r>
      <w:r w:rsidRPr="00E8109C">
        <w:rPr>
          <w:rFonts w:ascii="华文楷体" w:eastAsia="华文楷体" w:hAnsi="华文楷体"/>
          <w:b/>
          <w:color w:val="000000"/>
          <w:sz w:val="36"/>
          <w:szCs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https://d.book118.com/736234235123010041</w:t>
        </w:r>
      </w:hyperlink>
    </w:p>
    <w:p w:rsidR="00990E4C" w:rsidRPr="00E8109C" w:rsidP="00990E4C">
      <w:pPr>
        <w:pStyle w:val="a"/>
        <w:spacing w:line="360" w:lineRule="auto"/>
        <w:jc w:val="center"/>
        <w:rPr>
          <w:rFonts w:ascii="华文楷体" w:eastAsia="华文楷体" w:hAnsi="华文楷体"/>
          <w:b/>
          <w:color w:val="000000"/>
          <w:sz w:val="36"/>
          <w:szCs w:val="36"/>
        </w:rPr>
      </w:pPr>
    </w:p>
    <w:sectPr>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华文楷体">
    <w:panose1 w:val="02010600040101010101"/>
    <w:charset w:val="86"/>
    <w:family w:val="auto"/>
    <w:pitch w:val="variable"/>
    <w:sig w:usb0="00000287" w:usb1="080F0000" w:usb2="00000010" w:usb3="00000000" w:csb0="0004009F" w:csb1="00000000"/>
  </w:font>
  <w:font w:name="KaiTi_GB2312">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comments="1" w:formatting="1" w:inkAnnotations="0" w:insDel="1" w:markup="1"/>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60383D"/>
    <w:rsid w:val="006D62C0"/>
    <w:rsid w:val="007B7A66"/>
    <w:rsid w:val="00990E4C"/>
    <w:rsid w:val="00CE7879"/>
    <w:rsid w:val="00D50289"/>
    <w:rsid w:val="00E8109C"/>
    <w:rsid w:val="00EB0F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宋体"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50289"/>
    <w:pPr>
      <w:widowControl w:val="0"/>
      <w:jc w:val="both"/>
    </w:pPr>
    <w:rPr>
      <w:kern w:val="2"/>
      <w:sz w:val="21"/>
      <w:szCs w:val="24"/>
    </w:rPr>
  </w:style>
  <w:style w:type="paragraph" w:styleId="Heading1">
    <w:name w:val="heading 1"/>
    <w:basedOn w:val="10"/>
    <w:next w:val="10"/>
    <w:qFormat/>
    <w:rsid w:val="00D52CCF"/>
    <w:pPr>
      <w:keepNext/>
      <w:keepLines/>
      <w:spacing w:before="340" w:after="330" w:line="578" w:lineRule="auto"/>
      <w:outlineLvl w:val="0"/>
    </w:pPr>
    <w:rPr>
      <w:b/>
      <w:bCs/>
      <w:kern w:val="44"/>
      <w:sz w:val="44"/>
      <w:szCs w:val="44"/>
    </w:rPr>
  </w:style>
  <w:style w:type="paragraph" w:styleId="Heading2">
    <w:name w:val="heading 2"/>
    <w:basedOn w:val="10"/>
    <w:next w:val="10"/>
    <w:qFormat/>
    <w:rsid w:val="003461CE"/>
    <w:pPr>
      <w:keepNext/>
      <w:keepLines/>
      <w:spacing w:before="260" w:after="260" w:line="416" w:lineRule="auto"/>
      <w:outlineLvl w:val="1"/>
    </w:pPr>
    <w:rPr>
      <w:rFonts w:ascii="Arial" w:eastAsia="黑体" w:hAnsi="Arial"/>
      <w:b/>
      <w:bCs/>
      <w:sz w:val="32"/>
      <w:szCs w:val="32"/>
    </w:rPr>
  </w:style>
  <w:style w:type="paragraph" w:styleId="Heading3">
    <w:name w:val="heading 3"/>
    <w:basedOn w:val="10"/>
    <w:next w:val="10"/>
    <w:qFormat/>
    <w:rsid w:val="0042714D"/>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Character">
    <w:name w:val="NormalCharacter"/>
    <w:semiHidden/>
    <w:rsid w:val="00D50289"/>
  </w:style>
  <w:style w:type="table" w:customStyle="1" w:styleId="TableNormal0">
    <w:name w:val="TableNormal"/>
    <w:semiHidden/>
    <w:rsid w:val="00D50289"/>
    <w:tblPr>
      <w:tblCellMar>
        <w:top w:w="0" w:type="dxa"/>
        <w:left w:w="108" w:type="dxa"/>
        <w:bottom w:w="0" w:type="dxa"/>
        <w:right w:w="108" w:type="dxa"/>
      </w:tblCellMar>
    </w:tblPr>
  </w:style>
  <w:style w:type="paragraph" w:customStyle="1" w:styleId="HtmlNormal">
    <w:name w:val="HtmlNormal"/>
    <w:basedOn w:val="Normal"/>
    <w:rsid w:val="00D50289"/>
    <w:pPr>
      <w:widowControl/>
      <w:spacing w:before="100" w:beforeAutospacing="1" w:after="100" w:afterAutospacing="1"/>
      <w:jc w:val="left"/>
    </w:pPr>
    <w:rPr>
      <w:rFonts w:ascii="宋体"/>
      <w:kern w:val="0"/>
      <w:sz w:val="24"/>
    </w:rPr>
  </w:style>
  <w:style w:type="paragraph" w:customStyle="1" w:styleId="Header">
    <w:name w:val="Header"/>
    <w:basedOn w:val="Normal"/>
    <w:rsid w:val="00D50289"/>
    <w:pPr>
      <w:pBdr>
        <w:bottom w:val="single" w:sz="6" w:space="1" w:color="000000"/>
      </w:pBdr>
      <w:tabs>
        <w:tab w:val="center" w:pos="4153"/>
        <w:tab w:val="right" w:pos="8306"/>
      </w:tabs>
      <w:jc w:val="center"/>
    </w:pPr>
    <w:rPr>
      <w:sz w:val="18"/>
      <w:szCs w:val="18"/>
    </w:rPr>
  </w:style>
  <w:style w:type="paragraph" w:customStyle="1" w:styleId="Footer">
    <w:name w:val="Footer"/>
    <w:basedOn w:val="Normal"/>
    <w:rsid w:val="00D50289"/>
    <w:pPr>
      <w:tabs>
        <w:tab w:val="center" w:pos="4153"/>
        <w:tab w:val="right" w:pos="8306"/>
      </w:tabs>
      <w:jc w:val="left"/>
    </w:pPr>
    <w:rPr>
      <w:sz w:val="18"/>
      <w:szCs w:val="18"/>
    </w:rPr>
  </w:style>
  <w:style w:type="character" w:styleId="Hyperlink">
    <w:name w:val="Hyperlink"/>
    <w:basedOn w:val="NormalCharacter"/>
    <w:rsid w:val="00D50289"/>
    <w:rPr>
      <w:color w:val="0000FF"/>
      <w:u w:val="single"/>
    </w:rPr>
  </w:style>
  <w:style w:type="paragraph" w:styleId="Header0">
    <w:name w:val="header"/>
    <w:basedOn w:val="Normal"/>
    <w:link w:val="Char"/>
    <w:uiPriority w:val="99"/>
    <w:semiHidden/>
    <w:unhideWhenUsed/>
    <w:rsid w:val="00CE78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0"/>
    <w:uiPriority w:val="99"/>
    <w:semiHidden/>
    <w:rsid w:val="00CE7879"/>
    <w:rPr>
      <w:kern w:val="2"/>
      <w:sz w:val="18"/>
      <w:szCs w:val="18"/>
    </w:rPr>
  </w:style>
  <w:style w:type="paragraph" w:styleId="Footer0">
    <w:name w:val="footer"/>
    <w:basedOn w:val="Normal"/>
    <w:link w:val="Char0"/>
    <w:uiPriority w:val="99"/>
    <w:semiHidden/>
    <w:unhideWhenUsed/>
    <w:rsid w:val="00CE7879"/>
    <w:pPr>
      <w:tabs>
        <w:tab w:val="center" w:pos="4153"/>
        <w:tab w:val="right" w:pos="8306"/>
      </w:tabs>
      <w:snapToGrid w:val="0"/>
      <w:jc w:val="left"/>
    </w:pPr>
    <w:rPr>
      <w:sz w:val="18"/>
      <w:szCs w:val="18"/>
    </w:rPr>
  </w:style>
  <w:style w:type="character" w:customStyle="1" w:styleId="Char0">
    <w:name w:val="页脚 Char"/>
    <w:basedOn w:val="DefaultParagraphFont"/>
    <w:link w:val="Footer0"/>
    <w:uiPriority w:val="99"/>
    <w:semiHidden/>
    <w:rsid w:val="00CE7879"/>
    <w:rPr>
      <w:kern w:val="2"/>
      <w:sz w:val="18"/>
      <w:szCs w:val="18"/>
    </w:rPr>
  </w:style>
  <w:style w:type="paragraph" w:customStyle="1" w:styleId="Default">
    <w:name w:val="Default"/>
    <w:rsid w:val="003D4F8D"/>
    <w:pPr>
      <w:widowControl w:val="0"/>
      <w:autoSpaceDE w:val="0"/>
      <w:autoSpaceDN w:val="0"/>
      <w:adjustRightInd w:val="0"/>
    </w:pPr>
    <w:rPr>
      <w:rFonts w:ascii="楷体_GB2312" w:eastAsia="楷体_GB2312" w:cs="楷体_GB2312"/>
      <w:color w:val="000000"/>
      <w:sz w:val="24"/>
      <w:szCs w:val="24"/>
    </w:rPr>
  </w:style>
  <w:style w:type="character" w:customStyle="1" w:styleId="1">
    <w:name w:val="超链接1"/>
    <w:rsid w:val="00D52CCF"/>
    <w:rPr>
      <w:color w:val="0000FF"/>
      <w:u w:val="single"/>
    </w:rPr>
  </w:style>
  <w:style w:type="paragraph" w:styleId="TOC1">
    <w:name w:val="toc 1"/>
    <w:basedOn w:val="10"/>
    <w:next w:val="10"/>
    <w:autoRedefine/>
    <w:semiHidden/>
    <w:rsid w:val="005F7621"/>
    <w:pPr>
      <w:spacing w:line="360" w:lineRule="auto"/>
    </w:pPr>
    <w:rPr>
      <w:rFonts w:eastAsia="黑体"/>
      <w:b/>
      <w:color w:val="0000FF"/>
      <w:sz w:val="28"/>
      <w:szCs w:val="28"/>
    </w:rPr>
  </w:style>
  <w:style w:type="paragraph" w:customStyle="1" w:styleId="10">
    <w:name w:val="正文1"/>
    <w:qFormat/>
    <w:rsid w:val="00BA62C9"/>
    <w:pPr>
      <w:widowControl w:val="0"/>
      <w:jc w:val="both"/>
    </w:pPr>
    <w:rPr>
      <w:kern w:val="2"/>
      <w:sz w:val="21"/>
      <w:szCs w:val="24"/>
    </w:rPr>
  </w:style>
  <w:style w:type="paragraph" w:styleId="TOC2">
    <w:name w:val="toc 2"/>
    <w:basedOn w:val="10"/>
    <w:next w:val="10"/>
    <w:autoRedefine/>
    <w:semiHidden/>
    <w:rsid w:val="00CE5B99"/>
    <w:pPr>
      <w:spacing w:line="360" w:lineRule="auto"/>
      <w:ind w:left="420" w:leftChars="200"/>
    </w:pPr>
    <w:rPr>
      <w:rFonts w:eastAsia="仿宋_GB2312"/>
      <w:sz w:val="24"/>
    </w:rPr>
  </w:style>
  <w:style w:type="paragraph" w:styleId="TOC3">
    <w:name w:val="toc 3"/>
    <w:basedOn w:val="10"/>
    <w:next w:val="10"/>
    <w:autoRedefine/>
    <w:semiHidden/>
    <w:rsid w:val="005F7621"/>
    <w:pPr>
      <w:spacing w:line="360" w:lineRule="auto"/>
      <w:ind w:left="840" w:leftChars="400"/>
    </w:pPr>
    <w:rPr>
      <w:rFonts w:eastAsia="黑体"/>
    </w:rPr>
  </w:style>
  <w:style w:type="paragraph" w:customStyle="1" w:styleId="a">
    <w:name w:val="正文"/>
    <w:qFormat/>
    <w:pPr>
      <w:widowControl w:val="0"/>
      <w:jc w:val="both"/>
    </w:pPr>
    <w:rPr>
      <w:kern w:val="2"/>
      <w:sz w:val="21"/>
      <w:szCs w:val="24"/>
      <w:lang w:val="en-US" w:eastAsia="zh-CN" w:bidi="ar-SA"/>
    </w:rPr>
  </w:style>
  <w:style w:type="character" w:customStyle="1" w:styleId="a0">
    <w:name w:val="超链接"/>
    <w:rsid w:val="00EA3DF6"/>
    <w:rPr>
      <w:color w:val="0000FF"/>
      <w:u w:val="single"/>
    </w:rPr>
  </w:style>
  <w:style w:type="paragraph" w:customStyle="1" w:styleId="11">
    <w:name w:val="目录 1"/>
    <w:basedOn w:val="a"/>
    <w:next w:val="a"/>
    <w:autoRedefine/>
    <w:semiHidden/>
    <w:rsid w:val="00813905"/>
    <w:pPr>
      <w:spacing w:before="120" w:after="120" w:line="480" w:lineRule="auto"/>
      <w:jc w:val="left"/>
    </w:pPr>
    <w:rPr>
      <w:rFonts w:eastAsia="黑体"/>
      <w:b/>
      <w:bCs/>
      <w:caps/>
      <w:color w:val="0000FF"/>
      <w:sz w:val="28"/>
      <w:szCs w:val="28"/>
    </w:rPr>
  </w:style>
  <w:style w:type="paragraph" w:customStyle="1" w:styleId="2">
    <w:name w:val="目录 2"/>
    <w:basedOn w:val="a"/>
    <w:next w:val="a"/>
    <w:autoRedefine/>
    <w:semiHidden/>
    <w:rsid w:val="00813905"/>
    <w:pPr>
      <w:spacing w:line="360" w:lineRule="auto"/>
      <w:ind w:left="210"/>
      <w:jc w:val="left"/>
    </w:pPr>
    <w:rPr>
      <w:rFonts w:eastAsia="仿宋_GB2312"/>
      <w:smallCaps/>
      <w:sz w:val="24"/>
      <w:szCs w:val="20"/>
    </w:rPr>
  </w:style>
  <w:style w:type="paragraph" w:customStyle="1" w:styleId="12">
    <w:name w:val="标题 1"/>
    <w:basedOn w:val="a"/>
    <w:next w:val="a"/>
    <w:qFormat/>
    <w:rsid w:val="0044769B"/>
    <w:pPr>
      <w:keepNext/>
      <w:keepLines/>
      <w:spacing w:before="340" w:after="330" w:line="578" w:lineRule="auto"/>
      <w:outlineLvl w:val="0"/>
    </w:pPr>
    <w:rPr>
      <w:b/>
      <w:bCs/>
      <w:kern w:val="44"/>
      <w:sz w:val="44"/>
      <w:szCs w:val="44"/>
    </w:rPr>
  </w:style>
  <w:style w:type="paragraph" w:customStyle="1" w:styleId="20">
    <w:name w:val="标题 2"/>
    <w:basedOn w:val="a"/>
    <w:next w:val="a"/>
    <w:qFormat/>
    <w:rsid w:val="0044769B"/>
    <w:pPr>
      <w:keepNext/>
      <w:keepLines/>
      <w:spacing w:before="260" w:after="260" w:line="416" w:lineRule="auto"/>
      <w:outlineLvl w:val="1"/>
    </w:pPr>
    <w:rPr>
      <w:rFonts w:ascii="Arial" w:eastAsia="黑体" w:hAnsi="Arial"/>
      <w:b/>
      <w:bCs/>
      <w:sz w:val="32"/>
      <w:szCs w:val="32"/>
    </w:rPr>
  </w:style>
  <w:style w:type="table" w:customStyle="1" w:styleId="TableNormal00">
    <w:name w:val="TableNormal_0"/>
    <w:semiHidden/>
    <w:rsid w:val="00D50289"/>
    <w:tblPr>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image" Target="media/image5.jpeg" /><Relationship Id="rId12" Type="http://schemas.openxmlformats.org/officeDocument/2006/relationships/image" Target="http://image2.sina.com.cn/IT/it/2003-12-25/U56P2T1D273315F14DT20031225112805.jpg" TargetMode="External" /><Relationship Id="rId13" Type="http://schemas.openxmlformats.org/officeDocument/2006/relationships/image" Target="media/image6.jpeg" /><Relationship Id="rId14" Type="http://schemas.openxmlformats.org/officeDocument/2006/relationships/image" Target="http://image2.sina.com.cn/IT/it/2003-12-25/U56P2T1D273315F15DT20031225112805.jpg" TargetMode="External" /><Relationship Id="rId15" Type="http://schemas.openxmlformats.org/officeDocument/2006/relationships/image" Target="media/image7.jpeg" /><Relationship Id="rId16" Type="http://schemas.openxmlformats.org/officeDocument/2006/relationships/image" Target="http://image2.sina.com.cn/IT/it/2003-12-25/U56P2T1D273315F1514DT20031225112805.jpg" TargetMode="External" /><Relationship Id="rId17" Type="http://schemas.openxmlformats.org/officeDocument/2006/relationships/image" Target="http://tech.sina.com.cn/it/2003-12-25/border=1" TargetMode="External" /><Relationship Id="rId18" Type="http://schemas.openxmlformats.org/officeDocument/2006/relationships/hyperlink" Target="https://d.book118.com/736234235123010041"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http://image2.sina.com.cn/IT/it/2003-12-24/U56P2T1D272865F14DT20031224143033.jpg" TargetMode="External" /><Relationship Id="rId6" Type="http://schemas.openxmlformats.org/officeDocument/2006/relationships/image" Target="media/image2.jpeg" /><Relationship Id="rId7" Type="http://schemas.openxmlformats.org/officeDocument/2006/relationships/image" Target="http://image2.sina.com.cn/IT/it/2003-12-24/U56P2T1D272865F15DT20031224143033.jpg" TargetMode="External" /><Relationship Id="rId8" Type="http://schemas.openxmlformats.org/officeDocument/2006/relationships/image" Target="media/image3.jpeg" /><Relationship Id="rId9" Type="http://schemas.openxmlformats.org/officeDocument/2006/relationships/image" Target="http://image2.sina.com.cn/IT/it/2003-12-24/U56P2T1D272865F1514DT20031224143033.jp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850</Words>
  <Characters>4846</Characters>
  <Application>Microsoft Office Word</Application>
  <DocSecurity>0</DocSecurity>
  <Lines>40</Lines>
  <Paragraphs>11</Paragraphs>
  <ScaleCrop>false</ScaleCrop>
  <Company/>
  <LinksUpToDate>false</LinksUpToDate>
  <CharactersWithSpaces>5685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用户</cp:lastModifiedBy>
  <cp:revision>4</cp:revision>
  <dcterms:created xsi:type="dcterms:W3CDTF">2022-08-22T13:26:00Z</dcterms:created>
  <dcterms:modified xsi:type="dcterms:W3CDTF">2023-04-28T15:05:00Z</dcterms:modified>
</cp:coreProperties>
</file>