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生物医药行业相关公司筹备报告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(七)、生物医药项目建设必要性分析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(一)、生物医药项目选址原则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_Toc14457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4" w:history="1">
        <w:r>
          <w:rPr>
            <w:rFonts w:ascii="仿宋" w:eastAsia="仿宋" w:hAnsi="仿宋" w:cs="仿宋" w:hint="eastAsia"/>
            <w:lang w:eastAsia="zh-CN"/>
          </w:rPr>
          <w:t>(五)、生物医药项目选址综合评价</w:t>
        </w:r>
        <w:r>
          <w:tab/>
        </w:r>
        <w:r>
          <w:fldChar w:fldCharType="begin"/>
        </w:r>
        <w:r>
          <w:instrText xml:space="preserve"> PAGEREF _Toc20244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_Toc3868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_Toc24849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_Toc29180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(五)、生物医药项目总投资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(一)、生物医药项目进度安排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(二)、生物医药项目实施保障措施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十一、生物医药项目总结分析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" w:history="1">
        <w:r>
          <w:rPr>
            <w:rFonts w:ascii="仿宋" w:eastAsia="仿宋" w:hAnsi="仿宋" w:cs="仿宋" w:hint="eastAsia"/>
            <w:lang w:eastAsia="zh-CN"/>
          </w:rPr>
          <w:t>(一)、社会责任生物医药项目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_Toc16626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70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6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4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https://d.book118.com/737044123164006033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生物医药行业相关公司筹备报告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生物医药行业相关公司筹备报告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生物医药行业相关公司筹备报告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生物医药行业相关公司筹备报告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生物医药行业相关公司筹备报告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7044123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2024-01-02T17:39:00Z</dcterms:created>
  <dcterms:modified xsi:type="dcterms:W3CDTF">2024-01-02T17:40:08Z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8A9135411A44473AA1B3205CC86A942B_11</vt:lpwstr>
  </property>
  <property fmtid="{D5CDD505-2E9C-101B-9397-08002B2CF9AE}" pid="3" name="KSOProductBuildVer">
    <vt:lpwstr>2052-12.1.0.16120</vt:lpwstr>
  </property>
</Properties>
</file>